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036" w:rsidRDefault="00BA1036" w:rsidP="00BA1036">
      <w:pPr>
        <w:autoSpaceDE w:val="0"/>
        <w:autoSpaceDN w:val="0"/>
        <w:adjustRightInd w:val="0"/>
        <w:spacing w:line="360" w:lineRule="auto"/>
        <w:jc w:val="center"/>
        <w:rPr>
          <w:rFonts w:asciiTheme="majorHAnsi" w:eastAsia="Times New Roman" w:hAnsiTheme="majorHAnsi"/>
          <w:b/>
          <w:sz w:val="28"/>
          <w:szCs w:val="28"/>
          <w:lang w:eastAsia="en-GB"/>
        </w:rPr>
      </w:pPr>
      <w:r>
        <w:rPr>
          <w:rFonts w:asciiTheme="majorHAnsi" w:eastAsia="Times New Roman" w:hAnsiTheme="majorHAnsi"/>
          <w:b/>
          <w:sz w:val="28"/>
          <w:szCs w:val="28"/>
          <w:lang w:eastAsia="en-GB"/>
        </w:rPr>
        <w:t>UNEP CPR-152, 19 November 2020</w:t>
      </w:r>
    </w:p>
    <w:p w:rsidR="00BA1036" w:rsidRDefault="00BA1036" w:rsidP="00BA1036">
      <w:pPr>
        <w:autoSpaceDE w:val="0"/>
        <w:autoSpaceDN w:val="0"/>
        <w:adjustRightInd w:val="0"/>
        <w:spacing w:line="360" w:lineRule="auto"/>
        <w:jc w:val="center"/>
        <w:rPr>
          <w:rFonts w:asciiTheme="majorHAnsi" w:eastAsia="Times New Roman" w:hAnsiTheme="majorHAnsi"/>
          <w:b/>
          <w:sz w:val="24"/>
          <w:szCs w:val="24"/>
          <w:lang w:eastAsia="en-GB"/>
        </w:rPr>
      </w:pPr>
      <w:r>
        <w:rPr>
          <w:rFonts w:asciiTheme="majorHAnsi" w:eastAsia="Times New Roman" w:hAnsiTheme="majorHAnsi"/>
          <w:b/>
          <w:sz w:val="28"/>
          <w:szCs w:val="28"/>
          <w:lang w:eastAsia="en-GB"/>
        </w:rPr>
        <w:t xml:space="preserve">EU and its Member States </w:t>
      </w:r>
      <w:r w:rsidRPr="006F04CD">
        <w:rPr>
          <w:rFonts w:asciiTheme="majorHAnsi" w:eastAsia="Times New Roman" w:hAnsiTheme="majorHAnsi"/>
          <w:b/>
          <w:sz w:val="24"/>
          <w:szCs w:val="24"/>
          <w:lang w:eastAsia="en-GB"/>
        </w:rPr>
        <w:t>comments</w:t>
      </w:r>
      <w:r w:rsidR="00311CEC">
        <w:rPr>
          <w:rFonts w:asciiTheme="majorHAnsi" w:eastAsia="Times New Roman" w:hAnsiTheme="majorHAnsi"/>
          <w:b/>
          <w:sz w:val="24"/>
          <w:szCs w:val="24"/>
          <w:lang w:eastAsia="en-GB"/>
        </w:rPr>
        <w:t xml:space="preserve"> on </w:t>
      </w:r>
    </w:p>
    <w:p w:rsidR="00311CEC" w:rsidRPr="009B6481" w:rsidRDefault="00311CEC" w:rsidP="00BA1036">
      <w:pPr>
        <w:autoSpaceDE w:val="0"/>
        <w:autoSpaceDN w:val="0"/>
        <w:adjustRightInd w:val="0"/>
        <w:spacing w:line="360" w:lineRule="auto"/>
        <w:jc w:val="center"/>
        <w:rPr>
          <w:rFonts w:asciiTheme="majorHAnsi" w:eastAsia="Times New Roman" w:hAnsiTheme="majorHAnsi"/>
          <w:b/>
          <w:color w:val="000000" w:themeColor="text1"/>
          <w:sz w:val="24"/>
          <w:szCs w:val="24"/>
          <w:lang w:eastAsia="en-GB"/>
        </w:rPr>
      </w:pPr>
      <w:r w:rsidRPr="009B6481">
        <w:rPr>
          <w:rFonts w:asciiTheme="majorHAnsi" w:eastAsia="Times New Roman" w:hAnsiTheme="majorHAnsi"/>
          <w:b/>
          <w:color w:val="000000" w:themeColor="text1"/>
          <w:sz w:val="24"/>
          <w:szCs w:val="24"/>
          <w:lang w:eastAsia="en-GB"/>
        </w:rPr>
        <w:t>Medium-Term Strategy</w:t>
      </w:r>
      <w:r>
        <w:rPr>
          <w:rFonts w:asciiTheme="majorHAnsi" w:eastAsia="Times New Roman" w:hAnsiTheme="majorHAnsi"/>
          <w:b/>
          <w:color w:val="000000" w:themeColor="text1"/>
          <w:sz w:val="24"/>
          <w:szCs w:val="24"/>
          <w:lang w:eastAsia="en-GB"/>
        </w:rPr>
        <w:t>,</w:t>
      </w:r>
      <w:r w:rsidRPr="009B6481">
        <w:rPr>
          <w:rFonts w:asciiTheme="majorHAnsi" w:eastAsia="Times New Roman" w:hAnsiTheme="majorHAnsi"/>
          <w:b/>
          <w:color w:val="000000" w:themeColor="text1"/>
          <w:sz w:val="24"/>
          <w:szCs w:val="24"/>
          <w:lang w:eastAsia="en-GB"/>
        </w:rPr>
        <w:t xml:space="preserve"> Programme of Work</w:t>
      </w:r>
      <w:r>
        <w:rPr>
          <w:rFonts w:asciiTheme="majorHAnsi" w:eastAsia="Times New Roman" w:hAnsiTheme="majorHAnsi"/>
          <w:b/>
          <w:color w:val="000000" w:themeColor="text1"/>
          <w:sz w:val="24"/>
          <w:szCs w:val="24"/>
          <w:lang w:eastAsia="en-GB"/>
        </w:rPr>
        <w:t xml:space="preserve"> and Budget</w:t>
      </w:r>
      <w:r w:rsidRPr="009B6481">
        <w:rPr>
          <w:rFonts w:asciiTheme="majorHAnsi" w:eastAsia="Times New Roman" w:hAnsiTheme="majorHAnsi"/>
          <w:b/>
          <w:color w:val="000000" w:themeColor="text1"/>
          <w:sz w:val="24"/>
          <w:szCs w:val="24"/>
          <w:lang w:eastAsia="en-GB"/>
        </w:rPr>
        <w:t xml:space="preserve"> (agenda item </w:t>
      </w:r>
      <w:r>
        <w:rPr>
          <w:rFonts w:asciiTheme="majorHAnsi" w:eastAsia="Times New Roman" w:hAnsiTheme="majorHAnsi"/>
          <w:b/>
          <w:color w:val="000000" w:themeColor="text1"/>
          <w:sz w:val="24"/>
          <w:szCs w:val="24"/>
          <w:lang w:eastAsia="en-GB"/>
        </w:rPr>
        <w:t>6</w:t>
      </w:r>
      <w:r w:rsidRPr="009B6481">
        <w:rPr>
          <w:rFonts w:asciiTheme="majorHAnsi" w:eastAsia="Times New Roman" w:hAnsiTheme="majorHAnsi"/>
          <w:b/>
          <w:color w:val="000000" w:themeColor="text1"/>
          <w:sz w:val="24"/>
          <w:szCs w:val="24"/>
          <w:lang w:eastAsia="en-GB"/>
        </w:rPr>
        <w:t>)</w:t>
      </w:r>
    </w:p>
    <w:p w:rsidR="00311CEC" w:rsidRDefault="00311CEC" w:rsidP="00311CEC">
      <w:pPr>
        <w:spacing w:after="160" w:line="259" w:lineRule="auto"/>
        <w:jc w:val="both"/>
        <w:rPr>
          <w:rFonts w:asciiTheme="majorHAnsi" w:hAnsiTheme="majorHAnsi" w:cstheme="majorBidi"/>
          <w:color w:val="000000" w:themeColor="text1"/>
          <w:sz w:val="24"/>
          <w:szCs w:val="24"/>
        </w:rPr>
      </w:pPr>
    </w:p>
    <w:p w:rsidR="00311CEC" w:rsidRPr="001052FB" w:rsidRDefault="00311CEC" w:rsidP="00311CEC">
      <w:pPr>
        <w:spacing w:after="160" w:line="259" w:lineRule="auto"/>
        <w:jc w:val="both"/>
        <w:rPr>
          <w:rFonts w:asciiTheme="majorHAnsi" w:hAnsiTheme="majorHAnsi" w:cstheme="majorBidi"/>
          <w:b/>
          <w:i/>
          <w:color w:val="000000" w:themeColor="text1"/>
          <w:sz w:val="24"/>
          <w:szCs w:val="24"/>
        </w:rPr>
      </w:pPr>
      <w:r>
        <w:rPr>
          <w:rFonts w:asciiTheme="majorHAnsi" w:hAnsiTheme="majorHAnsi" w:cstheme="majorBidi"/>
          <w:b/>
          <w:i/>
          <w:color w:val="000000" w:themeColor="text1"/>
          <w:sz w:val="24"/>
          <w:szCs w:val="24"/>
        </w:rPr>
        <w:t>Draft</w:t>
      </w:r>
      <w:r w:rsidRPr="001052FB">
        <w:rPr>
          <w:rFonts w:asciiTheme="majorHAnsi" w:hAnsiTheme="majorHAnsi" w:cstheme="majorBidi"/>
          <w:b/>
          <w:i/>
          <w:color w:val="000000" w:themeColor="text1"/>
          <w:sz w:val="24"/>
          <w:szCs w:val="24"/>
        </w:rPr>
        <w:t xml:space="preserve"> MTS 2022-2025</w:t>
      </w:r>
    </w:p>
    <w:p w:rsidR="00311CEC" w:rsidRPr="001052FB" w:rsidRDefault="00BA1036"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Pr>
          <w:rFonts w:asciiTheme="majorHAnsi" w:hAnsiTheme="majorHAnsi" w:cstheme="majorBidi"/>
          <w:color w:val="000000" w:themeColor="text1"/>
          <w:sz w:val="24"/>
          <w:szCs w:val="24"/>
        </w:rPr>
        <w:t xml:space="preserve">The </w:t>
      </w:r>
      <w:r w:rsidRPr="00692A94">
        <w:rPr>
          <w:rFonts w:asciiTheme="majorHAnsi" w:hAnsiTheme="majorHAnsi" w:cstheme="majorBidi"/>
          <w:color w:val="000000" w:themeColor="text1"/>
          <w:sz w:val="24"/>
          <w:szCs w:val="24"/>
        </w:rPr>
        <w:t xml:space="preserve">EU and its MS </w:t>
      </w:r>
      <w:r w:rsidR="00311CEC" w:rsidRPr="00981DAD">
        <w:rPr>
          <w:rFonts w:asciiTheme="majorHAnsi" w:hAnsiTheme="majorHAnsi" w:cstheme="majorBidi"/>
          <w:color w:val="000000" w:themeColor="text1"/>
          <w:sz w:val="24"/>
          <w:szCs w:val="24"/>
        </w:rPr>
        <w:t>welcome the revised MTS following the discussions at the 7th Annual Subcommittee Meeting.</w:t>
      </w:r>
    </w:p>
    <w:p w:rsidR="00311CEC" w:rsidRPr="00981DAD" w:rsidRDefault="00311CEC" w:rsidP="00311CEC">
      <w:pPr>
        <w:pStyle w:val="ListParagraph"/>
        <w:numPr>
          <w:ilvl w:val="0"/>
          <w:numId w:val="1"/>
        </w:numPr>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 xml:space="preserve">As we stated earlier, </w:t>
      </w:r>
      <w:r w:rsidR="00BA1036">
        <w:rPr>
          <w:rFonts w:asciiTheme="majorHAnsi" w:hAnsiTheme="majorHAnsi" w:cstheme="majorBidi"/>
          <w:color w:val="000000" w:themeColor="text1"/>
          <w:sz w:val="24"/>
          <w:szCs w:val="24"/>
        </w:rPr>
        <w:t>t</w:t>
      </w:r>
      <w:bookmarkStart w:id="0" w:name="_GoBack"/>
      <w:bookmarkEnd w:id="0"/>
      <w:r w:rsidR="00BA1036">
        <w:rPr>
          <w:rFonts w:asciiTheme="majorHAnsi" w:hAnsiTheme="majorHAnsi" w:cstheme="majorBidi"/>
          <w:color w:val="000000" w:themeColor="text1"/>
          <w:sz w:val="24"/>
          <w:szCs w:val="24"/>
        </w:rPr>
        <w:t xml:space="preserve">he </w:t>
      </w:r>
      <w:r w:rsidR="00BA1036" w:rsidRPr="00692A94">
        <w:rPr>
          <w:rFonts w:asciiTheme="majorHAnsi" w:hAnsiTheme="majorHAnsi" w:cstheme="majorBidi"/>
          <w:color w:val="000000" w:themeColor="text1"/>
          <w:sz w:val="24"/>
          <w:szCs w:val="24"/>
        </w:rPr>
        <w:t xml:space="preserve">EU and its MS </w:t>
      </w:r>
      <w:r w:rsidRPr="00981DAD">
        <w:rPr>
          <w:rFonts w:asciiTheme="majorHAnsi" w:hAnsiTheme="majorHAnsi" w:cstheme="majorBidi"/>
          <w:color w:val="000000" w:themeColor="text1"/>
          <w:sz w:val="24"/>
          <w:szCs w:val="24"/>
        </w:rPr>
        <w:t xml:space="preserve">support the renewed focus on climate change, biodiversity loss and pollution, the central role of the transition towards sustainable consumption and production patterns (SCP), as well as the proposed foundational and enabling programs. </w:t>
      </w:r>
    </w:p>
    <w:p w:rsidR="00311CEC" w:rsidRPr="00981DAD" w:rsidRDefault="00BA1036" w:rsidP="00311CEC">
      <w:pPr>
        <w:pStyle w:val="ListParagraph"/>
        <w:numPr>
          <w:ilvl w:val="0"/>
          <w:numId w:val="1"/>
        </w:numPr>
        <w:rPr>
          <w:rFonts w:asciiTheme="majorHAnsi" w:hAnsiTheme="majorHAnsi" w:cstheme="majorBidi"/>
          <w:color w:val="000000" w:themeColor="text1"/>
          <w:sz w:val="24"/>
          <w:szCs w:val="24"/>
        </w:rPr>
      </w:pPr>
      <w:r>
        <w:rPr>
          <w:rFonts w:asciiTheme="majorHAnsi" w:hAnsiTheme="majorHAnsi" w:cstheme="majorBidi"/>
          <w:color w:val="000000" w:themeColor="text1"/>
          <w:sz w:val="24"/>
          <w:szCs w:val="24"/>
        </w:rPr>
        <w:t xml:space="preserve">The </w:t>
      </w:r>
      <w:r w:rsidRPr="00692A94">
        <w:rPr>
          <w:rFonts w:asciiTheme="majorHAnsi" w:hAnsiTheme="majorHAnsi" w:cstheme="majorBidi"/>
          <w:color w:val="000000" w:themeColor="text1"/>
          <w:sz w:val="24"/>
          <w:szCs w:val="24"/>
        </w:rPr>
        <w:t xml:space="preserve">EU and its MS </w:t>
      </w:r>
      <w:r w:rsidR="00311CEC" w:rsidRPr="00981DAD">
        <w:rPr>
          <w:rFonts w:asciiTheme="majorHAnsi" w:hAnsiTheme="majorHAnsi" w:cstheme="majorBidi"/>
          <w:color w:val="000000" w:themeColor="text1"/>
          <w:sz w:val="24"/>
          <w:szCs w:val="24"/>
        </w:rPr>
        <w:t xml:space="preserve">appreciate that some of our comments have been taken up in the revised version.  </w:t>
      </w:r>
    </w:p>
    <w:p w:rsidR="00311CEC" w:rsidRPr="00981DAD" w:rsidRDefault="00311CEC" w:rsidP="00311CEC">
      <w:pPr>
        <w:pStyle w:val="ListParagraph"/>
        <w:numPr>
          <w:ilvl w:val="0"/>
          <w:numId w:val="1"/>
        </w:numPr>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 xml:space="preserve">However, we still see scope for further improvements in the text: </w:t>
      </w:r>
    </w:p>
    <w:p w:rsidR="00311CEC"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Both the background (p.2-3) and the situational analysis (p. 4-10) should more explicitly indicate the intrinsic link between a healthy environment and social and economic well-being.</w:t>
      </w:r>
    </w:p>
    <w:p w:rsidR="00311CEC" w:rsidRPr="00981DAD"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 xml:space="preserve">The EU and its Member States welcome the paragraph in the MTS, illustrating how the seven sub-programmes will be contributing to a shift to SCP, and to the fact that the latter has been more systematically anchored in the aims of the different sub-programmes. However, this concept is not sufficiently reflected in the POW/B. In particular, </w:t>
      </w:r>
      <w:r w:rsidR="00BA1036">
        <w:rPr>
          <w:rFonts w:asciiTheme="majorHAnsi" w:hAnsiTheme="majorHAnsi" w:cstheme="majorBidi"/>
          <w:color w:val="000000" w:themeColor="text1"/>
          <w:sz w:val="24"/>
          <w:szCs w:val="24"/>
        </w:rPr>
        <w:t>t</w:t>
      </w:r>
      <w:r w:rsidR="00BA1036">
        <w:rPr>
          <w:rFonts w:asciiTheme="majorHAnsi" w:hAnsiTheme="majorHAnsi" w:cstheme="majorBidi"/>
          <w:color w:val="000000" w:themeColor="text1"/>
          <w:sz w:val="24"/>
          <w:szCs w:val="24"/>
        </w:rPr>
        <w:t xml:space="preserve">he </w:t>
      </w:r>
      <w:r w:rsidR="00BA1036" w:rsidRPr="00692A94">
        <w:rPr>
          <w:rFonts w:asciiTheme="majorHAnsi" w:hAnsiTheme="majorHAnsi" w:cstheme="majorBidi"/>
          <w:color w:val="000000" w:themeColor="text1"/>
          <w:sz w:val="24"/>
          <w:szCs w:val="24"/>
        </w:rPr>
        <w:t xml:space="preserve">EU and its MS </w:t>
      </w:r>
      <w:r w:rsidRPr="00981DAD">
        <w:rPr>
          <w:rFonts w:asciiTheme="majorHAnsi" w:hAnsiTheme="majorHAnsi" w:cstheme="majorBidi"/>
          <w:color w:val="000000" w:themeColor="text1"/>
          <w:sz w:val="24"/>
          <w:szCs w:val="24"/>
        </w:rPr>
        <w:t xml:space="preserve">welcome that the indicators of the </w:t>
      </w:r>
      <w:proofErr w:type="spellStart"/>
      <w:r w:rsidRPr="00981DAD">
        <w:rPr>
          <w:rFonts w:asciiTheme="majorHAnsi" w:hAnsiTheme="majorHAnsi" w:cstheme="majorBidi"/>
          <w:color w:val="000000" w:themeColor="text1"/>
          <w:sz w:val="24"/>
          <w:szCs w:val="24"/>
        </w:rPr>
        <w:t>PoW</w:t>
      </w:r>
      <w:proofErr w:type="spellEnd"/>
      <w:r w:rsidRPr="00981DAD">
        <w:rPr>
          <w:rFonts w:asciiTheme="majorHAnsi" w:hAnsiTheme="majorHAnsi" w:cstheme="majorBidi"/>
          <w:color w:val="000000" w:themeColor="text1"/>
          <w:sz w:val="24"/>
          <w:szCs w:val="24"/>
        </w:rPr>
        <w:t xml:space="preserve">/B will monitor this shift to SCP patterns. More attention should, however, be reserved to this. </w:t>
      </w:r>
    </w:p>
    <w:p w:rsidR="00311CEC" w:rsidRPr="00981DAD"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 xml:space="preserve">The narrative on the rationale for the “Climate Action and Nature Action” programs have improved and the document is clearer on what type of actions UNEP intends to focus on. The new draft could be improved in describing UNEP’s comparative strengths, advantages and role in implementing its vision. Particularly with respect to climate and biodiversity </w:t>
      </w:r>
      <w:r w:rsidR="00BA1036">
        <w:rPr>
          <w:rFonts w:asciiTheme="majorHAnsi" w:hAnsiTheme="majorHAnsi" w:cstheme="majorBidi"/>
          <w:color w:val="000000" w:themeColor="text1"/>
          <w:sz w:val="24"/>
          <w:szCs w:val="24"/>
        </w:rPr>
        <w:t>t</w:t>
      </w:r>
      <w:r w:rsidR="00BA1036">
        <w:rPr>
          <w:rFonts w:asciiTheme="majorHAnsi" w:hAnsiTheme="majorHAnsi" w:cstheme="majorBidi"/>
          <w:color w:val="000000" w:themeColor="text1"/>
          <w:sz w:val="24"/>
          <w:szCs w:val="24"/>
        </w:rPr>
        <w:t xml:space="preserve">he </w:t>
      </w:r>
      <w:r w:rsidR="00BA1036" w:rsidRPr="00692A94">
        <w:rPr>
          <w:rFonts w:asciiTheme="majorHAnsi" w:hAnsiTheme="majorHAnsi" w:cstheme="majorBidi"/>
          <w:color w:val="000000" w:themeColor="text1"/>
          <w:sz w:val="24"/>
          <w:szCs w:val="24"/>
        </w:rPr>
        <w:t>EU and its MS</w:t>
      </w:r>
      <w:r w:rsidRPr="00981DAD">
        <w:rPr>
          <w:rFonts w:asciiTheme="majorHAnsi" w:hAnsiTheme="majorHAnsi" w:cstheme="majorBidi"/>
          <w:color w:val="000000" w:themeColor="text1"/>
          <w:sz w:val="24"/>
          <w:szCs w:val="24"/>
        </w:rPr>
        <w:t xml:space="preserve"> think that the role of UNEP and its complementarity vis-à-vis other agencies and fora could be better explained. </w:t>
      </w:r>
    </w:p>
    <w:p w:rsidR="00311CEC" w:rsidRPr="00981DAD"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With regards to the thematic sub-programme on “Climate Action”, we would welcome UNEP making a closer link to the nexus between ocean/marine sustainable management and climate action both in light of the mitigation potential of the oceans as well as the need for adaptation measures.</w:t>
      </w:r>
    </w:p>
    <w:p w:rsidR="00311CEC" w:rsidRPr="00981DAD"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Regarding the thematic sub-programme of “Chemical and Pollution Action”, the EU and its MS are missing a reference to the important work being done on AMR within the framework of the Tripartite+ cooperation, and would welcome UNEP continuing to contribute to the Tripartite+ in the coming strategy.</w:t>
      </w:r>
    </w:p>
    <w:p w:rsidR="00311CEC" w:rsidRPr="00981DAD"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lastRenderedPageBreak/>
        <w:t>In line with the secretariat’s explanation in response to comments by UN MS (including the EU) during the ASC, the first introductory paras under the respective sections could briefly describe that/how UNEPs role and actions are complementary to what others are doing in the respective multilateral regimes.</w:t>
      </w:r>
    </w:p>
    <w:p w:rsidR="00311CEC" w:rsidRPr="00981DAD" w:rsidRDefault="00BA1036" w:rsidP="00311CEC">
      <w:pPr>
        <w:pStyle w:val="ListParagraph"/>
        <w:numPr>
          <w:ilvl w:val="1"/>
          <w:numId w:val="1"/>
        </w:numPr>
        <w:ind w:left="851" w:hanging="425"/>
        <w:rPr>
          <w:rFonts w:asciiTheme="majorHAnsi" w:hAnsiTheme="majorHAnsi" w:cstheme="majorBidi"/>
          <w:color w:val="000000" w:themeColor="text1"/>
          <w:sz w:val="24"/>
          <w:szCs w:val="24"/>
        </w:rPr>
      </w:pPr>
      <w:r>
        <w:rPr>
          <w:rFonts w:asciiTheme="majorHAnsi" w:hAnsiTheme="majorHAnsi" w:cstheme="majorBidi"/>
          <w:color w:val="000000" w:themeColor="text1"/>
          <w:sz w:val="24"/>
          <w:szCs w:val="24"/>
        </w:rPr>
        <w:t xml:space="preserve">The </w:t>
      </w:r>
      <w:r w:rsidRPr="00692A94">
        <w:rPr>
          <w:rFonts w:asciiTheme="majorHAnsi" w:hAnsiTheme="majorHAnsi" w:cstheme="majorBidi"/>
          <w:color w:val="000000" w:themeColor="text1"/>
          <w:sz w:val="24"/>
          <w:szCs w:val="24"/>
        </w:rPr>
        <w:t xml:space="preserve">EU and its MS </w:t>
      </w:r>
      <w:r w:rsidR="00311CEC" w:rsidRPr="00981DAD">
        <w:rPr>
          <w:rFonts w:asciiTheme="majorHAnsi" w:hAnsiTheme="majorHAnsi" w:cstheme="majorBidi"/>
          <w:color w:val="000000" w:themeColor="text1"/>
          <w:sz w:val="24"/>
          <w:szCs w:val="24"/>
        </w:rPr>
        <w:t xml:space="preserve">supports UNEP’s vision to develop and implement gender responsive policies and strategies. However, this should be more explicitly integrated as part of the seven sub-programmes. </w:t>
      </w:r>
    </w:p>
    <w:p w:rsidR="00311CEC" w:rsidRPr="00981DAD"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Under the foundational sub-programme on “Science-Policy”, the EU and its MS wish to emphasise and welcome the different important roles of UNEP as a strong voice in scientific debate, for using science as the foundation to inform international negotiations and for being a convener and knowledge broker that builds consensus on emerging issues. The World Environment Situation Room and its complementary relation to the Global Environmental Outlook process could be playing a fundamental role. We note that the reference to GEO pre-empts the outcome of the discussions on the Future of GEO, including on the future format of the assessment. In line with our previous comments when discussing the Future of GEO, we ask to delete the description of GEO (in brackets on p.29 under point 2) as currently stated.</w:t>
      </w:r>
    </w:p>
    <w:p w:rsidR="00311CEC" w:rsidRPr="00981DAD"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Furthermore, while appreciating the reference to the Ad hoc Global Environmental Assessment Dialogue, we would suggest to add cost-effectiveness of global assessments as an element that UNEP will seek to achieve through that Dialogue.</w:t>
      </w:r>
    </w:p>
    <w:p w:rsidR="00311CEC" w:rsidRPr="00981DAD"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Regarding the foundational sub-programme on “Environmental Governance” the EU and its MS would suggest to include “and Law” in the title, to fully reflect this important dimension of the sub-programme.</w:t>
      </w:r>
    </w:p>
    <w:p w:rsidR="00311CEC" w:rsidRPr="00981DAD"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Furthermore, the EU and its MS wish to note that in line with UNEPs mandate, the “Environmental Governance” foundational programme should support MS both at the national and international level and suggest to revise the text, including on p.34 (that is now focusing solely at the national level) accordingly.</w:t>
      </w:r>
    </w:p>
    <w:p w:rsidR="00311CEC" w:rsidRPr="00981DAD"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Regarding the enabling sub-programme on “Digital Transformations” the EU and its MS would like to emphasise the continued relevance of keeping and applying a human rights lens on digitalization, as well as to not limit support to only digital innovations but also seek to integrate social innovative practices. It is pivotal to close the digital divide to leave no one behind.</w:t>
      </w:r>
    </w:p>
    <w:p w:rsidR="00311CEC" w:rsidRPr="00981DAD" w:rsidRDefault="00311CEC" w:rsidP="00311CEC">
      <w:pPr>
        <w:pStyle w:val="ListParagraph"/>
        <w:numPr>
          <w:ilvl w:val="1"/>
          <w:numId w:val="1"/>
        </w:numPr>
        <w:ind w:left="851" w:hanging="425"/>
        <w:rPr>
          <w:rFonts w:asciiTheme="majorHAnsi" w:hAnsiTheme="majorHAnsi" w:cstheme="majorBidi"/>
          <w:color w:val="000000" w:themeColor="text1"/>
          <w:sz w:val="24"/>
          <w:szCs w:val="24"/>
        </w:rPr>
      </w:pPr>
      <w:r w:rsidRPr="00981DAD">
        <w:rPr>
          <w:rFonts w:asciiTheme="majorHAnsi" w:hAnsiTheme="majorHAnsi" w:cstheme="majorBidi"/>
          <w:color w:val="000000" w:themeColor="text1"/>
          <w:sz w:val="24"/>
          <w:szCs w:val="24"/>
        </w:rPr>
        <w:t xml:space="preserve">In addition, the EU and its MS would encourage UNEP to rethink some of the terminology used, with a view to ensuring the use of more exact language. Terminology used under UNFCCC should be applied to ensure consistency across the UN. For example, instead  of “climate stability”, which is somewhat unclear, “Climate resilience and moving towards net zero greenhouse gas emissions”; “low greenhouse gas emission”, instead of “low-carbon”; “tackle climate change” instead of “reverse climate change”; “the financial mechanism of the UNFCCC and its operating entities, GEF and GCF” instead of listing GEF, GCF and the financial mechanism as separate “partnerships”; or avoiding the use of “climate emergency” </w:t>
      </w:r>
      <w:r w:rsidRPr="00981DAD">
        <w:rPr>
          <w:rFonts w:asciiTheme="majorHAnsi" w:hAnsiTheme="majorHAnsi" w:cstheme="majorBidi"/>
          <w:color w:val="000000" w:themeColor="text1"/>
          <w:sz w:val="24"/>
          <w:szCs w:val="24"/>
        </w:rPr>
        <w:lastRenderedPageBreak/>
        <w:t>in favour of “climate change”. In addition, to ensure the language on environmental rights under the Environmental Governance foundational programme is accurate and in line with its mandate.</w:t>
      </w:r>
    </w:p>
    <w:p w:rsidR="00311CEC" w:rsidRDefault="00311CEC" w:rsidP="00311CEC">
      <w:pPr>
        <w:spacing w:after="160" w:line="259" w:lineRule="auto"/>
        <w:jc w:val="both"/>
        <w:rPr>
          <w:rFonts w:asciiTheme="majorHAnsi" w:hAnsiTheme="majorHAnsi" w:cstheme="majorBidi"/>
          <w:color w:val="000000" w:themeColor="text1"/>
          <w:sz w:val="24"/>
          <w:szCs w:val="24"/>
        </w:rPr>
      </w:pPr>
    </w:p>
    <w:p w:rsidR="00311CEC" w:rsidRPr="001052FB" w:rsidRDefault="00311CEC" w:rsidP="00311CEC">
      <w:pPr>
        <w:spacing w:after="160" w:line="259" w:lineRule="auto"/>
        <w:jc w:val="both"/>
        <w:rPr>
          <w:rFonts w:asciiTheme="majorHAnsi" w:hAnsiTheme="majorHAnsi" w:cstheme="majorBidi"/>
          <w:b/>
          <w:i/>
          <w:color w:val="000000" w:themeColor="text1"/>
          <w:sz w:val="24"/>
          <w:szCs w:val="24"/>
        </w:rPr>
      </w:pPr>
      <w:proofErr w:type="spellStart"/>
      <w:r>
        <w:rPr>
          <w:rFonts w:asciiTheme="majorHAnsi" w:hAnsiTheme="majorHAnsi" w:cstheme="majorBidi"/>
          <w:b/>
          <w:i/>
          <w:color w:val="000000" w:themeColor="text1"/>
          <w:sz w:val="24"/>
          <w:szCs w:val="24"/>
        </w:rPr>
        <w:t>PoWB</w:t>
      </w:r>
      <w:proofErr w:type="spellEnd"/>
      <w:r>
        <w:rPr>
          <w:rFonts w:asciiTheme="majorHAnsi" w:hAnsiTheme="majorHAnsi" w:cstheme="majorBidi"/>
          <w:b/>
          <w:i/>
          <w:color w:val="000000" w:themeColor="text1"/>
          <w:sz w:val="24"/>
          <w:szCs w:val="24"/>
        </w:rPr>
        <w:t xml:space="preserve"> 2022-2023</w:t>
      </w:r>
    </w:p>
    <w:p w:rsidR="00311CEC" w:rsidRPr="00692A94" w:rsidRDefault="00311CEC" w:rsidP="00311CEC">
      <w:p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Theories of change</w:t>
      </w:r>
      <w:r>
        <w:rPr>
          <w:rFonts w:asciiTheme="majorHAnsi" w:hAnsiTheme="majorHAnsi" w:cstheme="majorBidi"/>
          <w:color w:val="000000" w:themeColor="text1"/>
          <w:sz w:val="24"/>
          <w:szCs w:val="24"/>
        </w:rPr>
        <w:t>:</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The EU and its MS would like to thank UNEP for presenting comprehensive theories of change (</w:t>
      </w:r>
      <w:proofErr w:type="spellStart"/>
      <w:r w:rsidRPr="00692A94">
        <w:rPr>
          <w:rFonts w:asciiTheme="majorHAnsi" w:hAnsiTheme="majorHAnsi" w:cstheme="majorBidi"/>
          <w:color w:val="000000" w:themeColor="text1"/>
          <w:sz w:val="24"/>
          <w:szCs w:val="24"/>
        </w:rPr>
        <w:t>ToC</w:t>
      </w:r>
      <w:proofErr w:type="spellEnd"/>
      <w:r w:rsidRPr="00692A94">
        <w:rPr>
          <w:rFonts w:asciiTheme="majorHAnsi" w:hAnsiTheme="majorHAnsi" w:cstheme="majorBidi"/>
          <w:color w:val="000000" w:themeColor="text1"/>
          <w:sz w:val="24"/>
          <w:szCs w:val="24"/>
        </w:rPr>
        <w:t xml:space="preserve">) that outline the linkages between the </w:t>
      </w:r>
      <w:proofErr w:type="spellStart"/>
      <w:r w:rsidRPr="00692A94">
        <w:rPr>
          <w:rFonts w:asciiTheme="majorHAnsi" w:hAnsiTheme="majorHAnsi" w:cstheme="majorBidi"/>
          <w:color w:val="000000" w:themeColor="text1"/>
          <w:sz w:val="24"/>
          <w:szCs w:val="24"/>
        </w:rPr>
        <w:t>PoW</w:t>
      </w:r>
      <w:proofErr w:type="spellEnd"/>
      <w:r w:rsidRPr="00692A94">
        <w:rPr>
          <w:rFonts w:asciiTheme="majorHAnsi" w:hAnsiTheme="majorHAnsi" w:cstheme="majorBidi"/>
          <w:color w:val="000000" w:themeColor="text1"/>
          <w:sz w:val="24"/>
          <w:szCs w:val="24"/>
        </w:rPr>
        <w:t xml:space="preserve">/B, MTS, 2030 Agenda and UNEP’s 2050 vision, as well as the contribution to these by all seven sub-programmes. This is a significant improvement compared to previous </w:t>
      </w:r>
      <w:proofErr w:type="spellStart"/>
      <w:r w:rsidRPr="00692A94">
        <w:rPr>
          <w:rFonts w:asciiTheme="majorHAnsi" w:hAnsiTheme="majorHAnsi" w:cstheme="majorBidi"/>
          <w:color w:val="000000" w:themeColor="text1"/>
          <w:sz w:val="24"/>
          <w:szCs w:val="24"/>
        </w:rPr>
        <w:t>PoW</w:t>
      </w:r>
      <w:proofErr w:type="spellEnd"/>
      <w:r w:rsidRPr="00692A94">
        <w:rPr>
          <w:rFonts w:asciiTheme="majorHAnsi" w:hAnsiTheme="majorHAnsi" w:cstheme="majorBidi"/>
          <w:color w:val="000000" w:themeColor="text1"/>
          <w:sz w:val="24"/>
          <w:szCs w:val="24"/>
        </w:rPr>
        <w:t>/</w:t>
      </w:r>
      <w:proofErr w:type="spellStart"/>
      <w:r w:rsidRPr="00692A94">
        <w:rPr>
          <w:rFonts w:asciiTheme="majorHAnsi" w:hAnsiTheme="majorHAnsi" w:cstheme="majorBidi"/>
          <w:color w:val="000000" w:themeColor="text1"/>
          <w:sz w:val="24"/>
          <w:szCs w:val="24"/>
        </w:rPr>
        <w:t>Bs</w:t>
      </w:r>
      <w:proofErr w:type="spellEnd"/>
      <w:r w:rsidRPr="00692A94">
        <w:rPr>
          <w:rFonts w:asciiTheme="majorHAnsi" w:hAnsiTheme="majorHAnsi" w:cstheme="majorBidi"/>
          <w:color w:val="000000" w:themeColor="text1"/>
          <w:sz w:val="24"/>
          <w:szCs w:val="24"/>
        </w:rPr>
        <w:t xml:space="preserve">. </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 xml:space="preserve">The </w:t>
      </w:r>
      <w:proofErr w:type="spellStart"/>
      <w:r w:rsidRPr="00692A94">
        <w:rPr>
          <w:rFonts w:asciiTheme="majorHAnsi" w:hAnsiTheme="majorHAnsi" w:cstheme="majorBidi"/>
          <w:color w:val="000000" w:themeColor="text1"/>
          <w:sz w:val="24"/>
          <w:szCs w:val="24"/>
        </w:rPr>
        <w:t>ToC</w:t>
      </w:r>
      <w:proofErr w:type="spellEnd"/>
      <w:r w:rsidRPr="00692A94">
        <w:rPr>
          <w:rFonts w:asciiTheme="majorHAnsi" w:hAnsiTheme="majorHAnsi" w:cstheme="majorBidi"/>
          <w:color w:val="000000" w:themeColor="text1"/>
          <w:sz w:val="24"/>
          <w:szCs w:val="24"/>
        </w:rPr>
        <w:t xml:space="preserve"> and subsequent chapters have improved substantially in describing what UNEP is aiming to achieve and why. </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 xml:space="preserve">The issues underlying the three principle areas of action are closely interlinked and therefore it will be crucial to strive for coherence and cater to such interlinkages at the programmatic level. EU+MS would welcome a paragraph that would describe how the POW/B facilitates integrated approaches towards achieving the strategic objectives for climate stability, living in harmony with nature and a pollution free planet. </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 xml:space="preserve">The EU and its MS encourage that the strong narrative on cross-cutting issues of SCP, circular economy and resource efficiency encapsulated in parts of the MTS is translated and better reflected throughout the relevant areas of the </w:t>
      </w:r>
      <w:proofErr w:type="spellStart"/>
      <w:r w:rsidRPr="00692A94">
        <w:rPr>
          <w:rFonts w:asciiTheme="majorHAnsi" w:hAnsiTheme="majorHAnsi" w:cstheme="majorBidi"/>
          <w:color w:val="000000" w:themeColor="text1"/>
          <w:sz w:val="24"/>
          <w:szCs w:val="24"/>
        </w:rPr>
        <w:t>PoW</w:t>
      </w:r>
      <w:proofErr w:type="spellEnd"/>
      <w:r w:rsidRPr="00692A94">
        <w:rPr>
          <w:rFonts w:asciiTheme="majorHAnsi" w:hAnsiTheme="majorHAnsi" w:cstheme="majorBidi"/>
          <w:color w:val="000000" w:themeColor="text1"/>
          <w:sz w:val="24"/>
          <w:szCs w:val="24"/>
        </w:rPr>
        <w:t xml:space="preserve">/B. We therefore strongly recommend a more prominent role to highlight the relevance of SCP and the Circular Economy in the </w:t>
      </w:r>
      <w:proofErr w:type="spellStart"/>
      <w:r w:rsidRPr="00692A94">
        <w:rPr>
          <w:rFonts w:asciiTheme="majorHAnsi" w:hAnsiTheme="majorHAnsi" w:cstheme="majorBidi"/>
          <w:color w:val="000000" w:themeColor="text1"/>
          <w:sz w:val="24"/>
          <w:szCs w:val="24"/>
        </w:rPr>
        <w:t>ToC</w:t>
      </w:r>
      <w:proofErr w:type="spellEnd"/>
      <w:r w:rsidRPr="00692A94">
        <w:rPr>
          <w:rFonts w:asciiTheme="majorHAnsi" w:hAnsiTheme="majorHAnsi" w:cstheme="majorBidi"/>
          <w:color w:val="000000" w:themeColor="text1"/>
          <w:sz w:val="24"/>
          <w:szCs w:val="24"/>
        </w:rPr>
        <w:t>.</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 xml:space="preserve">Care should be taken that assumptions (in particular </w:t>
      </w:r>
      <w:proofErr w:type="gramStart"/>
      <w:r w:rsidRPr="00692A94">
        <w:rPr>
          <w:rFonts w:asciiTheme="majorHAnsi" w:hAnsiTheme="majorHAnsi" w:cstheme="majorBidi"/>
          <w:color w:val="000000" w:themeColor="text1"/>
          <w:sz w:val="24"/>
          <w:szCs w:val="24"/>
        </w:rPr>
        <w:t>vis</w:t>
      </w:r>
      <w:proofErr w:type="gramEnd"/>
      <w:r w:rsidRPr="00692A94">
        <w:rPr>
          <w:rFonts w:asciiTheme="majorHAnsi" w:hAnsiTheme="majorHAnsi" w:cstheme="majorBidi"/>
          <w:color w:val="000000" w:themeColor="text1"/>
          <w:sz w:val="24"/>
          <w:szCs w:val="24"/>
        </w:rPr>
        <w:t xml:space="preserve"> à vis what governments will ensure) are realistic and we encourage UNEP to add relevant assumptions on the role of the private sector. Furthermore, we recommend that the text will indicate how external risks are mitigated/addressed. (E.g. ”the private sector grants access to relevant data”) </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The EU and its MS in particular welcome the approach on page 18, providing supporting narrative sections that clarify UNEP’s role as enabler, influencer or direct contributor, which should then provide the basis to further develop the qualitative indicators for the performance indicator framework in a way that does justice to these roles.</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The EU and its MS would further welcome a clearer presentation by UNEP on how the sub-programme that will be “discontinued” and integrated into the other sub-programmes, i.e. “Disasters and Risk Reduction”, will be achieved in practice in the actions and projects that UNEP will undertake.</w:t>
      </w:r>
    </w:p>
    <w:p w:rsidR="00311CEC"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 xml:space="preserve">The EU and its MS notes with regret that gender equality and human rights are not visible in the </w:t>
      </w:r>
      <w:proofErr w:type="spellStart"/>
      <w:r w:rsidRPr="00692A94">
        <w:rPr>
          <w:rFonts w:asciiTheme="majorHAnsi" w:hAnsiTheme="majorHAnsi" w:cstheme="majorBidi"/>
          <w:color w:val="000000" w:themeColor="text1"/>
          <w:sz w:val="24"/>
          <w:szCs w:val="24"/>
        </w:rPr>
        <w:t>ToC</w:t>
      </w:r>
      <w:proofErr w:type="spellEnd"/>
      <w:r w:rsidRPr="00692A94">
        <w:rPr>
          <w:rFonts w:asciiTheme="majorHAnsi" w:hAnsiTheme="majorHAnsi" w:cstheme="majorBidi"/>
          <w:color w:val="000000" w:themeColor="text1"/>
          <w:sz w:val="24"/>
          <w:szCs w:val="24"/>
        </w:rPr>
        <w:t xml:space="preserve"> figures for the sub-programmes and believe this should be rectified.</w:t>
      </w:r>
    </w:p>
    <w:p w:rsidR="00311CEC" w:rsidRPr="00692A94" w:rsidRDefault="00311CEC" w:rsidP="00311CEC">
      <w:p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Performance indicator framework</w:t>
      </w:r>
      <w:r>
        <w:rPr>
          <w:rFonts w:asciiTheme="majorHAnsi" w:hAnsiTheme="majorHAnsi" w:cstheme="majorBidi"/>
          <w:color w:val="000000" w:themeColor="text1"/>
          <w:sz w:val="24"/>
          <w:szCs w:val="24"/>
        </w:rPr>
        <w:t>:</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 xml:space="preserve">While the EU and its MS appreciate the effort that has gone into developing the performance indicator framework, it is our view that the framework still needs work and a critical review against its ambition to measure performance at the proposed three levels. </w:t>
      </w:r>
      <w:r w:rsidRPr="00692A94">
        <w:rPr>
          <w:rFonts w:asciiTheme="majorHAnsi" w:hAnsiTheme="majorHAnsi" w:cstheme="majorBidi"/>
          <w:color w:val="000000" w:themeColor="text1"/>
          <w:sz w:val="24"/>
          <w:szCs w:val="24"/>
        </w:rPr>
        <w:lastRenderedPageBreak/>
        <w:t xml:space="preserve">EU+MS note that in some cases attribution to UNEPs activities for the proposed indicators will be difficult.  </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 xml:space="preserve">In addition, the introduction on the indicator framework could provide further clarity on how the indicators (through implementing the </w:t>
      </w:r>
      <w:proofErr w:type="spellStart"/>
      <w:r w:rsidRPr="00692A94">
        <w:rPr>
          <w:rFonts w:asciiTheme="majorHAnsi" w:hAnsiTheme="majorHAnsi" w:cstheme="majorBidi"/>
          <w:color w:val="000000" w:themeColor="text1"/>
          <w:sz w:val="24"/>
          <w:szCs w:val="24"/>
        </w:rPr>
        <w:t>ToC</w:t>
      </w:r>
      <w:proofErr w:type="spellEnd"/>
      <w:r w:rsidRPr="00692A94">
        <w:rPr>
          <w:rFonts w:asciiTheme="majorHAnsi" w:hAnsiTheme="majorHAnsi" w:cstheme="majorBidi"/>
          <w:color w:val="000000" w:themeColor="text1"/>
          <w:sz w:val="24"/>
          <w:szCs w:val="24"/>
        </w:rPr>
        <w:t xml:space="preserve">) link with the results to be achieved (measured through the SDG indicators). EU+MS also note that it is not clear why indicators do not directly correspond with the “2025 outcomes” nor the “direct outcomes” in the </w:t>
      </w:r>
      <w:proofErr w:type="spellStart"/>
      <w:r w:rsidRPr="00692A94">
        <w:rPr>
          <w:rFonts w:asciiTheme="majorHAnsi" w:hAnsiTheme="majorHAnsi" w:cstheme="majorBidi"/>
          <w:color w:val="000000" w:themeColor="text1"/>
          <w:sz w:val="24"/>
          <w:szCs w:val="24"/>
        </w:rPr>
        <w:t>ToC</w:t>
      </w:r>
      <w:proofErr w:type="spellEnd"/>
      <w:r w:rsidRPr="00692A94">
        <w:rPr>
          <w:rFonts w:asciiTheme="majorHAnsi" w:hAnsiTheme="majorHAnsi" w:cstheme="majorBidi"/>
          <w:color w:val="000000" w:themeColor="text1"/>
          <w:sz w:val="24"/>
          <w:szCs w:val="24"/>
        </w:rPr>
        <w:t xml:space="preserve"> for each thematic sub-programme. It is important for this to be clarified in order to measure the achievement of such outcomes.</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 xml:space="preserve">The indicators only measure outputs and there are no proposed performance indicators that measure against the impacts and results to be achieved, i.e. actual change on the ground (e.g. better state of environment, biodiversity, air, etc.) derived from actions by UNEP’s seven sub-programmes. It should not be implicitly assumed that the targeted impacts will be achieved through implementing the theories of change, the intervention logic should be clear from the document, i.e. how the outputs contribute to the anticipated outcomes and impacts. Currently, there are no clear output-level results presented for the sub-programmes, apart for the sub-programme “Nature” where the indicators have been formulated as outputs. It would be beneficial to include outcome indicators for the sub-programmes in addition to the current indicators, as well as adding output-level results in order to make both the Indicator framework and the </w:t>
      </w:r>
      <w:proofErr w:type="spellStart"/>
      <w:r w:rsidRPr="00692A94">
        <w:rPr>
          <w:rFonts w:asciiTheme="majorHAnsi" w:hAnsiTheme="majorHAnsi" w:cstheme="majorBidi"/>
          <w:color w:val="000000" w:themeColor="text1"/>
          <w:sz w:val="24"/>
          <w:szCs w:val="24"/>
        </w:rPr>
        <w:t>ToC</w:t>
      </w:r>
      <w:proofErr w:type="spellEnd"/>
      <w:r w:rsidRPr="00692A94">
        <w:rPr>
          <w:rFonts w:asciiTheme="majorHAnsi" w:hAnsiTheme="majorHAnsi" w:cstheme="majorBidi"/>
          <w:color w:val="000000" w:themeColor="text1"/>
          <w:sz w:val="24"/>
          <w:szCs w:val="24"/>
        </w:rPr>
        <w:t xml:space="preserve"> more consistent and complete. </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 xml:space="preserve">Similarly, some indicators chosen relate to actions that are mainly derived from Member State and do not reflect the comparative contribution of UNEP’s activities, such as indicator (ii) on climate financing under climate action, which is more relevant for donors and multilateral banks, rather than UNEP. Instead, this indicator should better represent the overall progress on aligning public and private finance with the Paris Agreement, such as perhaps the quantity of assets under management with certain sustainability criteria. Also, an indicator could be added to measure progress which relates to UNEP’s support for climate finance readiness and enhancing access for developed countries. </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We believe that impact stories can be a powerful tool to convey change and results at outcome and impact level as a complement to reporting on indicators. The EU and its MS therefore welcome this addition. We encourage UNEP not to limit the impact stories to complementing the qualitative indicators, but also to use this tool to showcase the change generated by the quantitative indicators, e.g. what is the actual change brought about when a plan or policy has been adopted.</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With regards to gender the EU+MS are of the opinion that it is a missed opportunity to primarily focus on gender disaggregated data in the sub-programmes instead of also including gender equality in some strategic indicators: “What gets measured gets done”. To provide an example: indicator i) under “Climate” could be revised to read (</w:t>
      </w:r>
      <w:r w:rsidRPr="00692A94">
        <w:rPr>
          <w:rFonts w:asciiTheme="majorHAnsi" w:hAnsiTheme="majorHAnsi" w:cstheme="majorBidi"/>
          <w:color w:val="000000" w:themeColor="text1"/>
          <w:sz w:val="24"/>
          <w:szCs w:val="24"/>
          <w:u w:val="single"/>
        </w:rPr>
        <w:t>addition underlined</w:t>
      </w:r>
      <w:r w:rsidRPr="00692A94">
        <w:rPr>
          <w:rFonts w:asciiTheme="majorHAnsi" w:hAnsiTheme="majorHAnsi" w:cstheme="majorBidi"/>
          <w:color w:val="000000" w:themeColor="text1"/>
          <w:sz w:val="24"/>
          <w:szCs w:val="24"/>
        </w:rPr>
        <w:t xml:space="preserve">): Number of countries and/or legal entities that adopt </w:t>
      </w:r>
      <w:r w:rsidRPr="00692A94">
        <w:rPr>
          <w:rFonts w:asciiTheme="majorHAnsi" w:hAnsiTheme="majorHAnsi" w:cstheme="majorBidi"/>
          <w:color w:val="000000" w:themeColor="text1"/>
          <w:sz w:val="24"/>
          <w:szCs w:val="24"/>
          <w:u w:val="single"/>
        </w:rPr>
        <w:t>gender-sensitive</w:t>
      </w:r>
      <w:r w:rsidRPr="00692A94">
        <w:rPr>
          <w:rFonts w:asciiTheme="majorHAnsi" w:hAnsiTheme="majorHAnsi" w:cstheme="majorBidi"/>
          <w:color w:val="000000" w:themeColor="text1"/>
          <w:sz w:val="24"/>
          <w:szCs w:val="24"/>
        </w:rPr>
        <w:t xml:space="preserve"> climate change mitigation and/or adaptation and Disaster Risk Reduction strategies and policies with UNEP support. </w:t>
      </w:r>
    </w:p>
    <w:p w:rsidR="00311CEC" w:rsidRPr="00692A94" w:rsidRDefault="00311CEC" w:rsidP="00311CEC">
      <w:p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Executive management, programme management and support</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lastRenderedPageBreak/>
        <w:t xml:space="preserve">With regards to the section “Programme management and support“, the EU and its MS welcome the emphasis on compliance, efficiency, and risk management, as well as on lessons learned and the approach proposed on continued learning and increase of staff capabilities e.g. through the “staff mapping initiative” and “corporate academy initiative”. </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We welcome the mentioning of “responsiveness to human rights” in the evaluation plan as among the evaluation criteria. However, we would strongly encourage UNEP to mainstream human rights aspects more visibly throughout the sub-programmes and their indicators. That would in turn also help their evaluation.</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 xml:space="preserve">We welcome that the </w:t>
      </w:r>
      <w:proofErr w:type="gramStart"/>
      <w:r w:rsidRPr="00692A94">
        <w:rPr>
          <w:rFonts w:asciiTheme="majorHAnsi" w:hAnsiTheme="majorHAnsi" w:cstheme="majorBidi"/>
          <w:color w:val="000000" w:themeColor="text1"/>
          <w:sz w:val="24"/>
          <w:szCs w:val="24"/>
        </w:rPr>
        <w:t>outcome ”</w:t>
      </w:r>
      <w:proofErr w:type="gramEnd"/>
      <w:r w:rsidRPr="00692A94">
        <w:rPr>
          <w:rFonts w:asciiTheme="majorHAnsi" w:hAnsiTheme="majorHAnsi" w:cstheme="majorBidi"/>
          <w:color w:val="000000" w:themeColor="text1"/>
          <w:sz w:val="24"/>
          <w:szCs w:val="24"/>
        </w:rPr>
        <w:t>raising environmental ambition within the UN system through UN reform” and its indicators reflect well the intention and ambition of UNEP and its management to fully engage in UN reform and to strengthen UNEP’s voice throughout the system.</w:t>
      </w:r>
    </w:p>
    <w:p w:rsidR="00311CEC" w:rsidRPr="00692A94" w:rsidRDefault="00311CEC" w:rsidP="00311CEC">
      <w:p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Budget</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The EU and its MS welcome that the document contains one clear budget proposal based on a conservative approach that is taking into account the impact of COVID-19.</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 xml:space="preserve">We also welcome the comprehensive overview of the proposed allocation of funding from the different funding sources, in comparison with the budget allocation for 2020/2021. </w:t>
      </w:r>
    </w:p>
    <w:p w:rsidR="00311CEC" w:rsidRPr="00692A94"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692A94">
        <w:rPr>
          <w:rFonts w:asciiTheme="majorHAnsi" w:hAnsiTheme="majorHAnsi" w:cstheme="majorBidi"/>
          <w:color w:val="000000" w:themeColor="text1"/>
          <w:sz w:val="24"/>
          <w:szCs w:val="24"/>
        </w:rPr>
        <w:t>The EU and its MS appreciate the proposal to allocate from the Environment Fund the same budget to the different thematic sub-programmes, and the “Finance &amp; Economic Transformations” enabling sub-programme. However, we also note that, due to lower projections for earmarked funding, the overall budget for the “Environmental Governance” sub-programme would decrease compared to 2020/2021, and the overall budget for the “Science Policy” sub-programme, which has been underfunded for quite some time, would only see a minor increase. We therefore insist to find an alternative allocation of the core funding that provides more resources to the core tasks within the foundational programmes on the one hand and takes into account the expected potential to attract earmarked funding by different sub-programmes on the other hand.</w:t>
      </w:r>
    </w:p>
    <w:p w:rsidR="00311CEC" w:rsidRPr="00EE528F"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EE528F">
        <w:rPr>
          <w:rFonts w:asciiTheme="majorHAnsi" w:hAnsiTheme="majorHAnsi" w:cstheme="majorBidi"/>
          <w:color w:val="000000" w:themeColor="text1"/>
          <w:sz w:val="24"/>
          <w:szCs w:val="24"/>
        </w:rPr>
        <w:t xml:space="preserve">According to the </w:t>
      </w:r>
      <w:proofErr w:type="spellStart"/>
      <w:r w:rsidRPr="00EE528F">
        <w:rPr>
          <w:rFonts w:asciiTheme="majorHAnsi" w:hAnsiTheme="majorHAnsi" w:cstheme="majorBidi"/>
          <w:color w:val="000000" w:themeColor="text1"/>
          <w:sz w:val="24"/>
          <w:szCs w:val="24"/>
        </w:rPr>
        <w:t>PoW</w:t>
      </w:r>
      <w:proofErr w:type="spellEnd"/>
      <w:r w:rsidRPr="00EE528F">
        <w:rPr>
          <w:rFonts w:asciiTheme="majorHAnsi" w:hAnsiTheme="majorHAnsi" w:cstheme="majorBidi"/>
          <w:color w:val="000000" w:themeColor="text1"/>
          <w:sz w:val="24"/>
          <w:szCs w:val="24"/>
        </w:rPr>
        <w:t xml:space="preserve">/B projections, while UNEP's core activities (“C. Programme of Work”) will be receiving less funding, the support services will all benefit from an increase. In the budget table, UNEP foresees for “B.1. Executive Direction and Management” quite a significant increase in funding coming from earmarked resources (from 300.000 to 1.4 million). EU+MS would like to ask UNEP to clarify what UNEP expects to fund with such increase and to illustrate what effect would this development have on the Environment Fund? </w:t>
      </w:r>
    </w:p>
    <w:p w:rsidR="00311CEC" w:rsidRDefault="00311CEC" w:rsidP="00311CEC">
      <w:pPr>
        <w:pStyle w:val="ListParagraph"/>
        <w:numPr>
          <w:ilvl w:val="0"/>
          <w:numId w:val="1"/>
        </w:numPr>
        <w:spacing w:after="160" w:line="259" w:lineRule="auto"/>
        <w:jc w:val="both"/>
        <w:rPr>
          <w:rFonts w:asciiTheme="majorHAnsi" w:hAnsiTheme="majorHAnsi" w:cstheme="majorBidi"/>
          <w:color w:val="000000" w:themeColor="text1"/>
          <w:sz w:val="24"/>
          <w:szCs w:val="24"/>
        </w:rPr>
      </w:pPr>
      <w:r w:rsidRPr="00EE528F">
        <w:rPr>
          <w:rFonts w:asciiTheme="majorHAnsi" w:hAnsiTheme="majorHAnsi" w:cstheme="majorBidi"/>
          <w:color w:val="000000" w:themeColor="text1"/>
          <w:sz w:val="24"/>
          <w:szCs w:val="24"/>
        </w:rPr>
        <w:t>With regard to the updated resource mobilization strategy, the EU and its MS welcome the focus by UNEP on encouraging softly earmarked contributions and increased cooperation with multilateral entities in resource mobilization and look forward to continued engagement on the strategy.</w:t>
      </w:r>
    </w:p>
    <w:p w:rsidR="00846678" w:rsidRDefault="00846678"/>
    <w:sectPr w:rsidR="008466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368C5"/>
    <w:multiLevelType w:val="hybridMultilevel"/>
    <w:tmpl w:val="1BA60CC6"/>
    <w:lvl w:ilvl="0" w:tplc="0809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311CEC"/>
    <w:rsid w:val="00311CEC"/>
    <w:rsid w:val="00846678"/>
    <w:rsid w:val="00BA1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C9A4"/>
  <w15:chartTrackingRefBased/>
  <w15:docId w15:val="{4760C2E5-94D0-4246-B303-A9470AA4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CE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1C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2198</Words>
  <Characters>12534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EEAS</Company>
  <LinksUpToDate>false</LinksUpToDate>
  <CharactersWithSpaces>14703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Sebastian (EEAS-NAIROBI)</dc:creator>
  <cp:keywords/>
  <dc:description/>
  <cp:lastModifiedBy>GIL Sebastian (EEAS-NAIROBI)</cp:lastModifiedBy>
  <cp:revision>2</cp:revision>
  <dcterms:created xsi:type="dcterms:W3CDTF">2020-11-20T04:57:00Z</dcterms:created>
  <dcterms:modified xsi:type="dcterms:W3CDTF">2020-11-20T07:08:00Z</dcterms:modified>
</cp:coreProperties>
</file>