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AD1FA0" w14:textId="77777777" w:rsidR="008A0D96" w:rsidRDefault="008A0D96">
      <w:pPr>
        <w:spacing w:line="240" w:lineRule="auto"/>
        <w:jc w:val="center"/>
        <w:rPr>
          <w:rFonts w:ascii="Roboto" w:eastAsia="Roboto" w:hAnsi="Roboto" w:cs="Roboto"/>
          <w:b/>
          <w:sz w:val="36"/>
          <w:szCs w:val="36"/>
        </w:rPr>
      </w:pPr>
      <w:bookmarkStart w:id="0" w:name="_gjdgxs" w:colFirst="0" w:colLast="0"/>
      <w:bookmarkEnd w:id="0"/>
    </w:p>
    <w:p w14:paraId="35A3231A" w14:textId="77777777" w:rsidR="008A0D96" w:rsidRDefault="008A0D96">
      <w:pPr>
        <w:spacing w:line="240" w:lineRule="auto"/>
        <w:jc w:val="center"/>
        <w:rPr>
          <w:rFonts w:ascii="Roboto" w:eastAsia="Roboto" w:hAnsi="Roboto" w:cs="Roboto"/>
          <w:b/>
          <w:sz w:val="36"/>
          <w:szCs w:val="36"/>
        </w:rPr>
      </w:pPr>
    </w:p>
    <w:p w14:paraId="4E867E73" w14:textId="77777777" w:rsidR="008A0D96" w:rsidRDefault="00526AE1">
      <w:pPr>
        <w:spacing w:after="0" w:line="240" w:lineRule="auto"/>
        <w:jc w:val="center"/>
        <w:rPr>
          <w:rFonts w:ascii="Roboto" w:eastAsia="Roboto" w:hAnsi="Roboto" w:cs="Roboto"/>
          <w:b/>
          <w:sz w:val="36"/>
          <w:szCs w:val="36"/>
        </w:rPr>
      </w:pPr>
      <w:r>
        <w:rPr>
          <w:rFonts w:ascii="Roboto" w:eastAsia="Roboto" w:hAnsi="Roboto" w:cs="Roboto"/>
          <w:b/>
          <w:sz w:val="36"/>
          <w:szCs w:val="36"/>
        </w:rPr>
        <w:t>Elementos para el Diálogo Ministerial:</w:t>
      </w:r>
    </w:p>
    <w:p w14:paraId="03FB27E0" w14:textId="77777777" w:rsidR="00B62F3B" w:rsidRDefault="00B62F3B">
      <w:pPr>
        <w:spacing w:after="0" w:line="240" w:lineRule="auto"/>
        <w:jc w:val="center"/>
        <w:rPr>
          <w:rFonts w:ascii="Roboto" w:eastAsia="Roboto" w:hAnsi="Roboto" w:cs="Roboto"/>
          <w:sz w:val="36"/>
          <w:szCs w:val="36"/>
        </w:rPr>
      </w:pPr>
    </w:p>
    <w:p w14:paraId="642D6745" w14:textId="701C2D1A" w:rsidR="008A0D96" w:rsidRPr="00B62F3B" w:rsidRDefault="00526AE1">
      <w:pPr>
        <w:spacing w:after="0" w:line="240" w:lineRule="auto"/>
        <w:jc w:val="center"/>
        <w:rPr>
          <w:rFonts w:ascii="Roboto" w:eastAsia="Roboto" w:hAnsi="Roboto" w:cs="Roboto"/>
          <w:sz w:val="36"/>
          <w:szCs w:val="36"/>
        </w:rPr>
      </w:pPr>
      <w:r w:rsidRPr="00B62F3B">
        <w:rPr>
          <w:rFonts w:ascii="Roboto" w:eastAsia="Roboto" w:hAnsi="Roboto" w:cs="Roboto"/>
          <w:sz w:val="36"/>
          <w:szCs w:val="36"/>
        </w:rPr>
        <w:t>Descarbonización y</w:t>
      </w:r>
      <w:r w:rsidR="00B62F3B">
        <w:rPr>
          <w:rFonts w:ascii="Roboto" w:eastAsia="Roboto" w:hAnsi="Roboto" w:cs="Roboto"/>
          <w:sz w:val="36"/>
          <w:szCs w:val="36"/>
        </w:rPr>
        <w:t xml:space="preserve"> </w:t>
      </w:r>
      <w:r w:rsidRPr="00B62F3B">
        <w:rPr>
          <w:rFonts w:ascii="Roboto" w:eastAsia="Roboto" w:hAnsi="Roboto" w:cs="Roboto"/>
          <w:sz w:val="36"/>
          <w:szCs w:val="36"/>
        </w:rPr>
        <w:t xml:space="preserve">Resiliencia </w:t>
      </w:r>
    </w:p>
    <w:p w14:paraId="3CDFB921" w14:textId="77777777" w:rsidR="008A0D96" w:rsidRDefault="00526AE1">
      <w:pPr>
        <w:spacing w:line="240" w:lineRule="auto"/>
        <w:rPr>
          <w:rFonts w:ascii="Roboto" w:eastAsia="Roboto" w:hAnsi="Roboto" w:cs="Roboto"/>
        </w:rPr>
      </w:pPr>
      <w:r>
        <w:br w:type="page"/>
      </w:r>
    </w:p>
    <w:p w14:paraId="6DCDF283" w14:textId="77777777" w:rsidR="008A0D96" w:rsidRDefault="008A0D96">
      <w:pPr>
        <w:spacing w:line="240" w:lineRule="auto"/>
        <w:rPr>
          <w:rFonts w:ascii="Roboto" w:eastAsia="Roboto" w:hAnsi="Roboto" w:cs="Roboto"/>
        </w:rPr>
      </w:pPr>
    </w:p>
    <w:sdt>
      <w:sdtPr>
        <w:id w:val="-1381624520"/>
        <w:docPartObj>
          <w:docPartGallery w:val="Table of Contents"/>
          <w:docPartUnique/>
        </w:docPartObj>
      </w:sdtPr>
      <w:sdtEndPr/>
      <w:sdtContent>
        <w:p w14:paraId="10DD8F64" w14:textId="77777777" w:rsidR="009E6F18" w:rsidRPr="00C43897" w:rsidRDefault="009E6F18">
          <w:pPr>
            <w:pStyle w:val="TOC1"/>
            <w:tabs>
              <w:tab w:val="right" w:leader="dot" w:pos="9350"/>
            </w:tabs>
            <w:rPr>
              <w:rFonts w:ascii="Roboto" w:eastAsiaTheme="minorEastAsia" w:hAnsi="Roboto" w:cstheme="minorBidi"/>
              <w:noProof/>
              <w:lang w:val="es-PA" w:eastAsia="es-PA"/>
            </w:rPr>
          </w:pPr>
          <w:r>
            <w:fldChar w:fldCharType="begin"/>
          </w:r>
          <w:r>
            <w:instrText xml:space="preserve"> TOC \o "1-2" \h \z \u </w:instrText>
          </w:r>
          <w:r>
            <w:fldChar w:fldCharType="separate"/>
          </w:r>
          <w:hyperlink w:anchor="_Toc525729216" w:history="1">
            <w:r w:rsidRPr="00C43897">
              <w:rPr>
                <w:rStyle w:val="Hyperlink"/>
                <w:rFonts w:ascii="Roboto" w:eastAsia="Roboto" w:hAnsi="Roboto" w:cs="Roboto"/>
                <w:noProof/>
              </w:rPr>
              <w:t>Introducción</w:t>
            </w:r>
            <w:r w:rsidRPr="00C43897">
              <w:rPr>
                <w:rFonts w:ascii="Roboto" w:hAnsi="Roboto"/>
                <w:noProof/>
                <w:webHidden/>
              </w:rPr>
              <w:tab/>
            </w:r>
            <w:r w:rsidRPr="00C43897">
              <w:rPr>
                <w:rFonts w:ascii="Roboto" w:hAnsi="Roboto"/>
                <w:noProof/>
                <w:webHidden/>
              </w:rPr>
              <w:fldChar w:fldCharType="begin"/>
            </w:r>
            <w:r w:rsidRPr="00C43897">
              <w:rPr>
                <w:rFonts w:ascii="Roboto" w:hAnsi="Roboto"/>
                <w:noProof/>
                <w:webHidden/>
              </w:rPr>
              <w:instrText xml:space="preserve"> PAGEREF _Toc525729216 \h </w:instrText>
            </w:r>
            <w:r w:rsidRPr="00C43897">
              <w:rPr>
                <w:rFonts w:ascii="Roboto" w:hAnsi="Roboto"/>
                <w:noProof/>
                <w:webHidden/>
              </w:rPr>
            </w:r>
            <w:r w:rsidRPr="00C43897">
              <w:rPr>
                <w:rFonts w:ascii="Roboto" w:hAnsi="Roboto"/>
                <w:noProof/>
                <w:webHidden/>
              </w:rPr>
              <w:fldChar w:fldCharType="separate"/>
            </w:r>
            <w:r w:rsidRPr="00C43897">
              <w:rPr>
                <w:rFonts w:ascii="Roboto" w:hAnsi="Roboto"/>
                <w:noProof/>
                <w:webHidden/>
              </w:rPr>
              <w:t>3</w:t>
            </w:r>
            <w:r w:rsidRPr="00C43897">
              <w:rPr>
                <w:rFonts w:ascii="Roboto" w:hAnsi="Roboto"/>
                <w:noProof/>
                <w:webHidden/>
              </w:rPr>
              <w:fldChar w:fldCharType="end"/>
            </w:r>
          </w:hyperlink>
        </w:p>
        <w:p w14:paraId="1ED2B64A" w14:textId="77777777" w:rsidR="009E6F18" w:rsidRPr="00C43897" w:rsidRDefault="005001C6">
          <w:pPr>
            <w:pStyle w:val="TOC1"/>
            <w:tabs>
              <w:tab w:val="right" w:leader="dot" w:pos="9350"/>
            </w:tabs>
            <w:rPr>
              <w:rFonts w:ascii="Roboto" w:eastAsiaTheme="minorEastAsia" w:hAnsi="Roboto" w:cstheme="minorBidi"/>
              <w:noProof/>
              <w:lang w:val="es-PA" w:eastAsia="es-PA"/>
            </w:rPr>
          </w:pPr>
          <w:hyperlink w:anchor="_Toc525729217" w:history="1">
            <w:r w:rsidR="009E6F18" w:rsidRPr="00C43897">
              <w:rPr>
                <w:rStyle w:val="Hyperlink"/>
                <w:rFonts w:ascii="Roboto" w:eastAsia="Roboto" w:hAnsi="Roboto" w:cs="Roboto"/>
                <w:noProof/>
              </w:rPr>
              <w:t>Estrategias de desarrollo con bajas emisiones de gases de efecto invernadero a largo plazo</w:t>
            </w:r>
            <w:r w:rsidR="009E6F18" w:rsidRPr="00C43897">
              <w:rPr>
                <w:rFonts w:ascii="Roboto" w:hAnsi="Roboto"/>
                <w:noProof/>
                <w:webHidden/>
              </w:rPr>
              <w:tab/>
            </w:r>
            <w:r w:rsidR="009E6F18" w:rsidRPr="00C43897">
              <w:rPr>
                <w:rFonts w:ascii="Roboto" w:hAnsi="Roboto"/>
                <w:noProof/>
                <w:webHidden/>
              </w:rPr>
              <w:fldChar w:fldCharType="begin"/>
            </w:r>
            <w:r w:rsidR="009E6F18" w:rsidRPr="00C43897">
              <w:rPr>
                <w:rFonts w:ascii="Roboto" w:hAnsi="Roboto"/>
                <w:noProof/>
                <w:webHidden/>
              </w:rPr>
              <w:instrText xml:space="preserve"> PAGEREF _Toc525729217 \h </w:instrText>
            </w:r>
            <w:r w:rsidR="009E6F18" w:rsidRPr="00C43897">
              <w:rPr>
                <w:rFonts w:ascii="Roboto" w:hAnsi="Roboto"/>
                <w:noProof/>
                <w:webHidden/>
              </w:rPr>
            </w:r>
            <w:r w:rsidR="009E6F18" w:rsidRPr="00C43897">
              <w:rPr>
                <w:rFonts w:ascii="Roboto" w:hAnsi="Roboto"/>
                <w:noProof/>
                <w:webHidden/>
              </w:rPr>
              <w:fldChar w:fldCharType="separate"/>
            </w:r>
            <w:r w:rsidR="009E6F18" w:rsidRPr="00C43897">
              <w:rPr>
                <w:rFonts w:ascii="Roboto" w:hAnsi="Roboto"/>
                <w:noProof/>
                <w:webHidden/>
              </w:rPr>
              <w:t>4</w:t>
            </w:r>
            <w:r w:rsidR="009E6F18" w:rsidRPr="00C43897">
              <w:rPr>
                <w:rFonts w:ascii="Roboto" w:hAnsi="Roboto"/>
                <w:noProof/>
                <w:webHidden/>
              </w:rPr>
              <w:fldChar w:fldCharType="end"/>
            </w:r>
          </w:hyperlink>
        </w:p>
        <w:p w14:paraId="14A7E8E3" w14:textId="77777777" w:rsidR="009E6F18" w:rsidRPr="00C43897" w:rsidRDefault="005001C6">
          <w:pPr>
            <w:pStyle w:val="TOC2"/>
            <w:tabs>
              <w:tab w:val="right" w:leader="dot" w:pos="9350"/>
            </w:tabs>
            <w:rPr>
              <w:rFonts w:ascii="Roboto" w:eastAsiaTheme="minorEastAsia" w:hAnsi="Roboto" w:cstheme="minorBidi"/>
              <w:noProof/>
              <w:lang w:val="es-PA" w:eastAsia="es-PA"/>
            </w:rPr>
          </w:pPr>
          <w:hyperlink w:anchor="_Toc525729218" w:history="1">
            <w:r w:rsidR="009E6F18" w:rsidRPr="00C43897">
              <w:rPr>
                <w:rStyle w:val="Hyperlink"/>
                <w:rFonts w:ascii="Roboto" w:hAnsi="Roboto"/>
                <w:noProof/>
              </w:rPr>
              <w:t>Propuesta para el segmento ministerial</w:t>
            </w:r>
            <w:r w:rsidR="009E6F18" w:rsidRPr="00C43897">
              <w:rPr>
                <w:rFonts w:ascii="Roboto" w:hAnsi="Roboto"/>
                <w:noProof/>
                <w:webHidden/>
              </w:rPr>
              <w:tab/>
            </w:r>
            <w:r w:rsidR="009E6F18" w:rsidRPr="00C43897">
              <w:rPr>
                <w:rFonts w:ascii="Roboto" w:hAnsi="Roboto"/>
                <w:noProof/>
                <w:webHidden/>
              </w:rPr>
              <w:fldChar w:fldCharType="begin"/>
            </w:r>
            <w:r w:rsidR="009E6F18" w:rsidRPr="00C43897">
              <w:rPr>
                <w:rFonts w:ascii="Roboto" w:hAnsi="Roboto"/>
                <w:noProof/>
                <w:webHidden/>
              </w:rPr>
              <w:instrText xml:space="preserve"> PAGEREF _Toc525729218 \h </w:instrText>
            </w:r>
            <w:r w:rsidR="009E6F18" w:rsidRPr="00C43897">
              <w:rPr>
                <w:rFonts w:ascii="Roboto" w:hAnsi="Roboto"/>
                <w:noProof/>
                <w:webHidden/>
              </w:rPr>
            </w:r>
            <w:r w:rsidR="009E6F18" w:rsidRPr="00C43897">
              <w:rPr>
                <w:rFonts w:ascii="Roboto" w:hAnsi="Roboto"/>
                <w:noProof/>
                <w:webHidden/>
              </w:rPr>
              <w:fldChar w:fldCharType="separate"/>
            </w:r>
            <w:r w:rsidR="009E6F18" w:rsidRPr="00C43897">
              <w:rPr>
                <w:rFonts w:ascii="Roboto" w:hAnsi="Roboto"/>
                <w:noProof/>
                <w:webHidden/>
              </w:rPr>
              <w:t>6</w:t>
            </w:r>
            <w:r w:rsidR="009E6F18" w:rsidRPr="00C43897">
              <w:rPr>
                <w:rFonts w:ascii="Roboto" w:hAnsi="Roboto"/>
                <w:noProof/>
                <w:webHidden/>
              </w:rPr>
              <w:fldChar w:fldCharType="end"/>
            </w:r>
          </w:hyperlink>
        </w:p>
        <w:p w14:paraId="089E0231" w14:textId="77777777" w:rsidR="009E6F18" w:rsidRPr="00C43897" w:rsidRDefault="005001C6">
          <w:pPr>
            <w:pStyle w:val="TOC1"/>
            <w:tabs>
              <w:tab w:val="right" w:leader="dot" w:pos="9350"/>
            </w:tabs>
            <w:rPr>
              <w:rFonts w:ascii="Roboto" w:eastAsiaTheme="minorEastAsia" w:hAnsi="Roboto" w:cstheme="minorBidi"/>
              <w:noProof/>
              <w:lang w:val="es-PA" w:eastAsia="es-PA"/>
            </w:rPr>
          </w:pPr>
          <w:hyperlink w:anchor="_Toc525729219" w:history="1">
            <w:r w:rsidR="009E6F18" w:rsidRPr="00C43897">
              <w:rPr>
                <w:rStyle w:val="Hyperlink"/>
                <w:rFonts w:ascii="Roboto" w:eastAsia="Roboto" w:hAnsi="Roboto" w:cs="Roboto"/>
                <w:noProof/>
              </w:rPr>
              <w:t>Transporte limpio y movilidad eléctrica</w:t>
            </w:r>
            <w:r w:rsidR="009E6F18" w:rsidRPr="00C43897">
              <w:rPr>
                <w:rFonts w:ascii="Roboto" w:hAnsi="Roboto"/>
                <w:noProof/>
                <w:webHidden/>
              </w:rPr>
              <w:tab/>
            </w:r>
            <w:r w:rsidR="009E6F18" w:rsidRPr="00C43897">
              <w:rPr>
                <w:rFonts w:ascii="Roboto" w:hAnsi="Roboto"/>
                <w:noProof/>
                <w:webHidden/>
              </w:rPr>
              <w:fldChar w:fldCharType="begin"/>
            </w:r>
            <w:r w:rsidR="009E6F18" w:rsidRPr="00C43897">
              <w:rPr>
                <w:rFonts w:ascii="Roboto" w:hAnsi="Roboto"/>
                <w:noProof/>
                <w:webHidden/>
              </w:rPr>
              <w:instrText xml:space="preserve"> PAGEREF _Toc525729219 \h </w:instrText>
            </w:r>
            <w:r w:rsidR="009E6F18" w:rsidRPr="00C43897">
              <w:rPr>
                <w:rFonts w:ascii="Roboto" w:hAnsi="Roboto"/>
                <w:noProof/>
                <w:webHidden/>
              </w:rPr>
            </w:r>
            <w:r w:rsidR="009E6F18" w:rsidRPr="00C43897">
              <w:rPr>
                <w:rFonts w:ascii="Roboto" w:hAnsi="Roboto"/>
                <w:noProof/>
                <w:webHidden/>
              </w:rPr>
              <w:fldChar w:fldCharType="separate"/>
            </w:r>
            <w:r w:rsidR="009E6F18" w:rsidRPr="00C43897">
              <w:rPr>
                <w:rFonts w:ascii="Roboto" w:hAnsi="Roboto"/>
                <w:noProof/>
                <w:webHidden/>
              </w:rPr>
              <w:t>7</w:t>
            </w:r>
            <w:r w:rsidR="009E6F18" w:rsidRPr="00C43897">
              <w:rPr>
                <w:rFonts w:ascii="Roboto" w:hAnsi="Roboto"/>
                <w:noProof/>
                <w:webHidden/>
              </w:rPr>
              <w:fldChar w:fldCharType="end"/>
            </w:r>
          </w:hyperlink>
        </w:p>
        <w:p w14:paraId="30C6CE58" w14:textId="77777777" w:rsidR="009E6F18" w:rsidRPr="00C43897" w:rsidRDefault="005001C6">
          <w:pPr>
            <w:pStyle w:val="TOC2"/>
            <w:tabs>
              <w:tab w:val="right" w:leader="dot" w:pos="9350"/>
            </w:tabs>
            <w:rPr>
              <w:rFonts w:ascii="Roboto" w:eastAsiaTheme="minorEastAsia" w:hAnsi="Roboto" w:cstheme="minorBidi"/>
              <w:noProof/>
              <w:lang w:val="es-PA" w:eastAsia="es-PA"/>
            </w:rPr>
          </w:pPr>
          <w:hyperlink w:anchor="_Toc525729220" w:history="1">
            <w:r w:rsidR="009E6F18" w:rsidRPr="00C43897">
              <w:rPr>
                <w:rStyle w:val="Hyperlink"/>
                <w:rFonts w:ascii="Roboto" w:hAnsi="Roboto"/>
                <w:noProof/>
              </w:rPr>
              <w:t>El transporte limpio y la movilidad eléctrica como oportunidad</w:t>
            </w:r>
            <w:r w:rsidR="009E6F18" w:rsidRPr="00C43897">
              <w:rPr>
                <w:rFonts w:ascii="Roboto" w:hAnsi="Roboto"/>
                <w:noProof/>
                <w:webHidden/>
              </w:rPr>
              <w:tab/>
            </w:r>
            <w:r w:rsidR="009E6F18" w:rsidRPr="00C43897">
              <w:rPr>
                <w:rFonts w:ascii="Roboto" w:hAnsi="Roboto"/>
                <w:noProof/>
                <w:webHidden/>
              </w:rPr>
              <w:fldChar w:fldCharType="begin"/>
            </w:r>
            <w:r w:rsidR="009E6F18" w:rsidRPr="00C43897">
              <w:rPr>
                <w:rFonts w:ascii="Roboto" w:hAnsi="Roboto"/>
                <w:noProof/>
                <w:webHidden/>
              </w:rPr>
              <w:instrText xml:space="preserve"> PAGEREF _Toc525729220 \h </w:instrText>
            </w:r>
            <w:r w:rsidR="009E6F18" w:rsidRPr="00C43897">
              <w:rPr>
                <w:rFonts w:ascii="Roboto" w:hAnsi="Roboto"/>
                <w:noProof/>
                <w:webHidden/>
              </w:rPr>
            </w:r>
            <w:r w:rsidR="009E6F18" w:rsidRPr="00C43897">
              <w:rPr>
                <w:rFonts w:ascii="Roboto" w:hAnsi="Roboto"/>
                <w:noProof/>
                <w:webHidden/>
              </w:rPr>
              <w:fldChar w:fldCharType="separate"/>
            </w:r>
            <w:r w:rsidR="009E6F18" w:rsidRPr="00C43897">
              <w:rPr>
                <w:rFonts w:ascii="Roboto" w:hAnsi="Roboto"/>
                <w:noProof/>
                <w:webHidden/>
              </w:rPr>
              <w:t>7</w:t>
            </w:r>
            <w:r w:rsidR="009E6F18" w:rsidRPr="00C43897">
              <w:rPr>
                <w:rFonts w:ascii="Roboto" w:hAnsi="Roboto"/>
                <w:noProof/>
                <w:webHidden/>
              </w:rPr>
              <w:fldChar w:fldCharType="end"/>
            </w:r>
          </w:hyperlink>
        </w:p>
        <w:p w14:paraId="55E6D6D1" w14:textId="77777777" w:rsidR="009E6F18" w:rsidRPr="00C43897" w:rsidRDefault="005001C6">
          <w:pPr>
            <w:pStyle w:val="TOC2"/>
            <w:tabs>
              <w:tab w:val="right" w:leader="dot" w:pos="9350"/>
            </w:tabs>
            <w:rPr>
              <w:rFonts w:ascii="Roboto" w:eastAsiaTheme="minorEastAsia" w:hAnsi="Roboto" w:cstheme="minorBidi"/>
              <w:noProof/>
              <w:lang w:val="es-PA" w:eastAsia="es-PA"/>
            </w:rPr>
          </w:pPr>
          <w:hyperlink w:anchor="_Toc525729221" w:history="1">
            <w:r w:rsidR="009E6F18" w:rsidRPr="00C43897">
              <w:rPr>
                <w:rStyle w:val="Hyperlink"/>
                <w:rFonts w:ascii="Roboto" w:hAnsi="Roboto"/>
                <w:noProof/>
              </w:rPr>
              <w:t>Potenciar áreas de colaboración regional</w:t>
            </w:r>
            <w:r w:rsidR="009E6F18" w:rsidRPr="00C43897">
              <w:rPr>
                <w:rFonts w:ascii="Roboto" w:hAnsi="Roboto"/>
                <w:noProof/>
                <w:webHidden/>
              </w:rPr>
              <w:tab/>
            </w:r>
            <w:r w:rsidR="009E6F18" w:rsidRPr="00C43897">
              <w:rPr>
                <w:rFonts w:ascii="Roboto" w:hAnsi="Roboto"/>
                <w:noProof/>
                <w:webHidden/>
              </w:rPr>
              <w:fldChar w:fldCharType="begin"/>
            </w:r>
            <w:r w:rsidR="009E6F18" w:rsidRPr="00C43897">
              <w:rPr>
                <w:rFonts w:ascii="Roboto" w:hAnsi="Roboto"/>
                <w:noProof/>
                <w:webHidden/>
              </w:rPr>
              <w:instrText xml:space="preserve"> PAGEREF _Toc525729221 \h </w:instrText>
            </w:r>
            <w:r w:rsidR="009E6F18" w:rsidRPr="00C43897">
              <w:rPr>
                <w:rFonts w:ascii="Roboto" w:hAnsi="Roboto"/>
                <w:noProof/>
                <w:webHidden/>
              </w:rPr>
            </w:r>
            <w:r w:rsidR="009E6F18" w:rsidRPr="00C43897">
              <w:rPr>
                <w:rFonts w:ascii="Roboto" w:hAnsi="Roboto"/>
                <w:noProof/>
                <w:webHidden/>
              </w:rPr>
              <w:fldChar w:fldCharType="separate"/>
            </w:r>
            <w:r w:rsidR="009E6F18" w:rsidRPr="00C43897">
              <w:rPr>
                <w:rFonts w:ascii="Roboto" w:hAnsi="Roboto"/>
                <w:noProof/>
                <w:webHidden/>
              </w:rPr>
              <w:t>8</w:t>
            </w:r>
            <w:r w:rsidR="009E6F18" w:rsidRPr="00C43897">
              <w:rPr>
                <w:rFonts w:ascii="Roboto" w:hAnsi="Roboto"/>
                <w:noProof/>
                <w:webHidden/>
              </w:rPr>
              <w:fldChar w:fldCharType="end"/>
            </w:r>
          </w:hyperlink>
        </w:p>
        <w:p w14:paraId="13CBE965" w14:textId="77777777" w:rsidR="009E6F18" w:rsidRPr="00C43897" w:rsidRDefault="005001C6">
          <w:pPr>
            <w:pStyle w:val="TOC2"/>
            <w:tabs>
              <w:tab w:val="right" w:leader="dot" w:pos="9350"/>
            </w:tabs>
            <w:rPr>
              <w:rFonts w:ascii="Roboto" w:eastAsiaTheme="minorEastAsia" w:hAnsi="Roboto" w:cstheme="minorBidi"/>
              <w:noProof/>
              <w:lang w:val="es-PA" w:eastAsia="es-PA"/>
            </w:rPr>
          </w:pPr>
          <w:hyperlink w:anchor="_Toc525729222" w:history="1">
            <w:r w:rsidR="009E6F18" w:rsidRPr="00C43897">
              <w:rPr>
                <w:rStyle w:val="Hyperlink"/>
                <w:rFonts w:ascii="Roboto" w:hAnsi="Roboto"/>
                <w:noProof/>
              </w:rPr>
              <w:t>Propuesta para el segmento ministerial</w:t>
            </w:r>
            <w:r w:rsidR="009E6F18" w:rsidRPr="00C43897">
              <w:rPr>
                <w:rFonts w:ascii="Roboto" w:hAnsi="Roboto"/>
                <w:noProof/>
                <w:webHidden/>
              </w:rPr>
              <w:tab/>
            </w:r>
            <w:r w:rsidR="009E6F18" w:rsidRPr="00C43897">
              <w:rPr>
                <w:rFonts w:ascii="Roboto" w:hAnsi="Roboto"/>
                <w:noProof/>
                <w:webHidden/>
              </w:rPr>
              <w:fldChar w:fldCharType="begin"/>
            </w:r>
            <w:r w:rsidR="009E6F18" w:rsidRPr="00C43897">
              <w:rPr>
                <w:rFonts w:ascii="Roboto" w:hAnsi="Roboto"/>
                <w:noProof/>
                <w:webHidden/>
              </w:rPr>
              <w:instrText xml:space="preserve"> PAGEREF _Toc525729222 \h </w:instrText>
            </w:r>
            <w:r w:rsidR="009E6F18" w:rsidRPr="00C43897">
              <w:rPr>
                <w:rFonts w:ascii="Roboto" w:hAnsi="Roboto"/>
                <w:noProof/>
                <w:webHidden/>
              </w:rPr>
            </w:r>
            <w:r w:rsidR="009E6F18" w:rsidRPr="00C43897">
              <w:rPr>
                <w:rFonts w:ascii="Roboto" w:hAnsi="Roboto"/>
                <w:noProof/>
                <w:webHidden/>
              </w:rPr>
              <w:fldChar w:fldCharType="separate"/>
            </w:r>
            <w:r w:rsidR="009E6F18" w:rsidRPr="00C43897">
              <w:rPr>
                <w:rFonts w:ascii="Roboto" w:hAnsi="Roboto"/>
                <w:noProof/>
                <w:webHidden/>
              </w:rPr>
              <w:t>12</w:t>
            </w:r>
            <w:r w:rsidR="009E6F18" w:rsidRPr="00C43897">
              <w:rPr>
                <w:rFonts w:ascii="Roboto" w:hAnsi="Roboto"/>
                <w:noProof/>
                <w:webHidden/>
              </w:rPr>
              <w:fldChar w:fldCharType="end"/>
            </w:r>
          </w:hyperlink>
        </w:p>
        <w:p w14:paraId="10C57686" w14:textId="77777777" w:rsidR="009E6F18" w:rsidRPr="00C43897" w:rsidRDefault="005001C6">
          <w:pPr>
            <w:pStyle w:val="TOC1"/>
            <w:tabs>
              <w:tab w:val="right" w:leader="dot" w:pos="9350"/>
            </w:tabs>
            <w:rPr>
              <w:rFonts w:ascii="Roboto" w:eastAsiaTheme="minorEastAsia" w:hAnsi="Roboto" w:cstheme="minorBidi"/>
              <w:noProof/>
              <w:lang w:val="es-PA" w:eastAsia="es-PA"/>
            </w:rPr>
          </w:pPr>
          <w:hyperlink w:anchor="_Toc525729223" w:history="1">
            <w:r w:rsidR="009E6F18" w:rsidRPr="00C43897">
              <w:rPr>
                <w:rStyle w:val="Hyperlink"/>
                <w:rFonts w:ascii="Roboto" w:eastAsia="Roboto" w:hAnsi="Roboto" w:cs="Roboto"/>
                <w:noProof/>
              </w:rPr>
              <w:t>Planificación y seguimiento de la adaptación</w:t>
            </w:r>
            <w:r w:rsidR="009E6F18" w:rsidRPr="00C43897">
              <w:rPr>
                <w:rFonts w:ascii="Roboto" w:hAnsi="Roboto"/>
                <w:noProof/>
                <w:webHidden/>
              </w:rPr>
              <w:tab/>
            </w:r>
            <w:r w:rsidR="009E6F18" w:rsidRPr="00C43897">
              <w:rPr>
                <w:rFonts w:ascii="Roboto" w:hAnsi="Roboto"/>
                <w:noProof/>
                <w:webHidden/>
              </w:rPr>
              <w:fldChar w:fldCharType="begin"/>
            </w:r>
            <w:r w:rsidR="009E6F18" w:rsidRPr="00C43897">
              <w:rPr>
                <w:rFonts w:ascii="Roboto" w:hAnsi="Roboto"/>
                <w:noProof/>
                <w:webHidden/>
              </w:rPr>
              <w:instrText xml:space="preserve"> PAGEREF _Toc525729223 \h </w:instrText>
            </w:r>
            <w:r w:rsidR="009E6F18" w:rsidRPr="00C43897">
              <w:rPr>
                <w:rFonts w:ascii="Roboto" w:hAnsi="Roboto"/>
                <w:noProof/>
                <w:webHidden/>
              </w:rPr>
            </w:r>
            <w:r w:rsidR="009E6F18" w:rsidRPr="00C43897">
              <w:rPr>
                <w:rFonts w:ascii="Roboto" w:hAnsi="Roboto"/>
                <w:noProof/>
                <w:webHidden/>
              </w:rPr>
              <w:fldChar w:fldCharType="separate"/>
            </w:r>
            <w:r w:rsidR="009E6F18" w:rsidRPr="00C43897">
              <w:rPr>
                <w:rFonts w:ascii="Roboto" w:hAnsi="Roboto"/>
                <w:noProof/>
                <w:webHidden/>
              </w:rPr>
              <w:t>13</w:t>
            </w:r>
            <w:r w:rsidR="009E6F18" w:rsidRPr="00C43897">
              <w:rPr>
                <w:rFonts w:ascii="Roboto" w:hAnsi="Roboto"/>
                <w:noProof/>
                <w:webHidden/>
              </w:rPr>
              <w:fldChar w:fldCharType="end"/>
            </w:r>
          </w:hyperlink>
        </w:p>
        <w:p w14:paraId="0260BA51" w14:textId="77777777" w:rsidR="009E6F18" w:rsidRPr="00C43897" w:rsidRDefault="005001C6">
          <w:pPr>
            <w:pStyle w:val="TOC2"/>
            <w:tabs>
              <w:tab w:val="right" w:leader="dot" w:pos="9350"/>
            </w:tabs>
            <w:rPr>
              <w:rFonts w:ascii="Roboto" w:eastAsiaTheme="minorEastAsia" w:hAnsi="Roboto" w:cstheme="minorBidi"/>
              <w:noProof/>
              <w:lang w:val="es-PA" w:eastAsia="es-PA"/>
            </w:rPr>
          </w:pPr>
          <w:hyperlink w:anchor="_Toc525729224" w:history="1">
            <w:r w:rsidR="009E6F18" w:rsidRPr="00C43897">
              <w:rPr>
                <w:rStyle w:val="Hyperlink"/>
                <w:rFonts w:ascii="Roboto" w:hAnsi="Roboto"/>
                <w:noProof/>
              </w:rPr>
              <w:t>Necesidades y retos en el marco del Acuerdo de París</w:t>
            </w:r>
            <w:r w:rsidR="009E6F18" w:rsidRPr="00C43897">
              <w:rPr>
                <w:rFonts w:ascii="Roboto" w:hAnsi="Roboto"/>
                <w:noProof/>
                <w:webHidden/>
              </w:rPr>
              <w:tab/>
            </w:r>
            <w:r w:rsidR="009E6F18" w:rsidRPr="00C43897">
              <w:rPr>
                <w:rFonts w:ascii="Roboto" w:hAnsi="Roboto"/>
                <w:noProof/>
                <w:webHidden/>
              </w:rPr>
              <w:fldChar w:fldCharType="begin"/>
            </w:r>
            <w:r w:rsidR="009E6F18" w:rsidRPr="00C43897">
              <w:rPr>
                <w:rFonts w:ascii="Roboto" w:hAnsi="Roboto"/>
                <w:noProof/>
                <w:webHidden/>
              </w:rPr>
              <w:instrText xml:space="preserve"> PAGEREF _Toc525729224 \h </w:instrText>
            </w:r>
            <w:r w:rsidR="009E6F18" w:rsidRPr="00C43897">
              <w:rPr>
                <w:rFonts w:ascii="Roboto" w:hAnsi="Roboto"/>
                <w:noProof/>
                <w:webHidden/>
              </w:rPr>
            </w:r>
            <w:r w:rsidR="009E6F18" w:rsidRPr="00C43897">
              <w:rPr>
                <w:rFonts w:ascii="Roboto" w:hAnsi="Roboto"/>
                <w:noProof/>
                <w:webHidden/>
              </w:rPr>
              <w:fldChar w:fldCharType="separate"/>
            </w:r>
            <w:r w:rsidR="009E6F18" w:rsidRPr="00C43897">
              <w:rPr>
                <w:rFonts w:ascii="Roboto" w:hAnsi="Roboto"/>
                <w:noProof/>
                <w:webHidden/>
              </w:rPr>
              <w:t>13</w:t>
            </w:r>
            <w:r w:rsidR="009E6F18" w:rsidRPr="00C43897">
              <w:rPr>
                <w:rFonts w:ascii="Roboto" w:hAnsi="Roboto"/>
                <w:noProof/>
                <w:webHidden/>
              </w:rPr>
              <w:fldChar w:fldCharType="end"/>
            </w:r>
          </w:hyperlink>
        </w:p>
        <w:p w14:paraId="53D85B6A" w14:textId="77777777" w:rsidR="009E6F18" w:rsidRPr="00C43897" w:rsidRDefault="005001C6">
          <w:pPr>
            <w:pStyle w:val="TOC2"/>
            <w:tabs>
              <w:tab w:val="right" w:leader="dot" w:pos="9350"/>
            </w:tabs>
            <w:rPr>
              <w:rFonts w:ascii="Roboto" w:eastAsiaTheme="minorEastAsia" w:hAnsi="Roboto" w:cstheme="minorBidi"/>
              <w:noProof/>
              <w:lang w:val="es-PA" w:eastAsia="es-PA"/>
            </w:rPr>
          </w:pPr>
          <w:hyperlink w:anchor="_Toc525729225" w:history="1">
            <w:r w:rsidR="009E6F18" w:rsidRPr="00C43897">
              <w:rPr>
                <w:rStyle w:val="Hyperlink"/>
                <w:rFonts w:ascii="Roboto" w:hAnsi="Roboto"/>
                <w:noProof/>
              </w:rPr>
              <w:t>Propuesta para el segmento ministerial</w:t>
            </w:r>
            <w:r w:rsidR="009E6F18" w:rsidRPr="00C43897">
              <w:rPr>
                <w:rFonts w:ascii="Roboto" w:hAnsi="Roboto"/>
                <w:noProof/>
                <w:webHidden/>
              </w:rPr>
              <w:tab/>
            </w:r>
            <w:r w:rsidR="009E6F18" w:rsidRPr="00C43897">
              <w:rPr>
                <w:rFonts w:ascii="Roboto" w:hAnsi="Roboto"/>
                <w:noProof/>
                <w:webHidden/>
              </w:rPr>
              <w:fldChar w:fldCharType="begin"/>
            </w:r>
            <w:r w:rsidR="009E6F18" w:rsidRPr="00C43897">
              <w:rPr>
                <w:rFonts w:ascii="Roboto" w:hAnsi="Roboto"/>
                <w:noProof/>
                <w:webHidden/>
              </w:rPr>
              <w:instrText xml:space="preserve"> PAGEREF _Toc525729225 \h </w:instrText>
            </w:r>
            <w:r w:rsidR="009E6F18" w:rsidRPr="00C43897">
              <w:rPr>
                <w:rFonts w:ascii="Roboto" w:hAnsi="Roboto"/>
                <w:noProof/>
                <w:webHidden/>
              </w:rPr>
            </w:r>
            <w:r w:rsidR="009E6F18" w:rsidRPr="00C43897">
              <w:rPr>
                <w:rFonts w:ascii="Roboto" w:hAnsi="Roboto"/>
                <w:noProof/>
                <w:webHidden/>
              </w:rPr>
              <w:fldChar w:fldCharType="separate"/>
            </w:r>
            <w:r w:rsidR="009E6F18" w:rsidRPr="00C43897">
              <w:rPr>
                <w:rFonts w:ascii="Roboto" w:hAnsi="Roboto"/>
                <w:noProof/>
                <w:webHidden/>
              </w:rPr>
              <w:t>17</w:t>
            </w:r>
            <w:r w:rsidR="009E6F18" w:rsidRPr="00C43897">
              <w:rPr>
                <w:rFonts w:ascii="Roboto" w:hAnsi="Roboto"/>
                <w:noProof/>
                <w:webHidden/>
              </w:rPr>
              <w:fldChar w:fldCharType="end"/>
            </w:r>
          </w:hyperlink>
        </w:p>
        <w:p w14:paraId="2E37CEDF" w14:textId="77777777" w:rsidR="009E6F18" w:rsidRPr="00C43897" w:rsidRDefault="005001C6">
          <w:pPr>
            <w:pStyle w:val="TOC1"/>
            <w:tabs>
              <w:tab w:val="right" w:leader="dot" w:pos="9350"/>
            </w:tabs>
            <w:rPr>
              <w:rFonts w:ascii="Roboto" w:eastAsiaTheme="minorEastAsia" w:hAnsi="Roboto" w:cstheme="minorBidi"/>
              <w:noProof/>
              <w:lang w:val="es-PA" w:eastAsia="es-PA"/>
            </w:rPr>
          </w:pPr>
          <w:hyperlink w:anchor="_Toc525729226" w:history="1">
            <w:r w:rsidR="009E6F18" w:rsidRPr="00C43897">
              <w:rPr>
                <w:rStyle w:val="Hyperlink"/>
                <w:rFonts w:ascii="Roboto" w:eastAsia="Roboto" w:hAnsi="Roboto" w:cs="Roboto"/>
                <w:noProof/>
              </w:rPr>
              <w:t>La plataforma de cambio climático del Foro de Ministros: oportunidad para fortalecer la cooperación regional</w:t>
            </w:r>
            <w:r w:rsidR="009E6F18" w:rsidRPr="00C43897">
              <w:rPr>
                <w:rFonts w:ascii="Roboto" w:hAnsi="Roboto"/>
                <w:noProof/>
                <w:webHidden/>
              </w:rPr>
              <w:tab/>
            </w:r>
            <w:r w:rsidR="009E6F18" w:rsidRPr="00C43897">
              <w:rPr>
                <w:rFonts w:ascii="Roboto" w:hAnsi="Roboto"/>
                <w:noProof/>
                <w:webHidden/>
              </w:rPr>
              <w:fldChar w:fldCharType="begin"/>
            </w:r>
            <w:r w:rsidR="009E6F18" w:rsidRPr="00C43897">
              <w:rPr>
                <w:rFonts w:ascii="Roboto" w:hAnsi="Roboto"/>
                <w:noProof/>
                <w:webHidden/>
              </w:rPr>
              <w:instrText xml:space="preserve"> PAGEREF _Toc525729226 \h </w:instrText>
            </w:r>
            <w:r w:rsidR="009E6F18" w:rsidRPr="00C43897">
              <w:rPr>
                <w:rFonts w:ascii="Roboto" w:hAnsi="Roboto"/>
                <w:noProof/>
                <w:webHidden/>
              </w:rPr>
            </w:r>
            <w:r w:rsidR="009E6F18" w:rsidRPr="00C43897">
              <w:rPr>
                <w:rFonts w:ascii="Roboto" w:hAnsi="Roboto"/>
                <w:noProof/>
                <w:webHidden/>
              </w:rPr>
              <w:fldChar w:fldCharType="separate"/>
            </w:r>
            <w:r w:rsidR="009E6F18" w:rsidRPr="00C43897">
              <w:rPr>
                <w:rFonts w:ascii="Roboto" w:hAnsi="Roboto"/>
                <w:noProof/>
                <w:webHidden/>
              </w:rPr>
              <w:t>18</w:t>
            </w:r>
            <w:r w:rsidR="009E6F18" w:rsidRPr="00C43897">
              <w:rPr>
                <w:rFonts w:ascii="Roboto" w:hAnsi="Roboto"/>
                <w:noProof/>
                <w:webHidden/>
              </w:rPr>
              <w:fldChar w:fldCharType="end"/>
            </w:r>
          </w:hyperlink>
        </w:p>
        <w:p w14:paraId="2E0817EE" w14:textId="77777777" w:rsidR="009E6F18" w:rsidRDefault="005001C6">
          <w:pPr>
            <w:pStyle w:val="TOC2"/>
            <w:tabs>
              <w:tab w:val="right" w:leader="dot" w:pos="9350"/>
            </w:tabs>
            <w:rPr>
              <w:rFonts w:asciiTheme="minorHAnsi" w:eastAsiaTheme="minorEastAsia" w:hAnsiTheme="minorHAnsi" w:cstheme="minorBidi"/>
              <w:noProof/>
              <w:lang w:val="es-PA" w:eastAsia="es-PA"/>
            </w:rPr>
          </w:pPr>
          <w:hyperlink w:anchor="_Toc525729227" w:history="1">
            <w:r w:rsidR="009E6F18" w:rsidRPr="00C43897">
              <w:rPr>
                <w:rStyle w:val="Hyperlink"/>
                <w:rFonts w:ascii="Roboto" w:hAnsi="Roboto"/>
                <w:noProof/>
              </w:rPr>
              <w:t>Propuesta para el segmento ministerial</w:t>
            </w:r>
            <w:r w:rsidR="009E6F18" w:rsidRPr="00C43897">
              <w:rPr>
                <w:rFonts w:ascii="Roboto" w:hAnsi="Roboto"/>
                <w:noProof/>
                <w:webHidden/>
              </w:rPr>
              <w:tab/>
            </w:r>
            <w:r w:rsidR="009E6F18" w:rsidRPr="00C43897">
              <w:rPr>
                <w:rFonts w:ascii="Roboto" w:hAnsi="Roboto"/>
                <w:noProof/>
                <w:webHidden/>
              </w:rPr>
              <w:fldChar w:fldCharType="begin"/>
            </w:r>
            <w:r w:rsidR="009E6F18" w:rsidRPr="00C43897">
              <w:rPr>
                <w:rFonts w:ascii="Roboto" w:hAnsi="Roboto"/>
                <w:noProof/>
                <w:webHidden/>
              </w:rPr>
              <w:instrText xml:space="preserve"> PAGEREF _Toc525729227 \h </w:instrText>
            </w:r>
            <w:r w:rsidR="009E6F18" w:rsidRPr="00C43897">
              <w:rPr>
                <w:rFonts w:ascii="Roboto" w:hAnsi="Roboto"/>
                <w:noProof/>
                <w:webHidden/>
              </w:rPr>
            </w:r>
            <w:r w:rsidR="009E6F18" w:rsidRPr="00C43897">
              <w:rPr>
                <w:rFonts w:ascii="Roboto" w:hAnsi="Roboto"/>
                <w:noProof/>
                <w:webHidden/>
              </w:rPr>
              <w:fldChar w:fldCharType="separate"/>
            </w:r>
            <w:r w:rsidR="009E6F18" w:rsidRPr="00C43897">
              <w:rPr>
                <w:rFonts w:ascii="Roboto" w:hAnsi="Roboto"/>
                <w:noProof/>
                <w:webHidden/>
              </w:rPr>
              <w:t>19</w:t>
            </w:r>
            <w:r w:rsidR="009E6F18" w:rsidRPr="00C43897">
              <w:rPr>
                <w:rFonts w:ascii="Roboto" w:hAnsi="Roboto"/>
                <w:noProof/>
                <w:webHidden/>
              </w:rPr>
              <w:fldChar w:fldCharType="end"/>
            </w:r>
          </w:hyperlink>
        </w:p>
        <w:p w14:paraId="078AD3EA" w14:textId="77777777" w:rsidR="008A0D96" w:rsidRDefault="009E6F18" w:rsidP="009E6F18">
          <w:pPr>
            <w:pStyle w:val="TOC1"/>
            <w:tabs>
              <w:tab w:val="right" w:pos="9350"/>
            </w:tabs>
            <w:rPr>
              <w:rFonts w:ascii="Roboto" w:eastAsia="Roboto" w:hAnsi="Roboto" w:cs="Roboto"/>
            </w:rPr>
          </w:pPr>
          <w:r>
            <w:fldChar w:fldCharType="end"/>
          </w:r>
        </w:p>
      </w:sdtContent>
    </w:sdt>
    <w:p w14:paraId="73F0724D" w14:textId="77777777" w:rsidR="008A0D96" w:rsidRDefault="008A0D96">
      <w:pPr>
        <w:spacing w:line="240" w:lineRule="auto"/>
        <w:rPr>
          <w:rFonts w:ascii="Roboto" w:eastAsia="Roboto" w:hAnsi="Roboto" w:cs="Roboto"/>
        </w:rPr>
      </w:pPr>
    </w:p>
    <w:p w14:paraId="6A5DD9F3" w14:textId="77777777" w:rsidR="008A0D96" w:rsidRDefault="00526AE1">
      <w:pPr>
        <w:spacing w:line="240" w:lineRule="auto"/>
        <w:rPr>
          <w:rFonts w:ascii="Roboto" w:eastAsia="Roboto" w:hAnsi="Roboto" w:cs="Roboto"/>
          <w:color w:val="2F5496"/>
          <w:sz w:val="32"/>
          <w:szCs w:val="32"/>
        </w:rPr>
      </w:pPr>
      <w:bookmarkStart w:id="1" w:name="_30j0zll" w:colFirst="0" w:colLast="0"/>
      <w:bookmarkEnd w:id="1"/>
      <w:r>
        <w:br w:type="page"/>
      </w:r>
    </w:p>
    <w:p w14:paraId="2D7F215C" w14:textId="77777777" w:rsidR="008A0D96" w:rsidRDefault="00526AE1">
      <w:pPr>
        <w:pStyle w:val="Heading1"/>
        <w:spacing w:line="240" w:lineRule="auto"/>
        <w:rPr>
          <w:rFonts w:ascii="Roboto" w:eastAsia="Roboto" w:hAnsi="Roboto" w:cs="Roboto"/>
        </w:rPr>
      </w:pPr>
      <w:bookmarkStart w:id="2" w:name="_Toc525729216"/>
      <w:r>
        <w:rPr>
          <w:rFonts w:ascii="Roboto" w:eastAsia="Roboto" w:hAnsi="Roboto" w:cs="Roboto"/>
        </w:rPr>
        <w:lastRenderedPageBreak/>
        <w:t>Introducción</w:t>
      </w:r>
      <w:bookmarkEnd w:id="2"/>
      <w:r>
        <w:rPr>
          <w:rFonts w:ascii="Roboto" w:eastAsia="Roboto" w:hAnsi="Roboto" w:cs="Roboto"/>
        </w:rPr>
        <w:t xml:space="preserve">  </w:t>
      </w:r>
    </w:p>
    <w:p w14:paraId="012F9759" w14:textId="77777777" w:rsidR="008A0D96" w:rsidRDefault="008A0D96">
      <w:pPr>
        <w:spacing w:line="240" w:lineRule="auto"/>
        <w:jc w:val="both"/>
        <w:rPr>
          <w:rFonts w:ascii="Roboto" w:eastAsia="Roboto" w:hAnsi="Roboto" w:cs="Roboto"/>
        </w:rPr>
      </w:pPr>
    </w:p>
    <w:p w14:paraId="19CDEB67" w14:textId="77777777" w:rsidR="006C39AF" w:rsidRDefault="00526AE1" w:rsidP="001A2CEC">
      <w:pPr>
        <w:spacing w:after="0" w:line="240" w:lineRule="auto"/>
        <w:ind w:left="360"/>
        <w:contextualSpacing/>
        <w:jc w:val="both"/>
        <w:rPr>
          <w:rFonts w:ascii="Roboto" w:eastAsia="Roboto" w:hAnsi="Roboto" w:cs="Roboto"/>
        </w:rPr>
      </w:pPr>
      <w:r>
        <w:rPr>
          <w:rFonts w:ascii="Roboto" w:eastAsia="Roboto" w:hAnsi="Roboto" w:cs="Roboto"/>
        </w:rPr>
        <w:t xml:space="preserve">Los efectos del cambio climático significan un desafío urgente para alcanzar un crecimiento económico fuerte e inclusivo, el desarrollo sostenible y erradicación de la pobreza. Lograr un crecimiento compatible con el clima requerirá reorientar las economías hacia vías de desarrollo con bajo nivel de emisiones de gases de efecto invernadero y alta resiliencia a los efectos del cambio climático. </w:t>
      </w:r>
    </w:p>
    <w:p w14:paraId="0BCC9F7F" w14:textId="77777777" w:rsidR="006C39AF" w:rsidRDefault="006C39AF" w:rsidP="006C39AF">
      <w:pPr>
        <w:spacing w:after="0" w:line="240" w:lineRule="auto"/>
        <w:ind w:left="360"/>
        <w:contextualSpacing/>
        <w:jc w:val="both"/>
        <w:rPr>
          <w:rFonts w:ascii="Roboto" w:eastAsia="Roboto" w:hAnsi="Roboto" w:cs="Roboto"/>
        </w:rPr>
      </w:pPr>
    </w:p>
    <w:p w14:paraId="440F7848" w14:textId="77777777" w:rsidR="008A0D96" w:rsidRDefault="00526AE1" w:rsidP="001A2CEC">
      <w:pPr>
        <w:spacing w:after="0" w:line="240" w:lineRule="auto"/>
        <w:ind w:left="360"/>
        <w:contextualSpacing/>
        <w:jc w:val="both"/>
        <w:rPr>
          <w:rFonts w:ascii="Roboto" w:eastAsia="Roboto" w:hAnsi="Roboto" w:cs="Roboto"/>
        </w:rPr>
      </w:pPr>
      <w:r>
        <w:rPr>
          <w:rFonts w:ascii="Roboto" w:eastAsia="Roboto" w:hAnsi="Roboto" w:cs="Roboto"/>
        </w:rPr>
        <w:t xml:space="preserve">Las estrategias de desarrollo con bajas emisiones de gases de efecto invernadero a largo plazo se presentan como una oportunidad para que los países proyecten un futuro viable para el cambio climático al incorporar el clima como núcleo en las estrategias nacionales de crecimiento y desarrollo. Estas permiten orientar la acción y la planificación en el corto y medio plazo; evitar inmovilización de activos y guiar en la implementación y formulación de las contribuciones nacionalmente determinadas. Además, a medida que los países vayan comunicando sus estrategias de desarrollo con bajas emisiones de gases de efecto invernadero a largo plazo, se logrará mayor claridad sobre futuras trayectorias de emisiones y potenciales necesidades de adaptación. El Foro de Ministros de Medio Ambiente de América Latina y el Caribe representa un espacio apropiado para fomentar la cooperación regional en este tema y facilitar el intercambio de experiencias para el desarrollo de las estrategias a largo plazo tanto en materia de movilidad limpia y eléctrica como de la planificación y el seguimiento de las medidas de adaptación. </w:t>
      </w:r>
    </w:p>
    <w:p w14:paraId="208639A3" w14:textId="77777777" w:rsidR="008A0D96" w:rsidRDefault="008A0D96">
      <w:pPr>
        <w:pBdr>
          <w:top w:val="nil"/>
          <w:left w:val="nil"/>
          <w:bottom w:val="nil"/>
          <w:right w:val="nil"/>
          <w:between w:val="nil"/>
        </w:pBdr>
        <w:spacing w:after="0" w:line="240" w:lineRule="auto"/>
        <w:ind w:left="360"/>
        <w:jc w:val="both"/>
        <w:rPr>
          <w:rFonts w:ascii="Roboto" w:eastAsia="Roboto" w:hAnsi="Roboto" w:cs="Roboto"/>
        </w:rPr>
      </w:pPr>
    </w:p>
    <w:p w14:paraId="585DEB58" w14:textId="77777777" w:rsidR="008A0D96" w:rsidRDefault="00526AE1" w:rsidP="001A2CEC">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 xml:space="preserve">Una de las áreas que emerge como de las más tangibles </w:t>
      </w:r>
      <w:proofErr w:type="gramStart"/>
      <w:r>
        <w:rPr>
          <w:rFonts w:ascii="Roboto" w:eastAsia="Roboto" w:hAnsi="Roboto" w:cs="Roboto"/>
          <w:color w:val="000000"/>
        </w:rPr>
        <w:t xml:space="preserve">en </w:t>
      </w:r>
      <w:r w:rsidRPr="009E6F18">
        <w:rPr>
          <w:rFonts w:ascii="Roboto" w:eastAsia="Roboto" w:hAnsi="Roboto" w:cs="Roboto"/>
        </w:rPr>
        <w:t>relación a</w:t>
      </w:r>
      <w:proofErr w:type="gramEnd"/>
      <w:r w:rsidRPr="009E6F18">
        <w:rPr>
          <w:rFonts w:ascii="Roboto" w:eastAsia="Roboto" w:hAnsi="Roboto" w:cs="Roboto"/>
        </w:rPr>
        <w:t xml:space="preserve"> la </w:t>
      </w:r>
      <w:r>
        <w:rPr>
          <w:rFonts w:ascii="Roboto" w:eastAsia="Roboto" w:hAnsi="Roboto" w:cs="Roboto"/>
          <w:color w:val="000000"/>
        </w:rPr>
        <w:t>cooperación regional en materia de descarbonización y cambio climático es el transporte limpio y la movilidad eléctrica. Esta agenda permite poner el gran avance tecnológico al servicio de la descarbonización y la calidad de vida de la población con énfasis en la modernización de los servicios de transporte público. A la vez, la cooperación en materia de tecnologías limpias, ba</w:t>
      </w:r>
      <w:r w:rsidRPr="009E6F18">
        <w:rPr>
          <w:rFonts w:ascii="Roboto" w:eastAsia="Roboto" w:hAnsi="Roboto" w:cs="Roboto"/>
        </w:rPr>
        <w:t xml:space="preserve">jas en </w:t>
      </w:r>
      <w:r>
        <w:rPr>
          <w:rFonts w:ascii="Roboto" w:eastAsia="Roboto" w:hAnsi="Roboto" w:cs="Roboto"/>
          <w:color w:val="000000"/>
        </w:rPr>
        <w:t>emisiones, para el transporte crean un vínculo natural con la innovación, que es uno de los pilares de la cuarta Asamblea de las Naciones Unidas de Medio Ambiente.</w:t>
      </w:r>
    </w:p>
    <w:p w14:paraId="261A7399" w14:textId="77777777" w:rsidR="008A0D96" w:rsidRDefault="008A0D96">
      <w:pPr>
        <w:pBdr>
          <w:top w:val="nil"/>
          <w:left w:val="nil"/>
          <w:bottom w:val="nil"/>
          <w:right w:val="nil"/>
          <w:between w:val="nil"/>
        </w:pBdr>
        <w:spacing w:after="0" w:line="240" w:lineRule="auto"/>
        <w:ind w:left="360" w:hanging="720"/>
        <w:jc w:val="both"/>
        <w:rPr>
          <w:rFonts w:ascii="Roboto" w:eastAsia="Roboto" w:hAnsi="Roboto" w:cs="Roboto"/>
          <w:color w:val="000000"/>
        </w:rPr>
      </w:pPr>
    </w:p>
    <w:p w14:paraId="5FD18C3F" w14:textId="77777777" w:rsidR="008A0D96" w:rsidRDefault="00526AE1" w:rsidP="001A2CEC">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 xml:space="preserve">Como consecuencia del establecimiento de un objetivo </w:t>
      </w:r>
      <w:r w:rsidRPr="009E6F18">
        <w:rPr>
          <w:rFonts w:ascii="Roboto" w:eastAsia="Roboto" w:hAnsi="Roboto" w:cs="Roboto"/>
        </w:rPr>
        <w:t xml:space="preserve">mundial relativo a </w:t>
      </w:r>
      <w:r w:rsidR="006C39AF" w:rsidRPr="009E6F18">
        <w:rPr>
          <w:rFonts w:ascii="Roboto" w:eastAsia="Roboto" w:hAnsi="Roboto" w:cs="Roboto"/>
        </w:rPr>
        <w:t xml:space="preserve">la </w:t>
      </w:r>
      <w:r w:rsidR="006C39AF">
        <w:rPr>
          <w:rFonts w:ascii="Roboto" w:eastAsia="Roboto" w:hAnsi="Roboto" w:cs="Roboto"/>
          <w:color w:val="000000"/>
        </w:rPr>
        <w:t>adaptación</w:t>
      </w:r>
      <w:r>
        <w:rPr>
          <w:rFonts w:ascii="Roboto" w:eastAsia="Roboto" w:hAnsi="Roboto" w:cs="Roboto"/>
          <w:color w:val="000000"/>
        </w:rPr>
        <w:t xml:space="preserve"> en el Acuerdo de París, los países se han comprometido a elaborar y actualizar regularmente planes y estrategias de adaptación, y reportar sobre los avances en este ámbito. La elaboración de Planes Nacionales de Adaptación, considerada como un proceso permanente e iterativo de fortalecimiento de capacidades, instituciones y políticas, brinda oportunidades para la cooperación regional, ya que “es más eficiente acometer algunas etapas de este proceso, como la modelización del clima, la evaluación de la vulnerabilidad y los riesgos y la gestión del conocimiento, a escala regional”. (UNFCCC, 2018). </w:t>
      </w:r>
    </w:p>
    <w:p w14:paraId="04FE3AA9" w14:textId="77777777" w:rsidR="008A0D96" w:rsidRDefault="008A0D96">
      <w:pPr>
        <w:pBdr>
          <w:top w:val="nil"/>
          <w:left w:val="nil"/>
          <w:bottom w:val="nil"/>
          <w:right w:val="nil"/>
          <w:between w:val="nil"/>
        </w:pBdr>
        <w:spacing w:after="0"/>
        <w:ind w:left="720" w:hanging="720"/>
        <w:rPr>
          <w:rFonts w:ascii="Roboto" w:eastAsia="Roboto" w:hAnsi="Roboto" w:cs="Roboto"/>
          <w:color w:val="000000"/>
        </w:rPr>
      </w:pPr>
    </w:p>
    <w:p w14:paraId="281D1CD8" w14:textId="77777777"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color w:val="000000"/>
        </w:rPr>
      </w:pPr>
      <w:r>
        <w:rPr>
          <w:rFonts w:ascii="Roboto" w:eastAsia="Roboto" w:hAnsi="Roboto" w:cs="Roboto"/>
          <w:color w:val="000000"/>
        </w:rPr>
        <w:t xml:space="preserve">Por otra parte, la Plataforma Regional de Cooperación sobre Cambio Climático para América Latina y el Caribe creada en la Declaración de Cartagena (2016) proporciona un espacio para materializar estas oportunidades de cooperación regional. Para ello, en línea con lo acordado en la pasada reunión </w:t>
      </w:r>
      <w:proofErr w:type="spellStart"/>
      <w:r>
        <w:rPr>
          <w:rFonts w:ascii="Roboto" w:eastAsia="Roboto" w:hAnsi="Roboto" w:cs="Roboto"/>
          <w:color w:val="000000"/>
        </w:rPr>
        <w:t>intersesional</w:t>
      </w:r>
      <w:proofErr w:type="spellEnd"/>
      <w:r>
        <w:rPr>
          <w:rFonts w:ascii="Roboto" w:eastAsia="Roboto" w:hAnsi="Roboto" w:cs="Roboto"/>
          <w:color w:val="000000"/>
        </w:rPr>
        <w:t xml:space="preserve">, se puede aprovechar la existencia de plataformas regionales en materia de cambio climático que ya cuentan con financiación y con una trayectoria de trabajo en cambio climático – específicamente las iniciativas </w:t>
      </w:r>
      <w:proofErr w:type="spellStart"/>
      <w:r>
        <w:rPr>
          <w:rFonts w:ascii="Roboto" w:eastAsia="Roboto" w:hAnsi="Roboto" w:cs="Roboto"/>
          <w:color w:val="000000"/>
        </w:rPr>
        <w:t>Regatta</w:t>
      </w:r>
      <w:proofErr w:type="spellEnd"/>
      <w:r>
        <w:rPr>
          <w:rFonts w:ascii="Roboto" w:eastAsia="Roboto" w:hAnsi="Roboto" w:cs="Roboto"/>
          <w:color w:val="000000"/>
        </w:rPr>
        <w:t xml:space="preserve"> y </w:t>
      </w:r>
      <w:proofErr w:type="spellStart"/>
      <w:r>
        <w:rPr>
          <w:rFonts w:ascii="Roboto" w:eastAsia="Roboto" w:hAnsi="Roboto" w:cs="Roboto"/>
          <w:color w:val="000000"/>
        </w:rPr>
        <w:t>Euroclima</w:t>
      </w:r>
      <w:proofErr w:type="spellEnd"/>
      <w:r w:rsidRPr="009E6F18">
        <w:rPr>
          <w:rFonts w:ascii="Roboto" w:eastAsia="Roboto" w:hAnsi="Roboto" w:cs="Roboto"/>
        </w:rPr>
        <w:t>+</w:t>
      </w:r>
      <w:r>
        <w:rPr>
          <w:rFonts w:ascii="Roboto" w:eastAsia="Roboto" w:hAnsi="Roboto" w:cs="Roboto"/>
          <w:color w:val="000000"/>
        </w:rPr>
        <w:t xml:space="preserve">. </w:t>
      </w:r>
    </w:p>
    <w:p w14:paraId="7FE84DD3" w14:textId="77777777" w:rsidR="008A0D96" w:rsidRDefault="00526AE1" w:rsidP="009E6F18">
      <w:pPr>
        <w:pStyle w:val="Heading1"/>
        <w:spacing w:line="240" w:lineRule="auto"/>
        <w:rPr>
          <w:rFonts w:ascii="Roboto" w:eastAsia="Roboto" w:hAnsi="Roboto" w:cs="Roboto"/>
        </w:rPr>
      </w:pPr>
      <w:bookmarkStart w:id="3" w:name="_thxbaj261vw3" w:colFirst="0" w:colLast="0"/>
      <w:bookmarkStart w:id="4" w:name="_Toc525729217"/>
      <w:bookmarkEnd w:id="3"/>
      <w:r>
        <w:rPr>
          <w:rFonts w:ascii="Roboto" w:eastAsia="Roboto" w:hAnsi="Roboto" w:cs="Roboto"/>
        </w:rPr>
        <w:lastRenderedPageBreak/>
        <w:t>Estrategias de desarrollo con bajas emisiones de gases de efecto invernadero a largo plazo</w:t>
      </w:r>
      <w:bookmarkEnd w:id="4"/>
    </w:p>
    <w:p w14:paraId="0DFEA32C" w14:textId="77777777" w:rsidR="008A0D96" w:rsidRPr="009E6F18" w:rsidRDefault="008A0D96">
      <w:pPr>
        <w:spacing w:after="0" w:line="276" w:lineRule="auto"/>
        <w:jc w:val="both"/>
        <w:rPr>
          <w:rFonts w:ascii="Roboto" w:eastAsia="Roboto" w:hAnsi="Roboto" w:cs="Roboto"/>
          <w:color w:val="222222"/>
          <w:highlight w:val="white"/>
        </w:rPr>
      </w:pPr>
    </w:p>
    <w:p w14:paraId="7CC68AD9" w14:textId="77777777"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rPr>
      </w:pPr>
      <w:r w:rsidRPr="009E6F18">
        <w:rPr>
          <w:rFonts w:ascii="Roboto" w:eastAsia="Roboto" w:hAnsi="Roboto" w:cs="Roboto"/>
          <w:color w:val="222222"/>
          <w:highlight w:val="white"/>
        </w:rPr>
        <w:t xml:space="preserve">Las estrategias de desarrollo con bajas emisiones de gases de efecto invernadero a largo plazo (estrategias de desarrollo a largo plazo) </w:t>
      </w:r>
      <w:r>
        <w:rPr>
          <w:rFonts w:ascii="Roboto" w:eastAsia="Roboto" w:hAnsi="Roboto" w:cs="Roboto"/>
        </w:rPr>
        <w:t xml:space="preserve">son fundamentalmente un ejercicio voluntario y dirigido a nivel nacional. </w:t>
      </w:r>
    </w:p>
    <w:p w14:paraId="67C9AC0D" w14:textId="77777777" w:rsidR="008A0D96" w:rsidRPr="009E6F18" w:rsidRDefault="008A0D96">
      <w:pPr>
        <w:spacing w:after="0" w:line="276" w:lineRule="auto"/>
        <w:jc w:val="both"/>
        <w:rPr>
          <w:rFonts w:ascii="Roboto" w:eastAsia="Roboto" w:hAnsi="Roboto" w:cs="Roboto"/>
          <w:color w:val="222222"/>
          <w:highlight w:val="white"/>
        </w:rPr>
      </w:pPr>
    </w:p>
    <w:p w14:paraId="3EDA6D6D" w14:textId="77777777"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rPr>
      </w:pPr>
      <w:r w:rsidRPr="009E6F18">
        <w:rPr>
          <w:rFonts w:ascii="Roboto" w:eastAsia="Roboto" w:hAnsi="Roboto" w:cs="Roboto"/>
          <w:color w:val="222222"/>
          <w:highlight w:val="white"/>
        </w:rPr>
        <w:t>S</w:t>
      </w:r>
      <w:r>
        <w:rPr>
          <w:rFonts w:ascii="Roboto" w:eastAsia="Roboto" w:hAnsi="Roboto" w:cs="Roboto"/>
        </w:rPr>
        <w:t>e presentan como una oportunidad para que los países proyecten un futuro viable para el cambio climático. Estas permiten brindar orientación para la acción y la planificación a corto y medio plazo; evitar la inmovilización de activos y; guiar en la implementación y formulación de las contribuciones nacionalmente determinadas (</w:t>
      </w:r>
      <w:proofErr w:type="spellStart"/>
      <w:r>
        <w:rPr>
          <w:rFonts w:ascii="Roboto" w:eastAsia="Roboto" w:hAnsi="Roboto" w:cs="Roboto"/>
        </w:rPr>
        <w:t>NDCs</w:t>
      </w:r>
      <w:proofErr w:type="spellEnd"/>
      <w:r>
        <w:rPr>
          <w:rFonts w:ascii="Roboto" w:eastAsia="Roboto" w:hAnsi="Roboto" w:cs="Roboto"/>
        </w:rPr>
        <w:t xml:space="preserve">, por </w:t>
      </w:r>
      <w:proofErr w:type="gramStart"/>
      <w:r>
        <w:rPr>
          <w:rFonts w:ascii="Roboto" w:eastAsia="Roboto" w:hAnsi="Roboto" w:cs="Roboto"/>
        </w:rPr>
        <w:t>su siglas</w:t>
      </w:r>
      <w:proofErr w:type="gramEnd"/>
      <w:r>
        <w:rPr>
          <w:rFonts w:ascii="Roboto" w:eastAsia="Roboto" w:hAnsi="Roboto" w:cs="Roboto"/>
        </w:rPr>
        <w:t xml:space="preserve"> en inglés). </w:t>
      </w:r>
      <w:r w:rsidRPr="009E6F18">
        <w:rPr>
          <w:rFonts w:ascii="Roboto" w:eastAsia="Roboto" w:hAnsi="Roboto" w:cs="Roboto"/>
        </w:rPr>
        <w:t>A medida que los países vayan comunicando sus estrategias de desarrollo con bajas emisiones de gases de efecto invernadero a largo plazo, se logrará mayor claridad sobre futuras trayectorias de emisiones y potenciales necesidades de adaptación.</w:t>
      </w:r>
    </w:p>
    <w:p w14:paraId="5CA4CE5B" w14:textId="77777777" w:rsidR="008A0D96" w:rsidRDefault="008A0D96">
      <w:pPr>
        <w:jc w:val="both"/>
        <w:rPr>
          <w:rFonts w:ascii="Roboto" w:eastAsia="Roboto" w:hAnsi="Roboto" w:cs="Roboto"/>
        </w:rPr>
      </w:pPr>
    </w:p>
    <w:p w14:paraId="398D5825" w14:textId="21654A71"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rPr>
      </w:pPr>
      <w:r>
        <w:rPr>
          <w:rFonts w:ascii="Roboto" w:eastAsia="Roboto" w:hAnsi="Roboto" w:cs="Roboto"/>
        </w:rPr>
        <w:t xml:space="preserve">Hasta junio de 2018, ocho países (Canadá, Francia, Alemania, México, el Reino Unido, Estados Unidos, </w:t>
      </w:r>
      <w:proofErr w:type="spellStart"/>
      <w:r>
        <w:rPr>
          <w:rFonts w:ascii="Roboto" w:eastAsia="Roboto" w:hAnsi="Roboto" w:cs="Roboto"/>
        </w:rPr>
        <w:t>Benin</w:t>
      </w:r>
      <w:proofErr w:type="spellEnd"/>
      <w:r>
        <w:rPr>
          <w:rFonts w:ascii="Roboto" w:eastAsia="Roboto" w:hAnsi="Roboto" w:cs="Roboto"/>
        </w:rPr>
        <w:t xml:space="preserve"> y República Checa), han comunicado formalmente sus estrategias a largo plazo a la Convención Marco de las Naciones Unidas sobre el Cambio Climático (CMNUCC). Muchos otros países han iniciado procesos internos para preparar estas estrategias antes de 2020, fecha sugerida en el Acuerdo de París. Otros países apuntan a una planificación con horizontes a 2030-50. </w:t>
      </w:r>
    </w:p>
    <w:p w14:paraId="45E59995" w14:textId="77777777" w:rsidR="0081321C" w:rsidRDefault="0081321C" w:rsidP="0081321C">
      <w:pPr>
        <w:pBdr>
          <w:top w:val="nil"/>
          <w:left w:val="nil"/>
          <w:bottom w:val="nil"/>
          <w:right w:val="nil"/>
          <w:between w:val="nil"/>
        </w:pBdr>
        <w:spacing w:line="240" w:lineRule="auto"/>
        <w:ind w:left="360"/>
        <w:contextualSpacing/>
        <w:jc w:val="both"/>
        <w:rPr>
          <w:rFonts w:ascii="Roboto" w:eastAsia="Roboto" w:hAnsi="Roboto" w:cs="Roboto"/>
        </w:rPr>
      </w:pPr>
    </w:p>
    <w:p w14:paraId="7E7B4A2C" w14:textId="1A053365"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rPr>
      </w:pPr>
      <w:r>
        <w:rPr>
          <w:rFonts w:ascii="Roboto" w:eastAsia="Roboto" w:hAnsi="Roboto" w:cs="Roboto"/>
        </w:rPr>
        <w:t xml:space="preserve">A </w:t>
      </w:r>
      <w:proofErr w:type="gramStart"/>
      <w:r>
        <w:rPr>
          <w:rFonts w:ascii="Roboto" w:eastAsia="Roboto" w:hAnsi="Roboto" w:cs="Roboto"/>
        </w:rPr>
        <w:t>continuación</w:t>
      </w:r>
      <w:proofErr w:type="gramEnd"/>
      <w:r>
        <w:rPr>
          <w:rFonts w:ascii="Roboto" w:eastAsia="Roboto" w:hAnsi="Roboto" w:cs="Roboto"/>
        </w:rPr>
        <w:t xml:space="preserve"> se detallan las principales consideraciones en el desarrollo de una estrategia a largo plazo: </w:t>
      </w:r>
    </w:p>
    <w:p w14:paraId="549173CB" w14:textId="77777777" w:rsidR="0081321C" w:rsidRDefault="0081321C" w:rsidP="0081321C">
      <w:pPr>
        <w:pBdr>
          <w:top w:val="nil"/>
          <w:left w:val="nil"/>
          <w:bottom w:val="nil"/>
          <w:right w:val="nil"/>
          <w:between w:val="nil"/>
        </w:pBdr>
        <w:spacing w:line="240" w:lineRule="auto"/>
        <w:contextualSpacing/>
        <w:jc w:val="both"/>
        <w:rPr>
          <w:rFonts w:ascii="Roboto" w:eastAsia="Roboto" w:hAnsi="Roboto" w:cs="Roboto"/>
        </w:rPr>
      </w:pPr>
    </w:p>
    <w:p w14:paraId="5AD965CE" w14:textId="77777777" w:rsidR="008A0D96" w:rsidRDefault="00526AE1">
      <w:pPr>
        <w:numPr>
          <w:ilvl w:val="0"/>
          <w:numId w:val="12"/>
        </w:numPr>
        <w:contextualSpacing/>
        <w:jc w:val="both"/>
        <w:rPr>
          <w:rFonts w:ascii="Roboto" w:eastAsia="Roboto" w:hAnsi="Roboto" w:cs="Roboto"/>
          <w:b/>
        </w:rPr>
      </w:pPr>
      <w:r>
        <w:rPr>
          <w:rFonts w:ascii="Roboto" w:eastAsia="Roboto" w:hAnsi="Roboto" w:cs="Roboto"/>
          <w:b/>
        </w:rPr>
        <w:t>En la e</w:t>
      </w:r>
      <w:r w:rsidRPr="009E6F18">
        <w:rPr>
          <w:rFonts w:ascii="Roboto" w:eastAsia="Roboto" w:hAnsi="Roboto" w:cs="Roboto"/>
          <w:b/>
        </w:rPr>
        <w:t xml:space="preserve">tapa de prediseño, los países pueden encontrar útil considerar los siguientes puntos antes de preparar </w:t>
      </w:r>
      <w:proofErr w:type="gramStart"/>
      <w:r w:rsidRPr="009E6F18">
        <w:rPr>
          <w:rFonts w:ascii="Roboto" w:eastAsia="Roboto" w:hAnsi="Roboto" w:cs="Roboto"/>
          <w:b/>
        </w:rPr>
        <w:t>un estrategia</w:t>
      </w:r>
      <w:proofErr w:type="gramEnd"/>
      <w:r w:rsidRPr="009E6F18">
        <w:rPr>
          <w:rFonts w:ascii="Roboto" w:eastAsia="Roboto" w:hAnsi="Roboto" w:cs="Roboto"/>
          <w:b/>
        </w:rPr>
        <w:t xml:space="preserve"> a largo plazo: </w:t>
      </w:r>
    </w:p>
    <w:p w14:paraId="6123785C" w14:textId="77777777" w:rsidR="008A0D96" w:rsidRDefault="00526AE1">
      <w:pPr>
        <w:numPr>
          <w:ilvl w:val="0"/>
          <w:numId w:val="3"/>
        </w:numPr>
        <w:contextualSpacing/>
        <w:jc w:val="both"/>
        <w:rPr>
          <w:rFonts w:ascii="Roboto" w:eastAsia="Roboto" w:hAnsi="Roboto" w:cs="Roboto"/>
        </w:rPr>
      </w:pPr>
      <w:r>
        <w:rPr>
          <w:rFonts w:ascii="Roboto" w:eastAsia="Roboto" w:hAnsi="Roboto" w:cs="Roboto"/>
        </w:rPr>
        <w:t>Planes y políticas existentes: basarse en planes y políticas nacionales existentes puede optimizar los recursos, garantizar la coherencia de las políticas y obtener la aceptación de las instituciones clave.</w:t>
      </w:r>
    </w:p>
    <w:p w14:paraId="28CD4A2C" w14:textId="77777777" w:rsidR="008A0D96" w:rsidRDefault="00526AE1">
      <w:pPr>
        <w:numPr>
          <w:ilvl w:val="0"/>
          <w:numId w:val="3"/>
        </w:numPr>
        <w:contextualSpacing/>
        <w:jc w:val="both"/>
        <w:rPr>
          <w:rFonts w:ascii="Roboto" w:eastAsia="Roboto" w:hAnsi="Roboto" w:cs="Roboto"/>
        </w:rPr>
      </w:pPr>
      <w:r>
        <w:rPr>
          <w:rFonts w:ascii="Roboto" w:eastAsia="Roboto" w:hAnsi="Roboto" w:cs="Roboto"/>
        </w:rPr>
        <w:t>Gobernanza: la planificación a largo plazo para el cambio climático y el desarrollo, plantea ciertos desafíos de gobernanza que pueden requerir un fuerte liderazgo político; el compromiso en una amplia gama de ministerios y actores; procesos de consulta robustos y transparentes para las partes interesadas; y marcos que soporten la implementación.</w:t>
      </w:r>
    </w:p>
    <w:p w14:paraId="66A35146" w14:textId="77777777" w:rsidR="008A0D96" w:rsidRDefault="00526AE1">
      <w:pPr>
        <w:numPr>
          <w:ilvl w:val="0"/>
          <w:numId w:val="3"/>
        </w:numPr>
        <w:contextualSpacing/>
        <w:jc w:val="both"/>
        <w:rPr>
          <w:rFonts w:ascii="Roboto" w:eastAsia="Roboto" w:hAnsi="Roboto" w:cs="Roboto"/>
        </w:rPr>
      </w:pPr>
      <w:r>
        <w:rPr>
          <w:rFonts w:ascii="Roboto" w:eastAsia="Roboto" w:hAnsi="Roboto" w:cs="Roboto"/>
        </w:rPr>
        <w:t>Cooperación internacional: los intercambios tempranos y abiertos entre países permiten compartir lecciones, discutir desafíos comunes e identificar oportunidades de colaboración.</w:t>
      </w:r>
    </w:p>
    <w:p w14:paraId="2271DBB9" w14:textId="77777777" w:rsidR="008A0D96" w:rsidRDefault="008A0D96">
      <w:pPr>
        <w:jc w:val="both"/>
        <w:rPr>
          <w:rFonts w:ascii="Roboto" w:eastAsia="Roboto" w:hAnsi="Roboto" w:cs="Roboto"/>
        </w:rPr>
      </w:pPr>
    </w:p>
    <w:p w14:paraId="05071443" w14:textId="77777777" w:rsidR="008A0D96" w:rsidRDefault="00526AE1">
      <w:pPr>
        <w:numPr>
          <w:ilvl w:val="0"/>
          <w:numId w:val="13"/>
        </w:numPr>
        <w:contextualSpacing/>
        <w:jc w:val="both"/>
        <w:rPr>
          <w:rFonts w:ascii="Roboto" w:eastAsia="Roboto" w:hAnsi="Roboto" w:cs="Roboto"/>
          <w:b/>
        </w:rPr>
      </w:pPr>
      <w:r>
        <w:rPr>
          <w:rFonts w:ascii="Roboto" w:eastAsia="Roboto" w:hAnsi="Roboto" w:cs="Roboto"/>
          <w:b/>
        </w:rPr>
        <w:t>A</w:t>
      </w:r>
      <w:r w:rsidRPr="009E6F18">
        <w:rPr>
          <w:rFonts w:ascii="Roboto" w:eastAsia="Roboto" w:hAnsi="Roboto" w:cs="Roboto"/>
          <w:b/>
        </w:rPr>
        <w:t xml:space="preserve">l diseñar sus estrategias a largo plazo los países pueden evaluar incluir los siguientes insumos: </w:t>
      </w:r>
    </w:p>
    <w:p w14:paraId="7BA10FD3" w14:textId="77777777" w:rsidR="008A0D96" w:rsidRDefault="00526AE1">
      <w:pPr>
        <w:numPr>
          <w:ilvl w:val="0"/>
          <w:numId w:val="6"/>
        </w:numPr>
        <w:contextualSpacing/>
        <w:jc w:val="both"/>
        <w:rPr>
          <w:rFonts w:ascii="Roboto" w:eastAsia="Roboto" w:hAnsi="Roboto" w:cs="Roboto"/>
        </w:rPr>
      </w:pPr>
      <w:r>
        <w:rPr>
          <w:rFonts w:ascii="Roboto" w:eastAsia="Roboto" w:hAnsi="Roboto" w:cs="Roboto"/>
        </w:rPr>
        <w:t>Datos: basarse en los datos existentes y recopilar nuevos datos puede ayudar a establecer metas a largo plazo, así como la identificación y priorización de políticas de corto y mediano plazo.</w:t>
      </w:r>
    </w:p>
    <w:p w14:paraId="6CE90869" w14:textId="77777777" w:rsidR="008A0D96" w:rsidRDefault="00526AE1">
      <w:pPr>
        <w:numPr>
          <w:ilvl w:val="0"/>
          <w:numId w:val="6"/>
        </w:numPr>
        <w:contextualSpacing/>
        <w:jc w:val="both"/>
        <w:rPr>
          <w:rFonts w:ascii="Roboto" w:eastAsia="Roboto" w:hAnsi="Roboto" w:cs="Roboto"/>
        </w:rPr>
      </w:pPr>
      <w:r>
        <w:rPr>
          <w:rFonts w:ascii="Roboto" w:eastAsia="Roboto" w:hAnsi="Roboto" w:cs="Roboto"/>
        </w:rPr>
        <w:t xml:space="preserve">Modelos y escenarios: los modelos y escenarios pueden ayudar a revelar qué acciones de mitigación son necesarias para lograr los objetivos a largo plazo y cuándo deberían adoptarse. Los modelos también se pueden usar para examinar las compensaciones, </w:t>
      </w:r>
      <w:r>
        <w:rPr>
          <w:rFonts w:ascii="Roboto" w:eastAsia="Roboto" w:hAnsi="Roboto" w:cs="Roboto"/>
        </w:rPr>
        <w:lastRenderedPageBreak/>
        <w:t>explorar la viabilidad técnica y ayudar a los interesados a evaluar las opciones en un rango de opciones posibles.</w:t>
      </w:r>
    </w:p>
    <w:p w14:paraId="42F4A09A" w14:textId="77777777" w:rsidR="008A0D96" w:rsidRDefault="00526AE1">
      <w:pPr>
        <w:numPr>
          <w:ilvl w:val="0"/>
          <w:numId w:val="6"/>
        </w:numPr>
        <w:contextualSpacing/>
        <w:jc w:val="both"/>
        <w:rPr>
          <w:rFonts w:ascii="Roboto" w:eastAsia="Roboto" w:hAnsi="Roboto" w:cs="Roboto"/>
        </w:rPr>
      </w:pPr>
      <w:r>
        <w:rPr>
          <w:rFonts w:ascii="Roboto" w:eastAsia="Roboto" w:hAnsi="Roboto" w:cs="Roboto"/>
        </w:rPr>
        <w:t>Enfoques cualitativos complementarios: los enfoques cualitativos se pueden utilizar para obtener mayor profundidad e ideas más ricas para la planificación a largo plazo y para generar un pensamiento innovador.</w:t>
      </w:r>
    </w:p>
    <w:p w14:paraId="3DC2028C" w14:textId="77777777" w:rsidR="008A0D96" w:rsidRDefault="008A0D96">
      <w:pPr>
        <w:jc w:val="both"/>
        <w:rPr>
          <w:rFonts w:ascii="Roboto" w:eastAsia="Roboto" w:hAnsi="Roboto" w:cs="Roboto"/>
        </w:rPr>
      </w:pPr>
    </w:p>
    <w:p w14:paraId="56E87D17" w14:textId="77777777" w:rsidR="008A0D96" w:rsidRDefault="00526AE1">
      <w:pPr>
        <w:numPr>
          <w:ilvl w:val="0"/>
          <w:numId w:val="10"/>
        </w:numPr>
        <w:contextualSpacing/>
        <w:jc w:val="both"/>
        <w:rPr>
          <w:rFonts w:ascii="Roboto" w:eastAsia="Roboto" w:hAnsi="Roboto" w:cs="Roboto"/>
          <w:b/>
        </w:rPr>
      </w:pPr>
      <w:r>
        <w:rPr>
          <w:rFonts w:ascii="Roboto" w:eastAsia="Roboto" w:hAnsi="Roboto" w:cs="Roboto"/>
          <w:b/>
        </w:rPr>
        <w:t xml:space="preserve">Los </w:t>
      </w:r>
      <w:r w:rsidRPr="009E6F18">
        <w:rPr>
          <w:rFonts w:ascii="Roboto" w:eastAsia="Roboto" w:hAnsi="Roboto" w:cs="Roboto"/>
          <w:b/>
        </w:rPr>
        <w:t>pasos que un país puede tomar al desarrollar una estrategia a largo plazo incluye lo siguiente:</w:t>
      </w:r>
    </w:p>
    <w:p w14:paraId="3013B918" w14:textId="77777777" w:rsidR="008A0D96" w:rsidRDefault="00526AE1">
      <w:pPr>
        <w:numPr>
          <w:ilvl w:val="0"/>
          <w:numId w:val="7"/>
        </w:numPr>
        <w:ind w:right="62"/>
        <w:contextualSpacing/>
        <w:jc w:val="both"/>
        <w:rPr>
          <w:rFonts w:ascii="Roboto" w:eastAsia="Roboto" w:hAnsi="Roboto" w:cs="Roboto"/>
        </w:rPr>
      </w:pPr>
      <w:r>
        <w:rPr>
          <w:rFonts w:ascii="Roboto" w:eastAsia="Roboto" w:hAnsi="Roboto" w:cs="Roboto"/>
        </w:rPr>
        <w:t>asegurar una decisión política para iniciar el proceso;</w:t>
      </w:r>
    </w:p>
    <w:p w14:paraId="7FB08A1B" w14:textId="77777777" w:rsidR="008A0D96" w:rsidRDefault="00526AE1">
      <w:pPr>
        <w:numPr>
          <w:ilvl w:val="0"/>
          <w:numId w:val="7"/>
        </w:numPr>
        <w:ind w:right="62"/>
        <w:contextualSpacing/>
        <w:jc w:val="both"/>
        <w:rPr>
          <w:rFonts w:ascii="Roboto" w:eastAsia="Roboto" w:hAnsi="Roboto" w:cs="Roboto"/>
        </w:rPr>
      </w:pPr>
      <w:r>
        <w:rPr>
          <w:rFonts w:ascii="Roboto" w:eastAsia="Roboto" w:hAnsi="Roboto" w:cs="Roboto"/>
        </w:rPr>
        <w:t xml:space="preserve">definir los objetivos de la estrategia; </w:t>
      </w:r>
    </w:p>
    <w:p w14:paraId="32AF3D73" w14:textId="77777777" w:rsidR="008A0D96" w:rsidRDefault="00526AE1">
      <w:pPr>
        <w:numPr>
          <w:ilvl w:val="0"/>
          <w:numId w:val="7"/>
        </w:numPr>
        <w:ind w:right="62"/>
        <w:contextualSpacing/>
        <w:jc w:val="both"/>
        <w:rPr>
          <w:rFonts w:ascii="Roboto" w:eastAsia="Roboto" w:hAnsi="Roboto" w:cs="Roboto"/>
        </w:rPr>
      </w:pPr>
      <w:r>
        <w:rPr>
          <w:rFonts w:ascii="Roboto" w:eastAsia="Roboto" w:hAnsi="Roboto" w:cs="Roboto"/>
        </w:rPr>
        <w:t>identificar los elementos que se incluirán en la estrategia;</w:t>
      </w:r>
    </w:p>
    <w:p w14:paraId="07D52033" w14:textId="77777777" w:rsidR="008A0D96" w:rsidRDefault="00526AE1">
      <w:pPr>
        <w:numPr>
          <w:ilvl w:val="0"/>
          <w:numId w:val="7"/>
        </w:numPr>
        <w:ind w:right="62"/>
        <w:contextualSpacing/>
        <w:jc w:val="both"/>
        <w:rPr>
          <w:rFonts w:ascii="Roboto" w:eastAsia="Roboto" w:hAnsi="Roboto" w:cs="Roboto"/>
        </w:rPr>
      </w:pPr>
      <w:r>
        <w:rPr>
          <w:rFonts w:ascii="Roboto" w:eastAsia="Roboto" w:hAnsi="Roboto" w:cs="Roboto"/>
        </w:rPr>
        <w:t>recopilar insumos, incluidos datos, modelos y escenarios, y enfoques cualitativos complementarios;</w:t>
      </w:r>
    </w:p>
    <w:p w14:paraId="1640F994" w14:textId="77777777" w:rsidR="008A0D96" w:rsidRDefault="00526AE1">
      <w:pPr>
        <w:numPr>
          <w:ilvl w:val="0"/>
          <w:numId w:val="7"/>
        </w:numPr>
        <w:ind w:right="62"/>
        <w:contextualSpacing/>
        <w:jc w:val="both"/>
        <w:rPr>
          <w:rFonts w:ascii="Roboto" w:eastAsia="Roboto" w:hAnsi="Roboto" w:cs="Roboto"/>
        </w:rPr>
      </w:pPr>
      <w:r>
        <w:rPr>
          <w:rFonts w:ascii="Roboto" w:eastAsia="Roboto" w:hAnsi="Roboto" w:cs="Roboto"/>
        </w:rPr>
        <w:t>proporcionar una comunicación transparente;</w:t>
      </w:r>
    </w:p>
    <w:p w14:paraId="55B36D51" w14:textId="77777777" w:rsidR="008A0D96" w:rsidRDefault="00526AE1">
      <w:pPr>
        <w:numPr>
          <w:ilvl w:val="0"/>
          <w:numId w:val="7"/>
        </w:numPr>
        <w:ind w:right="62"/>
        <w:contextualSpacing/>
        <w:jc w:val="both"/>
        <w:rPr>
          <w:rFonts w:ascii="Roboto" w:eastAsia="Roboto" w:hAnsi="Roboto" w:cs="Roboto"/>
        </w:rPr>
      </w:pPr>
      <w:r>
        <w:rPr>
          <w:rFonts w:ascii="Roboto" w:eastAsia="Roboto" w:hAnsi="Roboto" w:cs="Roboto"/>
        </w:rPr>
        <w:t>incluir un proceso de revisión y chequeo.</w:t>
      </w:r>
    </w:p>
    <w:p w14:paraId="5F75B25C" w14:textId="77777777" w:rsidR="008A0D96" w:rsidRDefault="008A0D96">
      <w:pPr>
        <w:jc w:val="both"/>
        <w:rPr>
          <w:rFonts w:ascii="Roboto" w:eastAsia="Roboto" w:hAnsi="Roboto" w:cs="Roboto"/>
        </w:rPr>
      </w:pPr>
    </w:p>
    <w:p w14:paraId="41486FE1" w14:textId="77777777" w:rsidR="008A0D96" w:rsidRDefault="00526AE1">
      <w:pPr>
        <w:numPr>
          <w:ilvl w:val="0"/>
          <w:numId w:val="16"/>
        </w:numPr>
        <w:contextualSpacing/>
        <w:jc w:val="both"/>
        <w:rPr>
          <w:rFonts w:ascii="Roboto" w:eastAsia="Roboto" w:hAnsi="Roboto" w:cs="Roboto"/>
          <w:b/>
        </w:rPr>
      </w:pPr>
      <w:r>
        <w:rPr>
          <w:rFonts w:ascii="Roboto" w:eastAsia="Roboto" w:hAnsi="Roboto" w:cs="Roboto"/>
          <w:b/>
        </w:rPr>
        <w:t>L</w:t>
      </w:r>
      <w:r w:rsidRPr="009E6F18">
        <w:rPr>
          <w:rFonts w:ascii="Roboto" w:eastAsia="Roboto" w:hAnsi="Roboto" w:cs="Roboto"/>
          <w:b/>
        </w:rPr>
        <w:t>as estrategias a largo plazo se pueden presentar en diferentes estructuras, pero generalmente incluyen los siguientes elementos:</w:t>
      </w:r>
    </w:p>
    <w:p w14:paraId="12F8D944" w14:textId="77777777" w:rsidR="008A0D96" w:rsidRDefault="00526AE1">
      <w:pPr>
        <w:numPr>
          <w:ilvl w:val="0"/>
          <w:numId w:val="1"/>
        </w:numPr>
        <w:contextualSpacing/>
        <w:jc w:val="both"/>
        <w:rPr>
          <w:rFonts w:ascii="Roboto" w:eastAsia="Roboto" w:hAnsi="Roboto" w:cs="Roboto"/>
        </w:rPr>
      </w:pPr>
      <w:r>
        <w:rPr>
          <w:rFonts w:ascii="Roboto" w:eastAsia="Roboto" w:hAnsi="Roboto" w:cs="Roboto"/>
        </w:rPr>
        <w:t xml:space="preserve">Visión y objetivos a largo plazo: los objetivos pueden incluir consideraciones sobre el desarrollo, la mitigación y la adaptación. </w:t>
      </w:r>
    </w:p>
    <w:p w14:paraId="6FB3C6F7" w14:textId="77777777" w:rsidR="008A0D96" w:rsidRDefault="00526AE1">
      <w:pPr>
        <w:numPr>
          <w:ilvl w:val="0"/>
          <w:numId w:val="1"/>
        </w:numPr>
        <w:contextualSpacing/>
        <w:jc w:val="both"/>
        <w:rPr>
          <w:rFonts w:ascii="Roboto" w:eastAsia="Roboto" w:hAnsi="Roboto" w:cs="Roboto"/>
        </w:rPr>
      </w:pPr>
      <w:r>
        <w:rPr>
          <w:rFonts w:ascii="Roboto" w:eastAsia="Roboto" w:hAnsi="Roboto" w:cs="Roboto"/>
        </w:rPr>
        <w:t xml:space="preserve">Estrategias sectoriales: las estrategias sectoriales pueden desempeñar un papel importante en el diseño y la implementación de una estrategia a largo plazo para informar cómo se pueden realizar los objetivos generales de la estrategia. En particular, los activos energéticos y la planificación energética son componentes esenciales de la mayoría de las estrategias a largo plazo. </w:t>
      </w:r>
    </w:p>
    <w:p w14:paraId="5EE4D396" w14:textId="77777777" w:rsidR="008A0D96" w:rsidRDefault="008A0D96">
      <w:pPr>
        <w:jc w:val="both"/>
        <w:rPr>
          <w:rFonts w:ascii="Roboto" w:eastAsia="Roboto" w:hAnsi="Roboto" w:cs="Roboto"/>
        </w:rPr>
      </w:pPr>
    </w:p>
    <w:p w14:paraId="0B960407" w14:textId="77777777" w:rsidR="008A0D96" w:rsidRDefault="00526AE1">
      <w:pPr>
        <w:numPr>
          <w:ilvl w:val="0"/>
          <w:numId w:val="8"/>
        </w:numPr>
        <w:contextualSpacing/>
        <w:jc w:val="both"/>
        <w:rPr>
          <w:rFonts w:ascii="Roboto" w:eastAsia="Roboto" w:hAnsi="Roboto" w:cs="Roboto"/>
          <w:b/>
        </w:rPr>
      </w:pPr>
      <w:r>
        <w:rPr>
          <w:rFonts w:ascii="Roboto" w:eastAsia="Roboto" w:hAnsi="Roboto" w:cs="Roboto"/>
          <w:b/>
        </w:rPr>
        <w:t>En la e</w:t>
      </w:r>
      <w:r w:rsidRPr="009E6F18">
        <w:rPr>
          <w:rFonts w:ascii="Roboto" w:eastAsia="Roboto" w:hAnsi="Roboto" w:cs="Roboto"/>
          <w:b/>
        </w:rPr>
        <w:t>tapa posterior al diseño es necesario garantizar que las estrategias a largo plazo se comuniquen de forma transparente, se sostengan en futuras administraciones, y sean actualizadas regularmente:</w:t>
      </w:r>
    </w:p>
    <w:p w14:paraId="15252E8D" w14:textId="77777777" w:rsidR="008A0D96" w:rsidRDefault="00526AE1">
      <w:pPr>
        <w:numPr>
          <w:ilvl w:val="0"/>
          <w:numId w:val="9"/>
        </w:numPr>
        <w:contextualSpacing/>
        <w:jc w:val="both"/>
        <w:rPr>
          <w:rFonts w:ascii="Roboto" w:eastAsia="Roboto" w:hAnsi="Roboto" w:cs="Roboto"/>
        </w:rPr>
      </w:pPr>
      <w:r>
        <w:rPr>
          <w:rFonts w:ascii="Roboto" w:eastAsia="Roboto" w:hAnsi="Roboto" w:cs="Roboto"/>
        </w:rPr>
        <w:t xml:space="preserve">Planes de monitoreo y procesos de revisión: es útil desarrollar un plan para monitorear el progreso -junto con un proceso de revisión- para garantizar que la estrategia sea un documento vivo que se va actualizando y mejorando a medida que cambian las circunstancias nacionales, la tecnología evoluciona y ganan lugar nuevos aprendizajes. </w:t>
      </w:r>
    </w:p>
    <w:p w14:paraId="4E779EEE" w14:textId="77777777" w:rsidR="008A0D96" w:rsidRDefault="00526AE1">
      <w:pPr>
        <w:numPr>
          <w:ilvl w:val="0"/>
          <w:numId w:val="9"/>
        </w:numPr>
        <w:contextualSpacing/>
        <w:jc w:val="both"/>
        <w:rPr>
          <w:rFonts w:ascii="Roboto" w:eastAsia="Roboto" w:hAnsi="Roboto" w:cs="Roboto"/>
        </w:rPr>
      </w:pPr>
      <w:r>
        <w:rPr>
          <w:rFonts w:ascii="Roboto" w:eastAsia="Roboto" w:hAnsi="Roboto" w:cs="Roboto"/>
        </w:rPr>
        <w:t>Comunicación: una estrategia de comunicación puede incluir promover la comprensión a través del espectro político y de partes interesadas, abordando las necesidades comunes y permitiendo el seguimiento en el contexto de los objetivos a largo plazo del Acuerdo de París.</w:t>
      </w:r>
    </w:p>
    <w:p w14:paraId="5E18E3C8" w14:textId="77777777" w:rsidR="008A0D96" w:rsidRDefault="008A0D96">
      <w:pPr>
        <w:ind w:left="720"/>
        <w:jc w:val="both"/>
        <w:rPr>
          <w:rFonts w:ascii="Roboto" w:eastAsia="Roboto" w:hAnsi="Roboto" w:cs="Roboto"/>
        </w:rPr>
      </w:pPr>
    </w:p>
    <w:p w14:paraId="7BE748E4" w14:textId="77777777"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rPr>
      </w:pPr>
      <w:r>
        <w:rPr>
          <w:rFonts w:ascii="Roboto" w:eastAsia="Roboto" w:hAnsi="Roboto" w:cs="Roboto"/>
        </w:rPr>
        <w:t xml:space="preserve">La inclusión de elementos de adaptación en las estrategias de desarrollo a largo plazo ofrece la oportunidad de integrar la resiliencia climática con las prioridades de mitigación y desarrollo. Algunos países pueden optar por incluir elementos de adaptación en </w:t>
      </w:r>
      <w:proofErr w:type="gramStart"/>
      <w:r>
        <w:rPr>
          <w:rFonts w:ascii="Roboto" w:eastAsia="Roboto" w:hAnsi="Roboto" w:cs="Roboto"/>
        </w:rPr>
        <w:t>su estrategias</w:t>
      </w:r>
      <w:proofErr w:type="gramEnd"/>
      <w:r>
        <w:rPr>
          <w:rFonts w:ascii="Roboto" w:eastAsia="Roboto" w:hAnsi="Roboto" w:cs="Roboto"/>
        </w:rPr>
        <w:t xml:space="preserve"> a largo plazo, por ejemplo a través de la evaluación de los impactos de los cambios futuros del clima en la infraestructura de larga vida; uso de la tierra, servicios de los ecosistemas y/o cambio social; consideración de las sinergias entre las respuestas de mitigación y adaptación, entre otras. </w:t>
      </w:r>
    </w:p>
    <w:p w14:paraId="72E45FD7" w14:textId="38E48126"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rPr>
      </w:pPr>
      <w:r>
        <w:rPr>
          <w:rFonts w:ascii="Roboto" w:eastAsia="Roboto" w:hAnsi="Roboto" w:cs="Roboto"/>
        </w:rPr>
        <w:lastRenderedPageBreak/>
        <w:t xml:space="preserve">En lugar de ser un fin en sí mismas, las estrategias de desarrollo a largo plazo presentan una hoja de ruta para actualizar y mejorar a medida que las circunstancias nacionales cambian y se produce un nuevo aprendizaje. Estas estrategias son documentos vivos que se pueden ir mejorando a lo largo del tiempo para informar la preparación de las </w:t>
      </w:r>
      <w:proofErr w:type="spellStart"/>
      <w:r>
        <w:rPr>
          <w:rFonts w:ascii="Roboto" w:eastAsia="Roboto" w:hAnsi="Roboto" w:cs="Roboto"/>
        </w:rPr>
        <w:t>NDCs</w:t>
      </w:r>
      <w:proofErr w:type="spellEnd"/>
      <w:r>
        <w:rPr>
          <w:rFonts w:ascii="Roboto" w:eastAsia="Roboto" w:hAnsi="Roboto" w:cs="Roboto"/>
        </w:rPr>
        <w:t xml:space="preserve"> sucesivas. Las estrategias de desarrollo a largo plazo pueden ayudar a institucionalizar la acción sobre el cambio climático en todo el país y evaluar la sensibilidad de la economía al cambio climático, destacando las oportunidades y limitaciones. </w:t>
      </w:r>
    </w:p>
    <w:p w14:paraId="313B5337" w14:textId="77777777" w:rsidR="0081321C" w:rsidRDefault="0081321C" w:rsidP="0081321C">
      <w:pPr>
        <w:pBdr>
          <w:top w:val="nil"/>
          <w:left w:val="nil"/>
          <w:bottom w:val="nil"/>
          <w:right w:val="nil"/>
          <w:between w:val="nil"/>
        </w:pBdr>
        <w:spacing w:line="240" w:lineRule="auto"/>
        <w:ind w:left="360"/>
        <w:contextualSpacing/>
        <w:jc w:val="both"/>
        <w:rPr>
          <w:rFonts w:ascii="Roboto" w:eastAsia="Roboto" w:hAnsi="Roboto" w:cs="Roboto"/>
        </w:rPr>
      </w:pPr>
    </w:p>
    <w:p w14:paraId="3E3DB59D" w14:textId="77777777"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rPr>
      </w:pPr>
      <w:r>
        <w:rPr>
          <w:rFonts w:ascii="Roboto" w:eastAsia="Roboto" w:hAnsi="Roboto" w:cs="Roboto"/>
        </w:rPr>
        <w:t>Integrar una perspectiva a largo plazo en los procesos nacionales de política y planificación es un proceso. Para alcanzar los objetivos de desarrollo nacional, junto con los objetivos del Acuerdo de París y la Agenda 2030, los países deben comenzar de inmediato. Si se diseñan correctamente, las estrategias de desarrollo a largo plazo pueden permitir a los países cambiar la forma en que se toman las decisiones de manera fundamental. Avanzar hacia un enfoque estratégico y transformacional guiado por una visión compartida puede permitir a los países cosechar los beneficios de la transición.</w:t>
      </w:r>
    </w:p>
    <w:p w14:paraId="606D2146" w14:textId="77777777" w:rsidR="008A0D96" w:rsidRDefault="00526AE1" w:rsidP="009E6F18">
      <w:pPr>
        <w:pStyle w:val="Heading2"/>
      </w:pPr>
      <w:bookmarkStart w:id="5" w:name="_azxo5l7sfkzi" w:colFirst="0" w:colLast="0"/>
      <w:bookmarkStart w:id="6" w:name="_Toc525729218"/>
      <w:bookmarkEnd w:id="5"/>
      <w:r w:rsidRPr="009E6F18">
        <w:t>Propuesta para el segmento ministerial</w:t>
      </w:r>
      <w:bookmarkEnd w:id="6"/>
    </w:p>
    <w:p w14:paraId="55A26115" w14:textId="77777777" w:rsidR="009E6F18" w:rsidRPr="009E6F18" w:rsidRDefault="009E6F18" w:rsidP="009E6F18">
      <w:pPr>
        <w:spacing w:after="0"/>
      </w:pPr>
    </w:p>
    <w:p w14:paraId="5173369F" w14:textId="77777777"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rPr>
      </w:pPr>
      <w:r>
        <w:rPr>
          <w:rFonts w:ascii="Roboto" w:eastAsia="Roboto" w:hAnsi="Roboto" w:cs="Roboto"/>
        </w:rPr>
        <w:t>En base a las oportunidades y áreas potenciales de actuación enumeradas anteriormente, se propone que como parte del panel de descarbonización y resiliencia cambio climático del segmento ministerial del Foro de Ministros, se aborden estas cuestiones:</w:t>
      </w:r>
    </w:p>
    <w:p w14:paraId="4C03635A" w14:textId="77777777" w:rsidR="008A0D96" w:rsidRDefault="008A0D96">
      <w:pPr>
        <w:spacing w:after="0" w:line="240" w:lineRule="auto"/>
        <w:jc w:val="both"/>
        <w:rPr>
          <w:rFonts w:ascii="Roboto" w:eastAsia="Roboto" w:hAnsi="Roboto" w:cs="Roboto"/>
        </w:rPr>
      </w:pPr>
    </w:p>
    <w:p w14:paraId="39075B9F" w14:textId="77777777" w:rsidR="008A0D96" w:rsidRDefault="00526AE1">
      <w:pPr>
        <w:numPr>
          <w:ilvl w:val="0"/>
          <w:numId w:val="11"/>
        </w:numPr>
        <w:spacing w:after="0"/>
        <w:contextualSpacing/>
        <w:jc w:val="both"/>
        <w:rPr>
          <w:rFonts w:ascii="Roboto" w:eastAsia="Roboto" w:hAnsi="Roboto" w:cs="Roboto"/>
        </w:rPr>
      </w:pPr>
      <w:r>
        <w:rPr>
          <w:rFonts w:ascii="Roboto" w:eastAsia="Roboto" w:hAnsi="Roboto" w:cs="Roboto"/>
        </w:rPr>
        <w:t xml:space="preserve">¿Cuáles serían las oportunidades de promover las estrategias de desarrollo a largo plazo en América Latina y el Caribe? </w:t>
      </w:r>
    </w:p>
    <w:p w14:paraId="6A52BA20" w14:textId="77777777" w:rsidR="008A0D96" w:rsidRDefault="00526AE1">
      <w:pPr>
        <w:numPr>
          <w:ilvl w:val="0"/>
          <w:numId w:val="11"/>
        </w:numPr>
        <w:spacing w:after="0"/>
        <w:contextualSpacing/>
        <w:jc w:val="both"/>
        <w:rPr>
          <w:rFonts w:ascii="Roboto" w:eastAsia="Roboto" w:hAnsi="Roboto" w:cs="Roboto"/>
        </w:rPr>
      </w:pPr>
      <w:r>
        <w:rPr>
          <w:rFonts w:ascii="Roboto" w:eastAsia="Roboto" w:hAnsi="Roboto" w:cs="Roboto"/>
        </w:rPr>
        <w:t xml:space="preserve">¿Qué beneficios aportaría adoptar una estrategia de desarrollo a largo plazo para avanzar con las agendas climáticas en la región? </w:t>
      </w:r>
    </w:p>
    <w:p w14:paraId="02BB55E4" w14:textId="77777777" w:rsidR="008A0D96" w:rsidRDefault="00526AE1">
      <w:pPr>
        <w:numPr>
          <w:ilvl w:val="0"/>
          <w:numId w:val="11"/>
        </w:numPr>
        <w:spacing w:after="0"/>
        <w:contextualSpacing/>
        <w:jc w:val="both"/>
        <w:rPr>
          <w:rFonts w:ascii="Roboto" w:eastAsia="Roboto" w:hAnsi="Roboto" w:cs="Roboto"/>
        </w:rPr>
      </w:pPr>
      <w:r>
        <w:rPr>
          <w:rFonts w:ascii="Roboto" w:eastAsia="Roboto" w:hAnsi="Roboto" w:cs="Roboto"/>
        </w:rPr>
        <w:t>¿Qué políticas públicas hacen y harían avanzar la adopción de una estrategia de desarrollo a largo plazo en la región? ¿Cuál es la relación entre las estrategias a largo plazo y los planes y políticas sectoriales existentes?</w:t>
      </w:r>
    </w:p>
    <w:p w14:paraId="67DAAD65" w14:textId="77777777" w:rsidR="008A0D96" w:rsidRDefault="00526AE1">
      <w:pPr>
        <w:numPr>
          <w:ilvl w:val="0"/>
          <w:numId w:val="11"/>
        </w:numPr>
        <w:spacing w:after="0"/>
        <w:contextualSpacing/>
        <w:jc w:val="both"/>
        <w:rPr>
          <w:rFonts w:ascii="Roboto" w:eastAsia="Roboto" w:hAnsi="Roboto" w:cs="Roboto"/>
        </w:rPr>
      </w:pPr>
      <w:r>
        <w:rPr>
          <w:rFonts w:ascii="Roboto" w:eastAsia="Roboto" w:hAnsi="Roboto" w:cs="Roboto"/>
        </w:rPr>
        <w:t xml:space="preserve">¿Cuál sería el valor añadido de la cooperación regional en materia de estrategias de desarrollo a largo plazo? </w:t>
      </w:r>
    </w:p>
    <w:p w14:paraId="4B3AE3EB" w14:textId="77777777" w:rsidR="008A0D96" w:rsidRDefault="00526AE1">
      <w:pPr>
        <w:numPr>
          <w:ilvl w:val="0"/>
          <w:numId w:val="11"/>
        </w:numPr>
        <w:spacing w:after="0"/>
        <w:contextualSpacing/>
        <w:jc w:val="both"/>
        <w:rPr>
          <w:rFonts w:ascii="Roboto" w:eastAsia="Roboto" w:hAnsi="Roboto" w:cs="Roboto"/>
        </w:rPr>
      </w:pPr>
      <w:r>
        <w:rPr>
          <w:rFonts w:ascii="Roboto" w:eastAsia="Roboto" w:hAnsi="Roboto" w:cs="Roboto"/>
        </w:rPr>
        <w:t xml:space="preserve">¿Cuáles deberían ser las prioridades estratégicas de una agenda de cooperación regional en el tema? </w:t>
      </w:r>
    </w:p>
    <w:p w14:paraId="2D469241" w14:textId="77777777" w:rsidR="008A0D96" w:rsidRDefault="00526AE1">
      <w:pPr>
        <w:numPr>
          <w:ilvl w:val="0"/>
          <w:numId w:val="11"/>
        </w:numPr>
        <w:spacing w:after="0"/>
        <w:contextualSpacing/>
        <w:jc w:val="both"/>
        <w:rPr>
          <w:rFonts w:ascii="Roboto" w:eastAsia="Roboto" w:hAnsi="Roboto" w:cs="Roboto"/>
        </w:rPr>
      </w:pPr>
      <w:r>
        <w:rPr>
          <w:rFonts w:ascii="Roboto" w:eastAsia="Roboto" w:hAnsi="Roboto" w:cs="Roboto"/>
        </w:rPr>
        <w:t xml:space="preserve">¿Qué acciones deberían promoverse para articular una agenda activa de cooperación, colaboración e intercambio de conocimiento en la región en esta materia? (Posibles enfoques: relevamiento de necesidades de recursos, fortalecimiento de capacidades, consultas a grupos de interés, alineamiento con los objetivos de desarrollo nacionales, </w:t>
      </w:r>
      <w:proofErr w:type="spellStart"/>
      <w:r>
        <w:rPr>
          <w:rFonts w:ascii="Roboto" w:eastAsia="Roboto" w:hAnsi="Roboto" w:cs="Roboto"/>
        </w:rPr>
        <w:t>etc</w:t>
      </w:r>
      <w:proofErr w:type="spellEnd"/>
      <w:r>
        <w:rPr>
          <w:rFonts w:ascii="Roboto" w:eastAsia="Roboto" w:hAnsi="Roboto" w:cs="Roboto"/>
        </w:rPr>
        <w:t xml:space="preserve">). </w:t>
      </w:r>
    </w:p>
    <w:p w14:paraId="07657FF7" w14:textId="77777777" w:rsidR="008A0D96" w:rsidRDefault="00526AE1">
      <w:pPr>
        <w:numPr>
          <w:ilvl w:val="0"/>
          <w:numId w:val="11"/>
        </w:numPr>
        <w:spacing w:after="0"/>
        <w:contextualSpacing/>
        <w:jc w:val="both"/>
        <w:rPr>
          <w:rFonts w:ascii="Roboto" w:eastAsia="Roboto" w:hAnsi="Roboto" w:cs="Roboto"/>
        </w:rPr>
      </w:pPr>
      <w:r>
        <w:rPr>
          <w:rFonts w:ascii="Roboto" w:eastAsia="Roboto" w:hAnsi="Roboto" w:cs="Roboto"/>
        </w:rPr>
        <w:t xml:space="preserve">¿Qué actores deberían ser involucrados para afianzar esta cooperación? </w:t>
      </w:r>
    </w:p>
    <w:p w14:paraId="5BEACA9F" w14:textId="77777777" w:rsidR="008A0D96" w:rsidRDefault="00526AE1">
      <w:pPr>
        <w:numPr>
          <w:ilvl w:val="0"/>
          <w:numId w:val="11"/>
        </w:numPr>
        <w:spacing w:after="0"/>
        <w:contextualSpacing/>
        <w:jc w:val="both"/>
        <w:rPr>
          <w:rFonts w:ascii="Roboto" w:eastAsia="Roboto" w:hAnsi="Roboto" w:cs="Roboto"/>
        </w:rPr>
      </w:pPr>
      <w:r>
        <w:rPr>
          <w:rFonts w:ascii="Roboto" w:eastAsia="Roboto" w:hAnsi="Roboto" w:cs="Roboto"/>
        </w:rPr>
        <w:t xml:space="preserve">¿Qué alianzas podrían promoverse para avanzar en una potencial agenda de colaboración regional? </w:t>
      </w:r>
    </w:p>
    <w:p w14:paraId="596C0FD3" w14:textId="77777777" w:rsidR="008A0D96" w:rsidRDefault="00526AE1">
      <w:pPr>
        <w:numPr>
          <w:ilvl w:val="0"/>
          <w:numId w:val="11"/>
        </w:numPr>
        <w:spacing w:after="0"/>
        <w:contextualSpacing/>
        <w:jc w:val="both"/>
        <w:rPr>
          <w:rFonts w:ascii="Roboto" w:eastAsia="Roboto" w:hAnsi="Roboto" w:cs="Roboto"/>
        </w:rPr>
      </w:pPr>
      <w:r>
        <w:rPr>
          <w:rFonts w:ascii="Roboto" w:eastAsia="Roboto" w:hAnsi="Roboto" w:cs="Roboto"/>
        </w:rPr>
        <w:t xml:space="preserve">¿Cuál es el rol del financiamiento climático en la adopción de estrategias de desarrollo a largo plazo en la región?  </w:t>
      </w:r>
    </w:p>
    <w:p w14:paraId="21A7F83B" w14:textId="77777777" w:rsidR="008A0D96" w:rsidRDefault="00526AE1">
      <w:pPr>
        <w:numPr>
          <w:ilvl w:val="0"/>
          <w:numId w:val="11"/>
        </w:numPr>
        <w:spacing w:after="0" w:line="240" w:lineRule="auto"/>
        <w:contextualSpacing/>
        <w:rPr>
          <w:rFonts w:ascii="Noto Sans Symbols" w:eastAsia="Noto Sans Symbols" w:hAnsi="Noto Sans Symbols" w:cs="Noto Sans Symbols"/>
        </w:rPr>
      </w:pPr>
      <w:r>
        <w:rPr>
          <w:rFonts w:ascii="Roboto" w:eastAsia="Roboto" w:hAnsi="Roboto" w:cs="Roboto"/>
        </w:rPr>
        <w:t xml:space="preserve">¿Cuáles son las cuestiones clave que los países de la región necesitarían integrar regionalmente al momento de definir sus estrategias a largo plazo? </w:t>
      </w:r>
    </w:p>
    <w:p w14:paraId="43EABC76" w14:textId="77777777" w:rsidR="008A0D96" w:rsidRDefault="00526AE1">
      <w:pPr>
        <w:numPr>
          <w:ilvl w:val="0"/>
          <w:numId w:val="11"/>
        </w:numPr>
        <w:spacing w:after="0" w:line="240" w:lineRule="auto"/>
        <w:contextualSpacing/>
        <w:rPr>
          <w:rFonts w:ascii="Roboto" w:eastAsia="Roboto" w:hAnsi="Roboto" w:cs="Roboto"/>
        </w:rPr>
      </w:pPr>
      <w:r>
        <w:rPr>
          <w:rFonts w:ascii="Roboto" w:eastAsia="Roboto" w:hAnsi="Roboto" w:cs="Roboto"/>
        </w:rPr>
        <w:t>¿Cómo podría la región posicionarse frente a las diferentes tendencias tecnológicas globales y regionales para la adaptación y la descarbonización a 2050?</w:t>
      </w:r>
    </w:p>
    <w:p w14:paraId="1F4CCA38" w14:textId="77777777" w:rsidR="008A0D96" w:rsidRDefault="00526AE1">
      <w:pPr>
        <w:pStyle w:val="Heading1"/>
        <w:spacing w:line="240" w:lineRule="auto"/>
        <w:rPr>
          <w:rFonts w:ascii="Roboto" w:eastAsia="Roboto" w:hAnsi="Roboto" w:cs="Roboto"/>
        </w:rPr>
      </w:pPr>
      <w:bookmarkStart w:id="7" w:name="_anmqnbc2k4rg" w:colFirst="0" w:colLast="0"/>
      <w:bookmarkStart w:id="8" w:name="_Toc525729219"/>
      <w:bookmarkEnd w:id="7"/>
      <w:r>
        <w:rPr>
          <w:rFonts w:ascii="Roboto" w:eastAsia="Roboto" w:hAnsi="Roboto" w:cs="Roboto"/>
        </w:rPr>
        <w:lastRenderedPageBreak/>
        <w:t>Transporte limpio y movilidad eléctrica</w:t>
      </w:r>
      <w:bookmarkEnd w:id="8"/>
      <w:r>
        <w:rPr>
          <w:rFonts w:ascii="Roboto" w:eastAsia="Roboto" w:hAnsi="Roboto" w:cs="Roboto"/>
        </w:rPr>
        <w:t xml:space="preserve"> </w:t>
      </w:r>
    </w:p>
    <w:p w14:paraId="5FF68788" w14:textId="77777777" w:rsidR="008A0D96" w:rsidRDefault="00526AE1">
      <w:pPr>
        <w:pStyle w:val="Heading2"/>
      </w:pPr>
      <w:bookmarkStart w:id="9" w:name="_Toc525729220"/>
      <w:r>
        <w:t>El transporte limpio y la movilidad eléctrica como oportunidad</w:t>
      </w:r>
      <w:bookmarkEnd w:id="9"/>
    </w:p>
    <w:p w14:paraId="0FBA474C" w14:textId="77777777" w:rsidR="008A0D96" w:rsidRDefault="00526AE1">
      <w:pPr>
        <w:pStyle w:val="Heading3"/>
      </w:pPr>
      <w:bookmarkStart w:id="10" w:name="_tyjcwt" w:colFirst="0" w:colLast="0"/>
      <w:bookmarkEnd w:id="10"/>
      <w:r>
        <w:t xml:space="preserve">Mejorar la calidad del aire </w:t>
      </w:r>
    </w:p>
    <w:p w14:paraId="784DEEBF" w14:textId="77777777"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color w:val="000000"/>
        </w:rPr>
      </w:pPr>
      <w:r>
        <w:rPr>
          <w:rFonts w:ascii="Roboto" w:eastAsia="Roboto" w:hAnsi="Roboto" w:cs="Roboto"/>
          <w:color w:val="000000"/>
        </w:rPr>
        <w:t>Cada vez es más evidente la relación entre contaminación y salud pública. Según la Organización Mundial de la Salud, casi 850.000 muertes en las Américas son atribuibles a factores ambientales</w:t>
      </w:r>
      <w:r>
        <w:rPr>
          <w:rFonts w:ascii="Roboto" w:eastAsia="Roboto" w:hAnsi="Roboto" w:cs="Roboto"/>
          <w:color w:val="000000"/>
          <w:vertAlign w:val="superscript"/>
        </w:rPr>
        <w:footnoteReference w:id="1"/>
      </w:r>
      <w:r>
        <w:rPr>
          <w:rFonts w:ascii="Roboto" w:eastAsia="Roboto" w:hAnsi="Roboto" w:cs="Roboto"/>
          <w:color w:val="000000"/>
        </w:rPr>
        <w:t>, siendo la contaminación del aire el principal riesgo ambiental para la salud en la región</w:t>
      </w:r>
      <w:r>
        <w:rPr>
          <w:rFonts w:ascii="Roboto" w:eastAsia="Roboto" w:hAnsi="Roboto" w:cs="Roboto"/>
          <w:color w:val="000000"/>
          <w:vertAlign w:val="superscript"/>
        </w:rPr>
        <w:footnoteReference w:id="2"/>
      </w:r>
      <w:r>
        <w:rPr>
          <w:rFonts w:ascii="Roboto" w:eastAsia="Roboto" w:hAnsi="Roboto" w:cs="Roboto"/>
          <w:color w:val="000000"/>
        </w:rPr>
        <w:t>. Se estima que 80% de las ciudades del planeta no cumplen con los estándares de la ONU para calidad del aire.</w:t>
      </w:r>
      <w:r>
        <w:rPr>
          <w:rFonts w:ascii="Roboto" w:eastAsia="Roboto" w:hAnsi="Roboto" w:cs="Roboto"/>
          <w:color w:val="000000"/>
          <w:vertAlign w:val="superscript"/>
        </w:rPr>
        <w:footnoteReference w:id="3"/>
      </w:r>
      <w:r>
        <w:rPr>
          <w:rFonts w:ascii="Roboto" w:eastAsia="Roboto" w:hAnsi="Roboto" w:cs="Roboto"/>
          <w:color w:val="000000"/>
        </w:rPr>
        <w:t xml:space="preserve"> Mejorar la calidad del aire surge como un área de interés común en América Latina y el Caribe</w:t>
      </w:r>
      <w:r w:rsidRPr="009E6F18">
        <w:rPr>
          <w:rFonts w:ascii="Roboto" w:eastAsia="Roboto" w:hAnsi="Roboto" w:cs="Roboto"/>
        </w:rPr>
        <w:t>, y considerando</w:t>
      </w:r>
      <w:r>
        <w:rPr>
          <w:rFonts w:ascii="Roboto" w:eastAsia="Roboto" w:hAnsi="Roboto" w:cs="Roboto"/>
          <w:color w:val="000000"/>
        </w:rPr>
        <w:t xml:space="preserve"> </w:t>
      </w:r>
      <w:r w:rsidRPr="009E6F18">
        <w:rPr>
          <w:rFonts w:ascii="Roboto" w:eastAsia="Roboto" w:hAnsi="Roboto" w:cs="Roboto"/>
        </w:rPr>
        <w:t>que</w:t>
      </w:r>
      <w:r>
        <w:rPr>
          <w:rFonts w:ascii="Roboto" w:eastAsia="Roboto" w:hAnsi="Roboto" w:cs="Roboto"/>
          <w:color w:val="000000"/>
        </w:rPr>
        <w:t xml:space="preserve"> gran parte de la contaminación atmosférica en las ciudades proviene del transporte, por primera vez, los países de la región tienen oportunidades concretas para hacer frente a este problema estructural. Estas oportunidades surgen del acelerado despliegue de tecnologías en transporte limpio y movilidad eléctrica, las cuales permitirían a los países mejorar la calidad del aire y bajar los costos en salud pública debido a la </w:t>
      </w:r>
      <w:r w:rsidRPr="009E6F18">
        <w:rPr>
          <w:rFonts w:ascii="Roboto" w:eastAsia="Roboto" w:hAnsi="Roboto" w:cs="Roboto"/>
        </w:rPr>
        <w:t>reducción</w:t>
      </w:r>
      <w:r>
        <w:rPr>
          <w:rFonts w:ascii="Roboto" w:eastAsia="Roboto" w:hAnsi="Roboto" w:cs="Roboto"/>
          <w:color w:val="000000"/>
        </w:rPr>
        <w:t xml:space="preserve"> de la contaminación. </w:t>
      </w:r>
    </w:p>
    <w:p w14:paraId="60CD01CE" w14:textId="77777777" w:rsidR="008A0D96" w:rsidRDefault="00526AE1">
      <w:pPr>
        <w:pStyle w:val="Heading3"/>
      </w:pPr>
      <w:bookmarkStart w:id="11" w:name="_3dy6vkm" w:colFirst="0" w:colLast="0"/>
      <w:bookmarkEnd w:id="11"/>
      <w:r>
        <w:t xml:space="preserve">Modernizar el transporte público </w:t>
      </w:r>
    </w:p>
    <w:p w14:paraId="33CB35BF" w14:textId="77777777"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color w:val="000000"/>
        </w:rPr>
      </w:pPr>
      <w:r>
        <w:rPr>
          <w:rFonts w:ascii="Roboto" w:eastAsia="Roboto" w:hAnsi="Roboto" w:cs="Roboto"/>
          <w:color w:val="000000"/>
        </w:rPr>
        <w:t>América Latina se encuentra experimentando niveles acelerados de urbanización con un crecimiento urbano de 93% desde los años cincuenta, uno de los más altos del planeta</w:t>
      </w:r>
      <w:r>
        <w:rPr>
          <w:rFonts w:ascii="Roboto" w:eastAsia="Roboto" w:hAnsi="Roboto" w:cs="Roboto"/>
          <w:color w:val="000000"/>
          <w:vertAlign w:val="superscript"/>
        </w:rPr>
        <w:footnoteReference w:id="4"/>
      </w:r>
      <w:r w:rsidRPr="009E6F18">
        <w:rPr>
          <w:rFonts w:ascii="Roboto" w:eastAsia="Roboto" w:hAnsi="Roboto" w:cs="Roboto"/>
        </w:rPr>
        <w:t>.</w:t>
      </w:r>
      <w:r>
        <w:rPr>
          <w:rFonts w:ascii="Roboto" w:eastAsia="Roboto" w:hAnsi="Roboto" w:cs="Roboto"/>
          <w:color w:val="000000"/>
        </w:rPr>
        <w:t xml:space="preserve"> </w:t>
      </w:r>
      <w:r w:rsidRPr="009E6F18">
        <w:rPr>
          <w:rFonts w:ascii="Roboto" w:eastAsia="Roboto" w:hAnsi="Roboto" w:cs="Roboto"/>
        </w:rPr>
        <w:t>Actualmente el</w:t>
      </w:r>
      <w:r>
        <w:rPr>
          <w:rFonts w:ascii="Roboto" w:eastAsia="Roboto" w:hAnsi="Roboto" w:cs="Roboto"/>
          <w:color w:val="000000"/>
        </w:rPr>
        <w:t xml:space="preserve"> 80% de la población vive en centros urbanos, mientras </w:t>
      </w:r>
      <w:proofErr w:type="gramStart"/>
      <w:r>
        <w:rPr>
          <w:rFonts w:ascii="Roboto" w:eastAsia="Roboto" w:hAnsi="Roboto" w:cs="Roboto"/>
          <w:color w:val="000000"/>
        </w:rPr>
        <w:t>que</w:t>
      </w:r>
      <w:proofErr w:type="gramEnd"/>
      <w:r>
        <w:rPr>
          <w:rFonts w:ascii="Roboto" w:eastAsia="Roboto" w:hAnsi="Roboto" w:cs="Roboto"/>
          <w:color w:val="000000"/>
        </w:rPr>
        <w:t xml:space="preserve"> en la </w:t>
      </w:r>
      <w:r w:rsidRPr="009E6F18">
        <w:rPr>
          <w:rFonts w:ascii="Roboto" w:eastAsia="Roboto" w:hAnsi="Roboto" w:cs="Roboto"/>
        </w:rPr>
        <w:t>década del cincuenta, el porcentaje era del</w:t>
      </w:r>
      <w:r>
        <w:rPr>
          <w:rFonts w:ascii="Roboto" w:eastAsia="Roboto" w:hAnsi="Roboto" w:cs="Roboto"/>
          <w:color w:val="000000"/>
        </w:rPr>
        <w:t xml:space="preserve"> 40%. El crecimiento y mejora del transporte público no ha alcanzado el mismo ritmo que el crecimiento poblacional urbano, lo </w:t>
      </w:r>
      <w:proofErr w:type="gramStart"/>
      <w:r>
        <w:rPr>
          <w:rFonts w:ascii="Roboto" w:eastAsia="Roboto" w:hAnsi="Roboto" w:cs="Roboto"/>
          <w:color w:val="000000"/>
        </w:rPr>
        <w:t>cual  ha</w:t>
      </w:r>
      <w:proofErr w:type="gramEnd"/>
      <w:r>
        <w:rPr>
          <w:rFonts w:ascii="Roboto" w:eastAsia="Roboto" w:hAnsi="Roboto" w:cs="Roboto"/>
          <w:color w:val="000000"/>
        </w:rPr>
        <w:t xml:space="preserve"> generado altos niveles de congestión vial y una demanda cada vez más evidente por servicios de transporte público de calidad y menos contaminantes. </w:t>
      </w:r>
      <w:r w:rsidRPr="009E6F18">
        <w:rPr>
          <w:rFonts w:ascii="Roboto" w:eastAsia="Roboto" w:hAnsi="Roboto" w:cs="Roboto"/>
        </w:rPr>
        <w:t>E</w:t>
      </w:r>
      <w:r>
        <w:rPr>
          <w:rFonts w:ascii="Roboto" w:eastAsia="Roboto" w:hAnsi="Roboto" w:cs="Roboto"/>
          <w:color w:val="000000"/>
        </w:rPr>
        <w:t xml:space="preserve">stos cambios requieren reformas estructurales y la modernización de los buses ofrece un punto de partida para una transformación que podría mejorar millones de vidas </w:t>
      </w:r>
      <w:r w:rsidRPr="009E6F18">
        <w:rPr>
          <w:rFonts w:ascii="Roboto" w:eastAsia="Roboto" w:hAnsi="Roboto" w:cs="Roboto"/>
        </w:rPr>
        <w:t>diariamente</w:t>
      </w:r>
      <w:r>
        <w:rPr>
          <w:rFonts w:ascii="Roboto" w:eastAsia="Roboto" w:hAnsi="Roboto" w:cs="Roboto"/>
          <w:color w:val="000000"/>
        </w:rPr>
        <w:t>. Las tecnologías limp</w:t>
      </w:r>
      <w:r>
        <w:rPr>
          <w:rFonts w:ascii="Roboto" w:eastAsia="Roboto" w:hAnsi="Roboto" w:cs="Roboto"/>
        </w:rPr>
        <w:t xml:space="preserve">ias </w:t>
      </w:r>
      <w:r>
        <w:rPr>
          <w:rFonts w:ascii="Roboto" w:eastAsia="Roboto" w:hAnsi="Roboto" w:cs="Roboto"/>
          <w:color w:val="000000"/>
        </w:rPr>
        <w:t>y eléctricas ya avanzan a un ritmo más acelerado que el esperado. La región tiene altos porcentajes de uso de transporte público y la tendencia tecnológica global es positiva: se espera que el ritmo de adopción de buses eléctricos supere al de los vehículos particulares.</w:t>
      </w:r>
      <w:r>
        <w:rPr>
          <w:rFonts w:ascii="Roboto" w:eastAsia="Roboto" w:hAnsi="Roboto" w:cs="Roboto"/>
          <w:color w:val="000000"/>
          <w:vertAlign w:val="superscript"/>
        </w:rPr>
        <w:footnoteReference w:id="5"/>
      </w:r>
      <w:r>
        <w:rPr>
          <w:rFonts w:ascii="Roboto" w:eastAsia="Roboto" w:hAnsi="Roboto" w:cs="Roboto"/>
          <w:color w:val="000000"/>
        </w:rPr>
        <w:t xml:space="preserve"> </w:t>
      </w:r>
    </w:p>
    <w:p w14:paraId="15D9A82C" w14:textId="77777777" w:rsidR="008A0D96" w:rsidRDefault="00526AE1">
      <w:pPr>
        <w:pStyle w:val="Heading3"/>
      </w:pPr>
      <w:bookmarkStart w:id="12" w:name="_1t3h5sf" w:colFirst="0" w:colLast="0"/>
      <w:bookmarkEnd w:id="12"/>
      <w:r>
        <w:t xml:space="preserve">Reducir las emisiones de carbono y cumplir el Acuerdo de París </w:t>
      </w:r>
    </w:p>
    <w:p w14:paraId="5A1553E9" w14:textId="77777777"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color w:val="000000"/>
        </w:rPr>
      </w:pPr>
      <w:r w:rsidRPr="009E6F18">
        <w:rPr>
          <w:rFonts w:ascii="Roboto" w:eastAsia="Roboto" w:hAnsi="Roboto" w:cs="Roboto"/>
        </w:rPr>
        <w:t xml:space="preserve">En el marco </w:t>
      </w:r>
      <w:r>
        <w:rPr>
          <w:rFonts w:ascii="Roboto" w:eastAsia="Roboto" w:hAnsi="Roboto" w:cs="Roboto"/>
          <w:color w:val="000000"/>
        </w:rPr>
        <w:t xml:space="preserve">del Acuerdo de París </w:t>
      </w:r>
      <w:r w:rsidRPr="009E6F18">
        <w:rPr>
          <w:rFonts w:ascii="Roboto" w:eastAsia="Roboto" w:hAnsi="Roboto" w:cs="Roboto"/>
        </w:rPr>
        <w:t>a través de las Contribuciones Nacionalmente Determinadas (</w:t>
      </w:r>
      <w:proofErr w:type="spellStart"/>
      <w:r w:rsidRPr="009E6F18">
        <w:rPr>
          <w:rFonts w:ascii="Roboto" w:eastAsia="Roboto" w:hAnsi="Roboto" w:cs="Roboto"/>
        </w:rPr>
        <w:t>NDCs</w:t>
      </w:r>
      <w:proofErr w:type="spellEnd"/>
      <w:r w:rsidRPr="009E6F18">
        <w:rPr>
          <w:rFonts w:ascii="Roboto" w:eastAsia="Roboto" w:hAnsi="Roboto" w:cs="Roboto"/>
        </w:rPr>
        <w:t>),</w:t>
      </w:r>
      <w:r w:rsidRPr="009E6F18">
        <w:t xml:space="preserve"> </w:t>
      </w:r>
      <w:r w:rsidRPr="009E6F18">
        <w:rPr>
          <w:rFonts w:ascii="Roboto" w:eastAsia="Roboto" w:hAnsi="Roboto" w:cs="Roboto"/>
        </w:rPr>
        <w:t>los países de la región han presentado sus compromisos de emisión de gases de efecto invernadero (GEI)</w:t>
      </w:r>
      <w:r>
        <w:rPr>
          <w:rFonts w:ascii="Roboto" w:eastAsia="Roboto" w:hAnsi="Roboto" w:cs="Roboto"/>
          <w:color w:val="000000"/>
        </w:rPr>
        <w:t xml:space="preserve">. La región representa cerca del 10% de las emisiones globales de </w:t>
      </w:r>
      <w:r w:rsidRPr="009E6F18">
        <w:rPr>
          <w:rFonts w:ascii="Roboto" w:eastAsia="Roboto" w:hAnsi="Roboto" w:cs="Roboto"/>
        </w:rPr>
        <w:t>GEI, siendo</w:t>
      </w:r>
      <w:r>
        <w:rPr>
          <w:rFonts w:ascii="Roboto" w:eastAsia="Roboto" w:hAnsi="Roboto" w:cs="Roboto"/>
          <w:color w:val="000000"/>
        </w:rPr>
        <w:t xml:space="preserve"> el transporte la fuente de más rápido crecimiento. Por lo tanto, </w:t>
      </w:r>
      <w:r w:rsidRPr="009E6F18">
        <w:rPr>
          <w:rFonts w:ascii="Roboto" w:eastAsia="Roboto" w:hAnsi="Roboto" w:cs="Roboto"/>
        </w:rPr>
        <w:t xml:space="preserve">el transporte limpio y </w:t>
      </w:r>
      <w:r>
        <w:rPr>
          <w:rFonts w:ascii="Roboto" w:eastAsia="Roboto" w:hAnsi="Roboto" w:cs="Roboto"/>
          <w:color w:val="000000"/>
        </w:rPr>
        <w:t xml:space="preserve">la movilidad eléctrica pueden </w:t>
      </w:r>
      <w:r w:rsidRPr="009E6F18">
        <w:rPr>
          <w:rFonts w:ascii="Roboto" w:eastAsia="Roboto" w:hAnsi="Roboto" w:cs="Roboto"/>
        </w:rPr>
        <w:t>contribuir</w:t>
      </w:r>
      <w:r>
        <w:rPr>
          <w:rFonts w:ascii="Roboto" w:eastAsia="Roboto" w:hAnsi="Roboto" w:cs="Roboto"/>
          <w:color w:val="000000"/>
        </w:rPr>
        <w:t xml:space="preserve"> no sólo a mejorar la calidad del aire y a modernizar el transporte </w:t>
      </w:r>
      <w:r w:rsidRPr="009E6F18">
        <w:rPr>
          <w:rFonts w:ascii="Roboto" w:eastAsia="Roboto" w:hAnsi="Roboto" w:cs="Roboto"/>
        </w:rPr>
        <w:t>masivo de pasajeros</w:t>
      </w:r>
      <w:r>
        <w:rPr>
          <w:rFonts w:ascii="Roboto" w:eastAsia="Roboto" w:hAnsi="Roboto" w:cs="Roboto"/>
          <w:color w:val="000000"/>
        </w:rPr>
        <w:t xml:space="preserve">, sino que </w:t>
      </w:r>
      <w:r w:rsidRPr="009E6F18">
        <w:rPr>
          <w:rFonts w:ascii="Roboto" w:eastAsia="Roboto" w:hAnsi="Roboto" w:cs="Roboto"/>
        </w:rPr>
        <w:t>pueden ayudar a</w:t>
      </w:r>
      <w:r>
        <w:rPr>
          <w:rFonts w:ascii="Roboto" w:eastAsia="Roboto" w:hAnsi="Roboto" w:cs="Roboto"/>
          <w:color w:val="000000"/>
        </w:rPr>
        <w:t xml:space="preserve"> que los países reduzcan sus emisiones y </w:t>
      </w:r>
      <w:r w:rsidRPr="009E6F18">
        <w:rPr>
          <w:rFonts w:ascii="Roboto" w:eastAsia="Roboto" w:hAnsi="Roboto" w:cs="Roboto"/>
        </w:rPr>
        <w:t xml:space="preserve">avancen en la implementación de sus </w:t>
      </w:r>
      <w:proofErr w:type="spellStart"/>
      <w:r w:rsidRPr="009E6F18">
        <w:rPr>
          <w:rFonts w:ascii="Roboto" w:eastAsia="Roboto" w:hAnsi="Roboto" w:cs="Roboto"/>
        </w:rPr>
        <w:t>NDCs</w:t>
      </w:r>
      <w:proofErr w:type="spellEnd"/>
      <w:r w:rsidRPr="009E6F18">
        <w:rPr>
          <w:rFonts w:ascii="Roboto" w:eastAsia="Roboto" w:hAnsi="Roboto" w:cs="Roboto"/>
        </w:rPr>
        <w:t>. En este sentido, el</w:t>
      </w:r>
      <w:r>
        <w:rPr>
          <w:rFonts w:ascii="Roboto" w:eastAsia="Roboto" w:hAnsi="Roboto" w:cs="Roboto"/>
          <w:color w:val="000000"/>
        </w:rPr>
        <w:t xml:space="preserve"> 66% de los países de América Latina</w:t>
      </w:r>
      <w:r>
        <w:rPr>
          <w:color w:val="000000"/>
          <w:vertAlign w:val="superscript"/>
        </w:rPr>
        <w:footnoteReference w:id="6"/>
      </w:r>
      <w:r>
        <w:rPr>
          <w:rFonts w:ascii="Roboto" w:eastAsia="Roboto" w:hAnsi="Roboto" w:cs="Roboto"/>
          <w:color w:val="000000"/>
        </w:rPr>
        <w:t xml:space="preserve"> incluyen el sector transporte en sus </w:t>
      </w:r>
      <w:r>
        <w:rPr>
          <w:rFonts w:ascii="Roboto" w:eastAsia="Roboto" w:hAnsi="Roboto" w:cs="Roboto"/>
          <w:color w:val="000000"/>
        </w:rPr>
        <w:lastRenderedPageBreak/>
        <w:t xml:space="preserve">contribuciones nacionales.  </w:t>
      </w:r>
      <w:r w:rsidRPr="009E6F18">
        <w:rPr>
          <w:rFonts w:ascii="Roboto" w:eastAsia="Roboto" w:hAnsi="Roboto" w:cs="Roboto"/>
        </w:rPr>
        <w:t>L</w:t>
      </w:r>
      <w:r>
        <w:rPr>
          <w:rFonts w:ascii="Roboto" w:eastAsia="Roboto" w:hAnsi="Roboto" w:cs="Roboto"/>
          <w:color w:val="000000"/>
        </w:rPr>
        <w:t xml:space="preserve">a tecnología avanza a un ritmo acelerado y </w:t>
      </w:r>
      <w:r w:rsidRPr="009E6F18">
        <w:rPr>
          <w:rFonts w:ascii="Roboto" w:eastAsia="Roboto" w:hAnsi="Roboto" w:cs="Roboto"/>
        </w:rPr>
        <w:t xml:space="preserve">el transporte limpio </w:t>
      </w:r>
      <w:proofErr w:type="gramStart"/>
      <w:r w:rsidRPr="009E6F18">
        <w:rPr>
          <w:rFonts w:ascii="Roboto" w:eastAsia="Roboto" w:hAnsi="Roboto" w:cs="Roboto"/>
        </w:rPr>
        <w:t xml:space="preserve">y </w:t>
      </w:r>
      <w:r>
        <w:rPr>
          <w:rFonts w:ascii="Roboto" w:eastAsia="Roboto" w:hAnsi="Roboto" w:cs="Roboto"/>
          <w:color w:val="000000"/>
        </w:rPr>
        <w:t xml:space="preserve"> la</w:t>
      </w:r>
      <w:proofErr w:type="gramEnd"/>
      <w:r>
        <w:rPr>
          <w:rFonts w:ascii="Roboto" w:eastAsia="Roboto" w:hAnsi="Roboto" w:cs="Roboto"/>
          <w:color w:val="000000"/>
        </w:rPr>
        <w:t xml:space="preserve"> movilidad eléctrica se posicionan como una oportunidad concreta para explorar como región. Por ejemplo, la nueva conexión entre transporte y electricidad puede ayudar a estimular más generación eléctrica con fuentes renovables</w:t>
      </w:r>
      <w:proofErr w:type="gramStart"/>
      <w:r>
        <w:rPr>
          <w:rFonts w:ascii="Roboto" w:eastAsia="Roboto" w:hAnsi="Roboto" w:cs="Roboto"/>
          <w:color w:val="000000"/>
        </w:rPr>
        <w:t>. .</w:t>
      </w:r>
      <w:proofErr w:type="gramEnd"/>
    </w:p>
    <w:p w14:paraId="7F40E6C2" w14:textId="77777777" w:rsidR="008A0D96" w:rsidRDefault="00526AE1">
      <w:pPr>
        <w:pStyle w:val="Heading3"/>
      </w:pPr>
      <w:bookmarkStart w:id="13" w:name="_4d34og8" w:colFirst="0" w:colLast="0"/>
      <w:bookmarkEnd w:id="13"/>
      <w:r>
        <w:t>Gestar ecosistemas de innovación</w:t>
      </w:r>
    </w:p>
    <w:p w14:paraId="77E1ADDD" w14:textId="77777777"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color w:val="000000"/>
        </w:rPr>
      </w:pPr>
      <w:r>
        <w:rPr>
          <w:rFonts w:ascii="Roboto" w:eastAsia="Roboto" w:hAnsi="Roboto" w:cs="Roboto"/>
          <w:color w:val="000000"/>
        </w:rPr>
        <w:t>El mundo atraviesa una transformación tecnológica en muchos sectores, incluso algunos hablan de una “cuarta revolución industrial”</w:t>
      </w:r>
      <w:r>
        <w:rPr>
          <w:rFonts w:ascii="Roboto" w:eastAsia="Roboto" w:hAnsi="Roboto" w:cs="Roboto"/>
          <w:color w:val="000000"/>
          <w:vertAlign w:val="superscript"/>
        </w:rPr>
        <w:footnoteReference w:id="7"/>
      </w:r>
      <w:r>
        <w:rPr>
          <w:rFonts w:ascii="Roboto" w:eastAsia="Roboto" w:hAnsi="Roboto" w:cs="Roboto"/>
          <w:color w:val="000000"/>
        </w:rPr>
        <w:t xml:space="preserve">. Hay por lo tanto una oportunidad de crear las condiciones </w:t>
      </w:r>
      <w:r w:rsidRPr="009E6F18">
        <w:rPr>
          <w:rFonts w:ascii="Roboto" w:eastAsia="Roboto" w:hAnsi="Roboto" w:cs="Roboto"/>
        </w:rPr>
        <w:t>necesarias</w:t>
      </w:r>
      <w:r>
        <w:rPr>
          <w:rFonts w:ascii="Roboto" w:eastAsia="Roboto" w:hAnsi="Roboto" w:cs="Roboto"/>
          <w:color w:val="000000"/>
        </w:rPr>
        <w:t xml:space="preserve"> para que las economías de la región </w:t>
      </w:r>
      <w:r w:rsidRPr="009E6F18">
        <w:rPr>
          <w:rFonts w:ascii="Roboto" w:eastAsia="Roboto" w:hAnsi="Roboto" w:cs="Roboto"/>
        </w:rPr>
        <w:t>incorporen</w:t>
      </w:r>
      <w:r>
        <w:rPr>
          <w:rFonts w:ascii="Roboto" w:eastAsia="Roboto" w:hAnsi="Roboto" w:cs="Roboto"/>
          <w:color w:val="000000"/>
        </w:rPr>
        <w:t xml:space="preserve"> los cambios y se </w:t>
      </w:r>
      <w:r w:rsidRPr="009E6F18">
        <w:rPr>
          <w:rFonts w:ascii="Roboto" w:eastAsia="Roboto" w:hAnsi="Roboto" w:cs="Roboto"/>
        </w:rPr>
        <w:t>beneficien</w:t>
      </w:r>
      <w:r>
        <w:rPr>
          <w:rFonts w:ascii="Roboto" w:eastAsia="Roboto" w:hAnsi="Roboto" w:cs="Roboto"/>
          <w:color w:val="000000"/>
        </w:rPr>
        <w:t xml:space="preserve"> de los mismos. </w:t>
      </w:r>
      <w:r w:rsidRPr="009E6F18">
        <w:rPr>
          <w:rFonts w:ascii="Roboto" w:eastAsia="Roboto" w:hAnsi="Roboto" w:cs="Roboto"/>
        </w:rPr>
        <w:t xml:space="preserve">El transporte limpio y </w:t>
      </w:r>
      <w:r w:rsidR="006C39AF" w:rsidRPr="009E6F18">
        <w:rPr>
          <w:rFonts w:ascii="Roboto" w:eastAsia="Roboto" w:hAnsi="Roboto" w:cs="Roboto"/>
        </w:rPr>
        <w:t xml:space="preserve">la </w:t>
      </w:r>
      <w:r w:rsidR="006C39AF">
        <w:rPr>
          <w:rFonts w:ascii="Roboto" w:eastAsia="Roboto" w:hAnsi="Roboto" w:cs="Roboto"/>
          <w:color w:val="000000"/>
        </w:rPr>
        <w:t>movilidad</w:t>
      </w:r>
      <w:r>
        <w:rPr>
          <w:rFonts w:ascii="Roboto" w:eastAsia="Roboto" w:hAnsi="Roboto" w:cs="Roboto"/>
          <w:color w:val="000000"/>
        </w:rPr>
        <w:t xml:space="preserve"> eléctrica crean un espacio para explorar nuevas industrias, servicios y por lo tanto nuevos empleos.  Esto incluye una amplia gama de opciones de oportunidades de manufactura, la creación de aplicaciones </w:t>
      </w:r>
      <w:r w:rsidRPr="009E6F18">
        <w:rPr>
          <w:rFonts w:ascii="Roboto" w:eastAsia="Roboto" w:hAnsi="Roboto" w:cs="Roboto"/>
        </w:rPr>
        <w:t>alrededor de tecnologías de digitalización</w:t>
      </w:r>
      <w:r>
        <w:rPr>
          <w:rFonts w:ascii="Roboto" w:eastAsia="Roboto" w:hAnsi="Roboto" w:cs="Roboto"/>
          <w:color w:val="000000"/>
        </w:rPr>
        <w:t xml:space="preserve">, así como nuevos modelos de negocios emprendedores. Estas alianzas </w:t>
      </w:r>
      <w:r w:rsidRPr="009E6F18">
        <w:rPr>
          <w:rFonts w:ascii="Roboto" w:eastAsia="Roboto" w:hAnsi="Roboto" w:cs="Roboto"/>
        </w:rPr>
        <w:t xml:space="preserve">se desarrollarían internamente en </w:t>
      </w:r>
      <w:r>
        <w:rPr>
          <w:rFonts w:ascii="Roboto" w:eastAsia="Roboto" w:hAnsi="Roboto" w:cs="Roboto"/>
          <w:color w:val="000000"/>
        </w:rPr>
        <w:t>los países y a nivel regional para generar una oferta tecnológica de transporte limpio y movilidad eléctrica que responda a las prioridades concretas de cada país.</w:t>
      </w:r>
    </w:p>
    <w:p w14:paraId="27D7EE33" w14:textId="77777777" w:rsidR="008A0D96" w:rsidRDefault="00526AE1">
      <w:pPr>
        <w:pStyle w:val="Heading2"/>
      </w:pPr>
      <w:bookmarkStart w:id="14" w:name="_Toc525729221"/>
      <w:r>
        <w:t>Potenciar áreas de colaboración regional</w:t>
      </w:r>
      <w:bookmarkEnd w:id="14"/>
    </w:p>
    <w:p w14:paraId="21D9D832" w14:textId="77777777" w:rsidR="008A0D96" w:rsidRDefault="00526AE1" w:rsidP="001A2CEC">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 xml:space="preserve">La región </w:t>
      </w:r>
      <w:r w:rsidRPr="009E6F18">
        <w:rPr>
          <w:rFonts w:ascii="Roboto" w:eastAsia="Roboto" w:hAnsi="Roboto" w:cs="Roboto"/>
        </w:rPr>
        <w:t xml:space="preserve">de América </w:t>
      </w:r>
      <w:proofErr w:type="gramStart"/>
      <w:r w:rsidRPr="009E6F18">
        <w:rPr>
          <w:rFonts w:ascii="Roboto" w:eastAsia="Roboto" w:hAnsi="Roboto" w:cs="Roboto"/>
        </w:rPr>
        <w:t>Latina  y</w:t>
      </w:r>
      <w:proofErr w:type="gramEnd"/>
      <w:r w:rsidRPr="009E6F18">
        <w:rPr>
          <w:rFonts w:ascii="Roboto" w:eastAsia="Roboto" w:hAnsi="Roboto" w:cs="Roboto"/>
        </w:rPr>
        <w:t xml:space="preserve"> el Caribe </w:t>
      </w:r>
      <w:r>
        <w:rPr>
          <w:rFonts w:ascii="Roboto" w:eastAsia="Roboto" w:hAnsi="Roboto" w:cs="Roboto"/>
          <w:color w:val="000000"/>
        </w:rPr>
        <w:t>cuenta con condiciones habilitantes en materia de transporte limpio y movilidad eléctrica. E</w:t>
      </w:r>
      <w:r w:rsidRPr="009E6F18">
        <w:rPr>
          <w:rFonts w:ascii="Roboto" w:eastAsia="Roboto" w:hAnsi="Roboto" w:cs="Roboto"/>
        </w:rPr>
        <w:t>s</w:t>
      </w:r>
      <w:r>
        <w:rPr>
          <w:rFonts w:ascii="Roboto" w:eastAsia="Roboto" w:hAnsi="Roboto" w:cs="Roboto"/>
          <w:color w:val="000000"/>
        </w:rPr>
        <w:t xml:space="preserve"> la región con el porcentaje más alto de generación eléctrica en el mundo con fuentes renovables. A esto se suma un elevado uso de transporte público en comparación con el resto del mundo</w:t>
      </w:r>
      <w:r>
        <w:rPr>
          <w:rFonts w:ascii="Roboto" w:eastAsia="Roboto" w:hAnsi="Roboto" w:cs="Roboto"/>
          <w:color w:val="000000"/>
          <w:vertAlign w:val="superscript"/>
        </w:rPr>
        <w:footnoteReference w:id="8"/>
      </w:r>
      <w:r>
        <w:rPr>
          <w:rFonts w:ascii="Roboto" w:eastAsia="Roboto" w:hAnsi="Roboto" w:cs="Roboto"/>
          <w:color w:val="000000"/>
        </w:rPr>
        <w:t>, así como abundantes reservas de materiales esenciales para la manufactura de baterías para vehículos eléctricos (por ejemplo, litio, en el caso de Argentina, Bolivia y Chile). Finalmente, la región ha sentado también positivos precedentes en la agenda de transporte colectivo, por ejemplo, Bogotá, Medellín y Curitiba se han convertido en referentes internacionales en la materia.</w:t>
      </w:r>
    </w:p>
    <w:p w14:paraId="3D47BC73" w14:textId="77777777" w:rsidR="008A0D96" w:rsidRDefault="008A0D96">
      <w:pPr>
        <w:pBdr>
          <w:top w:val="nil"/>
          <w:left w:val="nil"/>
          <w:bottom w:val="nil"/>
          <w:right w:val="nil"/>
          <w:between w:val="nil"/>
        </w:pBdr>
        <w:spacing w:after="0" w:line="240" w:lineRule="auto"/>
        <w:ind w:left="360" w:hanging="720"/>
        <w:jc w:val="both"/>
        <w:rPr>
          <w:rFonts w:ascii="Roboto" w:eastAsia="Roboto" w:hAnsi="Roboto" w:cs="Roboto"/>
          <w:color w:val="000000"/>
        </w:rPr>
      </w:pPr>
    </w:p>
    <w:p w14:paraId="041549CB" w14:textId="77777777" w:rsidR="008A0D96" w:rsidRDefault="00526AE1" w:rsidP="001A2CEC">
      <w:pPr>
        <w:pBdr>
          <w:top w:val="nil"/>
          <w:left w:val="nil"/>
          <w:bottom w:val="nil"/>
          <w:right w:val="nil"/>
          <w:between w:val="nil"/>
        </w:pBdr>
        <w:spacing w:after="0" w:line="240" w:lineRule="auto"/>
        <w:ind w:left="360"/>
        <w:contextualSpacing/>
        <w:jc w:val="both"/>
        <w:rPr>
          <w:rFonts w:ascii="Roboto" w:eastAsia="Roboto" w:hAnsi="Roboto" w:cs="Roboto"/>
          <w:color w:val="000000"/>
        </w:rPr>
      </w:pPr>
      <w:r w:rsidRPr="009E6F18">
        <w:rPr>
          <w:rFonts w:ascii="Roboto" w:eastAsia="Roboto" w:hAnsi="Roboto" w:cs="Roboto"/>
        </w:rPr>
        <w:t>C</w:t>
      </w:r>
      <w:r>
        <w:rPr>
          <w:rFonts w:ascii="Roboto" w:eastAsia="Roboto" w:hAnsi="Roboto" w:cs="Roboto"/>
          <w:color w:val="000000"/>
        </w:rPr>
        <w:t xml:space="preserve">ada país de América Latina y el Caribe ha dado un primer paso en materia de movilidad eléctrica. Como se muestra en el </w:t>
      </w:r>
      <w:r w:rsidRPr="009E6F18">
        <w:rPr>
          <w:rFonts w:ascii="Roboto" w:eastAsia="Roboto" w:hAnsi="Roboto" w:cs="Roboto"/>
        </w:rPr>
        <w:t>Cuadro</w:t>
      </w:r>
      <w:r>
        <w:rPr>
          <w:rFonts w:ascii="Roboto" w:eastAsia="Roboto" w:hAnsi="Roboto" w:cs="Roboto"/>
          <w:color w:val="000000"/>
        </w:rPr>
        <w:t xml:space="preserve"> 1, el avance </w:t>
      </w:r>
      <w:r w:rsidRPr="009E6F18">
        <w:rPr>
          <w:rFonts w:ascii="Roboto" w:eastAsia="Roboto" w:hAnsi="Roboto" w:cs="Roboto"/>
        </w:rPr>
        <w:t>se desarrolla a diferentes velocidades</w:t>
      </w:r>
      <w:r>
        <w:rPr>
          <w:rFonts w:ascii="Roboto" w:eastAsia="Roboto" w:hAnsi="Roboto" w:cs="Roboto"/>
          <w:color w:val="000000"/>
        </w:rPr>
        <w:t>. Entre los países más avanzados se han sentado precedentes a nivel de infraestructura, legislación y licitaciones: México cuenta con 1</w:t>
      </w:r>
      <w:r w:rsidRPr="009E6F18">
        <w:rPr>
          <w:rFonts w:ascii="Roboto" w:eastAsia="Roboto" w:hAnsi="Roboto" w:cs="Roboto"/>
        </w:rPr>
        <w:t>.</w:t>
      </w:r>
      <w:r>
        <w:rPr>
          <w:rFonts w:ascii="Roboto" w:eastAsia="Roboto" w:hAnsi="Roboto" w:cs="Roboto"/>
          <w:color w:val="000000"/>
        </w:rPr>
        <w:t xml:space="preserve">500 estaciones de recarga, Costa Rica ha desarrollado la primera ley dedicada exclusivamente a promover el transporte eléctrico, Chile se prepara para operar 200 buses 100% eléctricos en la ciudad de Santiago, y Brasil posee el mayor corredor eléctrico de estaciones de recarga eléctricas conectando São Paulo y Rio de Janeiro. </w:t>
      </w:r>
      <w:r w:rsidRPr="009E6F18">
        <w:rPr>
          <w:rFonts w:ascii="Roboto" w:eastAsia="Roboto" w:hAnsi="Roboto" w:cs="Roboto"/>
        </w:rPr>
        <w:t xml:space="preserve">Por su parte, </w:t>
      </w:r>
      <w:r>
        <w:rPr>
          <w:rFonts w:ascii="Roboto" w:eastAsia="Roboto" w:hAnsi="Roboto" w:cs="Roboto"/>
          <w:color w:val="000000"/>
        </w:rPr>
        <w:t>Uruguay y Colombia han si</w:t>
      </w:r>
      <w:r w:rsidRPr="009E6F18">
        <w:rPr>
          <w:rFonts w:ascii="Roboto" w:eastAsia="Roboto" w:hAnsi="Roboto" w:cs="Roboto"/>
        </w:rPr>
        <w:t>d</w:t>
      </w:r>
      <w:r>
        <w:rPr>
          <w:rFonts w:ascii="Roboto" w:eastAsia="Roboto" w:hAnsi="Roboto" w:cs="Roboto"/>
          <w:color w:val="000000"/>
        </w:rPr>
        <w:t xml:space="preserve">o pioneros en la puesta en marcha de taxis eléctricos.  </w:t>
      </w:r>
    </w:p>
    <w:p w14:paraId="3FBCA532" w14:textId="77777777" w:rsidR="008A0D96" w:rsidRDefault="008A0D96">
      <w:pPr>
        <w:pBdr>
          <w:top w:val="nil"/>
          <w:left w:val="nil"/>
          <w:bottom w:val="nil"/>
          <w:right w:val="nil"/>
          <w:between w:val="nil"/>
        </w:pBdr>
        <w:spacing w:after="0"/>
        <w:ind w:left="720" w:hanging="720"/>
        <w:rPr>
          <w:rFonts w:ascii="Roboto" w:eastAsia="Roboto" w:hAnsi="Roboto" w:cs="Roboto"/>
          <w:color w:val="000000"/>
        </w:rPr>
      </w:pPr>
    </w:p>
    <w:p w14:paraId="431A4EB3" w14:textId="77777777" w:rsidR="008A0D96" w:rsidRDefault="00526AE1" w:rsidP="001A2CEC">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 xml:space="preserve">Para estimular el debate entre los países de la región se propone explorar la colaboración en varios frentes que pertenecen a tres grandes áreas: (1) La creación de estrategias nacionales e instrumentos de política pública, (2) involucramiento de actores más allá del sector ambiental y (3) generación de condiciones </w:t>
      </w:r>
      <w:r w:rsidRPr="009E6F18">
        <w:rPr>
          <w:rFonts w:ascii="Roboto" w:eastAsia="Roboto" w:hAnsi="Roboto" w:cs="Roboto"/>
        </w:rPr>
        <w:t>necesarias</w:t>
      </w:r>
      <w:r>
        <w:rPr>
          <w:rFonts w:ascii="Roboto" w:eastAsia="Roboto" w:hAnsi="Roboto" w:cs="Roboto"/>
          <w:color w:val="000000"/>
        </w:rPr>
        <w:t xml:space="preserve"> a través de la creación de capacidades y de información así como la gestación de sistemas para poder evaluar el avance y así extraer lecciones para ajustar las estrategias en la práctica. </w:t>
      </w:r>
    </w:p>
    <w:p w14:paraId="6349F334" w14:textId="77777777" w:rsidR="008A0D96" w:rsidRDefault="008A0D96">
      <w:pPr>
        <w:pBdr>
          <w:top w:val="nil"/>
          <w:left w:val="nil"/>
          <w:bottom w:val="nil"/>
          <w:right w:val="nil"/>
          <w:between w:val="nil"/>
        </w:pBdr>
        <w:spacing w:after="0"/>
        <w:ind w:left="720" w:hanging="720"/>
        <w:rPr>
          <w:rFonts w:ascii="Roboto" w:eastAsia="Roboto" w:hAnsi="Roboto" w:cs="Roboto"/>
          <w:color w:val="000000"/>
        </w:rPr>
      </w:pPr>
    </w:p>
    <w:p w14:paraId="27040B5A" w14:textId="77777777"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color w:val="000000"/>
        </w:rPr>
      </w:pPr>
      <w:r>
        <w:rPr>
          <w:rFonts w:ascii="Roboto" w:eastAsia="Roboto" w:hAnsi="Roboto" w:cs="Roboto"/>
          <w:color w:val="000000"/>
        </w:rPr>
        <w:t xml:space="preserve">Cabe destacar que este tipo de colaboración requiere de diseños flexibles y adaptados a la realidad de cada país, dado que las tecnologías avanzan a un ritmo acelerado, que existen </w:t>
      </w:r>
      <w:r>
        <w:rPr>
          <w:rFonts w:ascii="Roboto" w:eastAsia="Roboto" w:hAnsi="Roboto" w:cs="Roboto"/>
          <w:color w:val="000000"/>
        </w:rPr>
        <w:lastRenderedPageBreak/>
        <w:t xml:space="preserve">distintas tecnologías limpias disponibles en la región y que gobiernos, sector privado y consumidores tendrán que tener capacidad de adaptación de sus estrategias </w:t>
      </w:r>
      <w:r w:rsidRPr="009E6F18">
        <w:rPr>
          <w:rFonts w:ascii="Roboto" w:eastAsia="Roboto" w:hAnsi="Roboto" w:cs="Roboto"/>
        </w:rPr>
        <w:t>y alianzas para cumplir con los objetivos que buscan alcanzar en materia de transporte limpio y movilidad eléctrica</w:t>
      </w:r>
      <w:r>
        <w:rPr>
          <w:rFonts w:ascii="Roboto" w:eastAsia="Roboto" w:hAnsi="Roboto" w:cs="Roboto"/>
          <w:color w:val="000000"/>
        </w:rPr>
        <w:t xml:space="preserve">. </w:t>
      </w:r>
    </w:p>
    <w:p w14:paraId="61344007" w14:textId="77777777" w:rsidR="006C39AF" w:rsidRDefault="006C39AF" w:rsidP="006C39AF">
      <w:pPr>
        <w:pStyle w:val="ListParagraph"/>
        <w:rPr>
          <w:rFonts w:ascii="Roboto" w:eastAsia="Roboto" w:hAnsi="Roboto" w:cs="Roboto"/>
          <w:color w:val="000000"/>
        </w:rPr>
      </w:pPr>
    </w:p>
    <w:p w14:paraId="2C893F8F" w14:textId="77777777" w:rsidR="008A0D96" w:rsidRDefault="00526AE1">
      <w:pPr>
        <w:spacing w:line="240" w:lineRule="auto"/>
        <w:jc w:val="both"/>
        <w:rPr>
          <w:rFonts w:ascii="Roboto" w:eastAsia="Roboto" w:hAnsi="Roboto" w:cs="Roboto"/>
        </w:rPr>
      </w:pPr>
      <w:r>
        <w:rPr>
          <w:rFonts w:ascii="Roboto" w:eastAsia="Roboto" w:hAnsi="Roboto" w:cs="Roboto"/>
          <w:noProof/>
          <w:lang w:val="es-AR"/>
        </w:rPr>
        <mc:AlternateContent>
          <mc:Choice Requires="wps">
            <w:drawing>
              <wp:inline distT="0" distB="0" distL="0" distR="0" wp14:anchorId="1AD1CAFE" wp14:editId="7D653E79">
                <wp:extent cx="5943600" cy="2095500"/>
                <wp:effectExtent l="0" t="0" r="19050" b="19050"/>
                <wp:docPr id="1" name="1 Rectángulo"/>
                <wp:cNvGraphicFramePr/>
                <a:graphic xmlns:a="http://schemas.openxmlformats.org/drawingml/2006/main">
                  <a:graphicData uri="http://schemas.microsoft.com/office/word/2010/wordprocessingShape">
                    <wps:wsp>
                      <wps:cNvSpPr/>
                      <wps:spPr>
                        <a:xfrm>
                          <a:off x="0" y="0"/>
                          <a:ext cx="5943600" cy="2095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6E34307" w14:textId="77777777" w:rsidR="009E6F18" w:rsidRDefault="009E6F18">
                            <w:pPr>
                              <w:spacing w:after="0" w:line="240" w:lineRule="auto"/>
                              <w:jc w:val="center"/>
                              <w:textDirection w:val="btLr"/>
                            </w:pPr>
                            <w:r>
                              <w:rPr>
                                <w:b/>
                                <w:color w:val="000000"/>
                                <w:sz w:val="24"/>
                              </w:rPr>
                              <w:t>Cuadro 1.</w:t>
                            </w:r>
                          </w:p>
                          <w:p w14:paraId="278F17FF" w14:textId="77777777" w:rsidR="009E6F18" w:rsidRDefault="009E6F18">
                            <w:pPr>
                              <w:spacing w:after="0" w:line="240" w:lineRule="auto"/>
                              <w:jc w:val="center"/>
                              <w:textDirection w:val="btLr"/>
                            </w:pPr>
                            <w:r>
                              <w:rPr>
                                <w:b/>
                                <w:color w:val="000000"/>
                                <w:sz w:val="24"/>
                              </w:rPr>
                              <w:t>Taller técnico sobre transporte limpio y movilidad eléctrica</w:t>
                            </w:r>
                          </w:p>
                          <w:p w14:paraId="37984ACF" w14:textId="77777777" w:rsidR="009E6F18" w:rsidRDefault="009E6F18">
                            <w:pPr>
                              <w:spacing w:after="0" w:line="240" w:lineRule="auto"/>
                              <w:textDirection w:val="btLr"/>
                            </w:pPr>
                          </w:p>
                          <w:p w14:paraId="687AB160" w14:textId="77777777" w:rsidR="009E6F18" w:rsidRDefault="009E6F18">
                            <w:pPr>
                              <w:spacing w:after="0" w:line="240" w:lineRule="auto"/>
                              <w:jc w:val="both"/>
                              <w:textDirection w:val="btLr"/>
                            </w:pPr>
                            <w:r>
                              <w:rPr>
                                <w:color w:val="000000"/>
                                <w:sz w:val="20"/>
                              </w:rPr>
                              <w:t xml:space="preserve">El 16 y 17 de agosto de 2018 se albergó el “Taller Técnico Transporte Limpio y Movilidad Eléctrica en América Latina y el Caribe” en Costa Rica. Este fue convocado por el Ministerio de Ambiente y Energía de Costa Rica y el Ministerio de Ambiente y Desarrollo Sostenible de Argentina y contó con contó con 12 países de América Latina y el Caribe. La sesión de trabajo fue organizada en colaboración con ONU Medio Ambiente, la NDC </w:t>
                            </w:r>
                            <w:proofErr w:type="spellStart"/>
                            <w:r>
                              <w:rPr>
                                <w:color w:val="000000"/>
                                <w:sz w:val="20"/>
                              </w:rPr>
                              <w:t>Partnership</w:t>
                            </w:r>
                            <w:proofErr w:type="spellEnd"/>
                            <w:r>
                              <w:rPr>
                                <w:color w:val="000000"/>
                                <w:sz w:val="20"/>
                              </w:rPr>
                              <w:t xml:space="preserve">, con el apoyo de </w:t>
                            </w:r>
                            <w:proofErr w:type="spellStart"/>
                            <w:r>
                              <w:rPr>
                                <w:color w:val="000000"/>
                                <w:sz w:val="20"/>
                              </w:rPr>
                              <w:t>Euroclima</w:t>
                            </w:r>
                            <w:proofErr w:type="spellEnd"/>
                            <w:r>
                              <w:rPr>
                                <w:color w:val="000000"/>
                                <w:sz w:val="20"/>
                              </w:rPr>
                              <w:t xml:space="preserve">+. El propósito fue discutir la importancia estratégica del transporte limpio y la movilidad eléctrica e identificar oportunidades regionales de colaboración regionales. El evento se centró en dar a conocer los avances, la identificación de oportunidades, así como de los retos comunes que enfrenta la región.  Los países abordaron las áreas de interés común con más potencial para la colaboración. Se propuso que la región explore colaboración en varios frentes, complementarios entre sí. </w:t>
                            </w:r>
                          </w:p>
                        </w:txbxContent>
                      </wps:txbx>
                      <wps:bodyPr spcFirstLastPara="1" wrap="square" lIns="91425" tIns="45700" rIns="91425" bIns="45700" anchor="t" anchorCtr="0"/>
                    </wps:wsp>
                  </a:graphicData>
                </a:graphic>
              </wp:inline>
            </w:drawing>
          </mc:Choice>
          <mc:Fallback>
            <w:pict>
              <v:rect w14:anchorId="1AD1CAFE" id="1 Rectángulo" o:spid="_x0000_s1026" style="width:468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">
                <v:stroke startarrowwidth="narrow" startarrowlength="short" endarrowwidth="narrow" endarrowlength="short"/>
                <v:textbox inset="2.53958mm,1.2694mm,2.53958mm,1.2694mm">
                  <w:txbxContent>
                    <w:p w14:paraId="16E34307" w14:textId="77777777" w:rsidR="009E6F18" w:rsidRDefault="009E6F18">
                      <w:pPr>
                        <w:spacing w:after="0" w:line="240" w:lineRule="auto"/>
                        <w:jc w:val="center"/>
                        <w:textDirection w:val="btLr"/>
                      </w:pPr>
                      <w:r>
                        <w:rPr>
                          <w:b/>
                          <w:color w:val="000000"/>
                          <w:sz w:val="24"/>
                        </w:rPr>
                        <w:t>Cuadro 1.</w:t>
                      </w:r>
                    </w:p>
                    <w:p w14:paraId="278F17FF" w14:textId="77777777" w:rsidR="009E6F18" w:rsidRDefault="009E6F18">
                      <w:pPr>
                        <w:spacing w:after="0" w:line="240" w:lineRule="auto"/>
                        <w:jc w:val="center"/>
                        <w:textDirection w:val="btLr"/>
                      </w:pPr>
                      <w:r>
                        <w:rPr>
                          <w:b/>
                          <w:color w:val="000000"/>
                          <w:sz w:val="24"/>
                        </w:rPr>
                        <w:t>Taller técnico sobre transporte limpio y movilidad eléctrica</w:t>
                      </w:r>
                    </w:p>
                    <w:p w14:paraId="37984ACF" w14:textId="77777777" w:rsidR="009E6F18" w:rsidRDefault="009E6F18">
                      <w:pPr>
                        <w:spacing w:after="0" w:line="240" w:lineRule="auto"/>
                        <w:textDirection w:val="btLr"/>
                      </w:pPr>
                    </w:p>
                    <w:p w14:paraId="687AB160" w14:textId="77777777" w:rsidR="009E6F18" w:rsidRDefault="009E6F18">
                      <w:pPr>
                        <w:spacing w:after="0" w:line="240" w:lineRule="auto"/>
                        <w:jc w:val="both"/>
                        <w:textDirection w:val="btLr"/>
                      </w:pPr>
                      <w:r>
                        <w:rPr>
                          <w:color w:val="000000"/>
                          <w:sz w:val="20"/>
                        </w:rPr>
                        <w:t xml:space="preserve">El 16 y 17 de agosto de 2018 se albergó el “Taller Técnico Transporte Limpio y Movilidad Eléctrica en América Latina y el Caribe” en Costa Rica. Este fue convocado por el Ministerio de Ambiente y Energía de Costa Rica y el Ministerio de Ambiente y Desarrollo Sostenible de Argentina y contó con contó con 12 países de América Latina y el Caribe. La sesión de trabajo fue organizada en colaboración con ONU Medio Ambiente, la NDC </w:t>
                      </w:r>
                      <w:proofErr w:type="spellStart"/>
                      <w:r>
                        <w:rPr>
                          <w:color w:val="000000"/>
                          <w:sz w:val="20"/>
                        </w:rPr>
                        <w:t>Partnership</w:t>
                      </w:r>
                      <w:proofErr w:type="spellEnd"/>
                      <w:r>
                        <w:rPr>
                          <w:color w:val="000000"/>
                          <w:sz w:val="20"/>
                        </w:rPr>
                        <w:t xml:space="preserve">, con el apoyo de </w:t>
                      </w:r>
                      <w:proofErr w:type="spellStart"/>
                      <w:r>
                        <w:rPr>
                          <w:color w:val="000000"/>
                          <w:sz w:val="20"/>
                        </w:rPr>
                        <w:t>Euroclima</w:t>
                      </w:r>
                      <w:proofErr w:type="spellEnd"/>
                      <w:r>
                        <w:rPr>
                          <w:color w:val="000000"/>
                          <w:sz w:val="20"/>
                        </w:rPr>
                        <w:t xml:space="preserve">+. El propósito fue discutir la importancia estratégica del transporte limpio y la movilidad eléctrica e identificar oportunidades regionales de colaboración regionales. El evento se centró en dar a conocer los avances, la identificación de oportunidades, así como de los retos comunes que enfrenta la región.  Los países abordaron las áreas de interés común con más potencial para la colaboración. Se propuso que la región explore colaboración en varios frentes, complementarios entre sí. </w:t>
                      </w:r>
                    </w:p>
                  </w:txbxContent>
                </v:textbox>
                <w10:anchorlock/>
              </v:rect>
            </w:pict>
          </mc:Fallback>
        </mc:AlternateContent>
      </w:r>
    </w:p>
    <w:p w14:paraId="285823D2" w14:textId="77777777" w:rsidR="008A0D96" w:rsidRDefault="00526AE1">
      <w:pPr>
        <w:pStyle w:val="Heading3"/>
      </w:pPr>
      <w:bookmarkStart w:id="15" w:name="_17dp8vu" w:colFirst="0" w:colLast="0"/>
      <w:bookmarkEnd w:id="15"/>
      <w:r>
        <w:t>Estrategias nacionales e instrumentos de política pública</w:t>
      </w:r>
    </w:p>
    <w:p w14:paraId="58630515" w14:textId="77777777" w:rsidR="008A0D96" w:rsidRDefault="00526AE1" w:rsidP="001A2CEC">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 xml:space="preserve">Una de las grandes áreas de cooperación regional podría </w:t>
      </w:r>
      <w:r w:rsidRPr="009E6F18">
        <w:rPr>
          <w:rFonts w:ascii="Roboto" w:eastAsia="Roboto" w:hAnsi="Roboto" w:cs="Roboto"/>
        </w:rPr>
        <w:t xml:space="preserve">centrarse </w:t>
      </w:r>
      <w:proofErr w:type="gramStart"/>
      <w:r w:rsidRPr="009E6F18">
        <w:rPr>
          <w:rFonts w:ascii="Roboto" w:eastAsia="Roboto" w:hAnsi="Roboto" w:cs="Roboto"/>
        </w:rPr>
        <w:t xml:space="preserve">en </w:t>
      </w:r>
      <w:r>
        <w:rPr>
          <w:rFonts w:ascii="Roboto" w:eastAsia="Roboto" w:hAnsi="Roboto" w:cs="Roboto"/>
          <w:color w:val="000000"/>
        </w:rPr>
        <w:t xml:space="preserve"> el</w:t>
      </w:r>
      <w:proofErr w:type="gramEnd"/>
      <w:r>
        <w:rPr>
          <w:rFonts w:ascii="Roboto" w:eastAsia="Roboto" w:hAnsi="Roboto" w:cs="Roboto"/>
          <w:color w:val="000000"/>
        </w:rPr>
        <w:t xml:space="preserve"> desarrollo de instrumentos de política pública para crear condiciones favorables para el transporte limpio y la movilidad eléctrica.  Si bien esta área de trabajo es sobre todo doméstica, </w:t>
      </w:r>
      <w:r w:rsidRPr="009E6F18">
        <w:rPr>
          <w:rFonts w:ascii="Roboto" w:eastAsia="Roboto" w:hAnsi="Roboto" w:cs="Roboto"/>
        </w:rPr>
        <w:t>y</w:t>
      </w:r>
      <w:r>
        <w:rPr>
          <w:rFonts w:ascii="Roboto" w:eastAsia="Roboto" w:hAnsi="Roboto" w:cs="Roboto"/>
          <w:color w:val="000000"/>
        </w:rPr>
        <w:t xml:space="preserve"> cada país debe definir su propio enfoque de acuerdo con su realidad, hay beneficios de aprendizajes regionales en esta materia dado que los países avanzan a ritmos muy variados.  Hay países que ya cuentan con las primeras versiones de estrategia nacional, por ejemplo, Chile, otros las tienen en estado avanzado, por ejemplo, Colombia, Costa Rica o México y otros países están iniciando, tal como Argentina y Panamá. </w:t>
      </w:r>
      <w:r w:rsidRPr="009E6F18">
        <w:rPr>
          <w:rFonts w:ascii="Roboto" w:eastAsia="Roboto" w:hAnsi="Roboto" w:cs="Roboto"/>
        </w:rPr>
        <w:t>O</w:t>
      </w:r>
      <w:r>
        <w:rPr>
          <w:rFonts w:ascii="Roboto" w:eastAsia="Roboto" w:hAnsi="Roboto" w:cs="Roboto"/>
          <w:color w:val="000000"/>
        </w:rPr>
        <w:t xml:space="preserve">tros aún no han iniciado.  </w:t>
      </w:r>
    </w:p>
    <w:p w14:paraId="69C6CFA4" w14:textId="77777777" w:rsidR="008A0D96" w:rsidRDefault="008A0D96">
      <w:pPr>
        <w:pBdr>
          <w:top w:val="nil"/>
          <w:left w:val="nil"/>
          <w:bottom w:val="nil"/>
          <w:right w:val="nil"/>
          <w:between w:val="nil"/>
        </w:pBdr>
        <w:spacing w:after="0" w:line="240" w:lineRule="auto"/>
        <w:ind w:left="360" w:hanging="720"/>
        <w:jc w:val="both"/>
        <w:rPr>
          <w:rFonts w:ascii="Roboto" w:eastAsia="Roboto" w:hAnsi="Roboto" w:cs="Roboto"/>
          <w:color w:val="000000"/>
        </w:rPr>
      </w:pPr>
    </w:p>
    <w:p w14:paraId="0B18BEB1" w14:textId="77777777" w:rsidR="008A0D96" w:rsidRDefault="00526AE1" w:rsidP="001A2CEC">
      <w:pPr>
        <w:pBdr>
          <w:top w:val="nil"/>
          <w:left w:val="nil"/>
          <w:bottom w:val="nil"/>
          <w:right w:val="nil"/>
          <w:between w:val="nil"/>
        </w:pBdr>
        <w:spacing w:after="0" w:line="240" w:lineRule="auto"/>
        <w:ind w:left="360"/>
        <w:contextualSpacing/>
        <w:jc w:val="both"/>
        <w:rPr>
          <w:rFonts w:ascii="Roboto" w:eastAsia="Roboto" w:hAnsi="Roboto" w:cs="Roboto"/>
          <w:color w:val="000000"/>
        </w:rPr>
      </w:pPr>
      <w:r w:rsidRPr="009E6F18">
        <w:rPr>
          <w:rFonts w:ascii="Roboto" w:eastAsia="Roboto" w:hAnsi="Roboto" w:cs="Roboto"/>
        </w:rPr>
        <w:t>Los distintos grados de avance en la región, sugieren una valiosa oportunidad para fomentar diálogos regionales en los cuales cada país comparta insumos técnicos con los demás países</w:t>
      </w:r>
      <w:r>
        <w:rPr>
          <w:rFonts w:ascii="Roboto" w:eastAsia="Roboto" w:hAnsi="Roboto" w:cs="Roboto"/>
          <w:color w:val="000000"/>
        </w:rPr>
        <w:t xml:space="preserve">. Entre los ejemplos de política pública donde algunos países han manifestado interés en dialogar </w:t>
      </w:r>
      <w:r w:rsidRPr="009E6F18">
        <w:rPr>
          <w:rFonts w:ascii="Roboto" w:eastAsia="Roboto" w:hAnsi="Roboto" w:cs="Roboto"/>
        </w:rPr>
        <w:t>se destacan</w:t>
      </w:r>
      <w:r>
        <w:rPr>
          <w:rFonts w:ascii="Roboto" w:eastAsia="Roboto" w:hAnsi="Roboto" w:cs="Roboto"/>
          <w:color w:val="000000"/>
        </w:rPr>
        <w:t xml:space="preserve">: (a) las bases para crear legislación para la promoción e incentivos de transporte limpio y movilidad eléctrica y (b) esquemas para el eco-etiquetado de vehículos (autos y buses) y (c) infraestructura para la movilidad eléctrica. </w:t>
      </w:r>
    </w:p>
    <w:p w14:paraId="4F58464B" w14:textId="77777777" w:rsidR="008A0D96" w:rsidRDefault="008A0D96">
      <w:pPr>
        <w:pBdr>
          <w:top w:val="nil"/>
          <w:left w:val="nil"/>
          <w:bottom w:val="nil"/>
          <w:right w:val="nil"/>
          <w:between w:val="nil"/>
        </w:pBdr>
        <w:spacing w:after="0"/>
        <w:ind w:left="720" w:hanging="720"/>
        <w:rPr>
          <w:rFonts w:ascii="Roboto" w:eastAsia="Roboto" w:hAnsi="Roboto" w:cs="Roboto"/>
          <w:color w:val="000000"/>
        </w:rPr>
      </w:pPr>
    </w:p>
    <w:p w14:paraId="1C8501B7" w14:textId="6FE7312E" w:rsidR="00DB222D" w:rsidRDefault="00526AE1" w:rsidP="001A2CEC">
      <w:pPr>
        <w:pBdr>
          <w:top w:val="nil"/>
          <w:left w:val="nil"/>
          <w:bottom w:val="nil"/>
          <w:right w:val="nil"/>
          <w:between w:val="nil"/>
        </w:pBdr>
        <w:spacing w:line="240" w:lineRule="auto"/>
        <w:ind w:left="360"/>
        <w:contextualSpacing/>
        <w:jc w:val="both"/>
        <w:rPr>
          <w:rFonts w:ascii="Roboto" w:eastAsia="Roboto" w:hAnsi="Roboto" w:cs="Roboto"/>
          <w:color w:val="000000"/>
        </w:rPr>
      </w:pPr>
      <w:r>
        <w:rPr>
          <w:rFonts w:ascii="Roboto" w:eastAsia="Roboto" w:hAnsi="Roboto" w:cs="Roboto"/>
          <w:color w:val="000000"/>
        </w:rPr>
        <w:t xml:space="preserve">También se propone dialogar en materia de (d) estándares y normativas para los vehículos de combustión, de forma que se promueva una mayor eficiencia y un mejor control de emisiones dado que la región aún tiene estándares bajos que afectan la calidad del </w:t>
      </w:r>
      <w:proofErr w:type="gramStart"/>
      <w:r>
        <w:rPr>
          <w:rFonts w:ascii="Roboto" w:eastAsia="Roboto" w:hAnsi="Roboto" w:cs="Roboto"/>
          <w:color w:val="000000"/>
        </w:rPr>
        <w:t>aire .</w:t>
      </w:r>
      <w:proofErr w:type="gramEnd"/>
      <w:r>
        <w:rPr>
          <w:rFonts w:ascii="Roboto" w:eastAsia="Roboto" w:hAnsi="Roboto" w:cs="Roboto"/>
          <w:color w:val="000000"/>
        </w:rPr>
        <w:t xml:space="preserve"> </w:t>
      </w:r>
      <w:r w:rsidRPr="009E6F18">
        <w:rPr>
          <w:rFonts w:ascii="Roboto" w:eastAsia="Roboto" w:hAnsi="Roboto" w:cs="Roboto"/>
        </w:rPr>
        <w:t>Adicionalmente, hay un interés en conocer más en profundidad sobre experiencias de creación de infraestructura de recarga de vehículos eléctricos (buses, taxis, particulares), así como sobre experiencias internacionales en materia de baterías.</w:t>
      </w:r>
      <w:r w:rsidR="00DB222D">
        <w:rPr>
          <w:rFonts w:ascii="Roboto" w:eastAsia="Roboto" w:hAnsi="Roboto" w:cs="Roboto"/>
          <w:color w:val="000000"/>
        </w:rPr>
        <w:t xml:space="preserve"> </w:t>
      </w:r>
    </w:p>
    <w:p w14:paraId="7C341AF2" w14:textId="77777777" w:rsidR="00DB222D" w:rsidRPr="00DB222D" w:rsidRDefault="00DB222D" w:rsidP="00DB222D">
      <w:pPr>
        <w:spacing w:after="0"/>
        <w:rPr>
          <w:rFonts w:ascii="Roboto" w:eastAsia="Roboto" w:hAnsi="Roboto" w:cs="Roboto"/>
          <w:color w:val="000000"/>
        </w:rPr>
      </w:pPr>
    </w:p>
    <w:p w14:paraId="16D7CD2F" w14:textId="77777777" w:rsidR="00DB222D" w:rsidRDefault="00526AE1" w:rsidP="001A2CEC">
      <w:pPr>
        <w:pBdr>
          <w:top w:val="nil"/>
          <w:left w:val="nil"/>
          <w:bottom w:val="nil"/>
          <w:right w:val="nil"/>
          <w:between w:val="nil"/>
        </w:pBdr>
        <w:spacing w:after="0" w:line="240" w:lineRule="auto"/>
        <w:ind w:left="360"/>
        <w:contextualSpacing/>
        <w:jc w:val="both"/>
        <w:rPr>
          <w:rFonts w:ascii="Roboto" w:eastAsia="Roboto" w:hAnsi="Roboto" w:cs="Roboto"/>
          <w:color w:val="000000"/>
        </w:rPr>
      </w:pPr>
      <w:r w:rsidRPr="00DB222D">
        <w:rPr>
          <w:rFonts w:ascii="Roboto" w:eastAsia="Roboto" w:hAnsi="Roboto" w:cs="Roboto"/>
          <w:color w:val="000000"/>
        </w:rPr>
        <w:t>A la vez este tipo de diálogos sobre marcos normativos y política pública podrían incorporar el elemento de financiamiento</w:t>
      </w:r>
      <w:r w:rsidRPr="00DB222D">
        <w:rPr>
          <w:rFonts w:ascii="Roboto" w:eastAsia="Roboto" w:hAnsi="Roboto" w:cs="Roboto"/>
        </w:rPr>
        <w:t xml:space="preserve">: ¿cómo desarrollar instrumentos financieros para promover la adquisición de nuevas tecnologías y para crear la infraestructura de recarga?  ¿Cómo crear mecanismos para atraer a los consumidores? ¿Cómo crear incentivos a la inversión privada en este tipo de industrias? </w:t>
      </w:r>
    </w:p>
    <w:p w14:paraId="58AE3420" w14:textId="0DB293AB" w:rsidR="008A0D96" w:rsidRPr="00DB222D" w:rsidRDefault="00526AE1" w:rsidP="001A2CEC">
      <w:pPr>
        <w:pBdr>
          <w:top w:val="nil"/>
          <w:left w:val="nil"/>
          <w:bottom w:val="nil"/>
          <w:right w:val="nil"/>
          <w:between w:val="nil"/>
        </w:pBdr>
        <w:spacing w:line="240" w:lineRule="auto"/>
        <w:ind w:left="360"/>
        <w:contextualSpacing/>
        <w:jc w:val="both"/>
        <w:rPr>
          <w:rFonts w:ascii="Roboto" w:eastAsia="Roboto" w:hAnsi="Roboto" w:cs="Roboto"/>
          <w:color w:val="000000"/>
        </w:rPr>
      </w:pPr>
      <w:r w:rsidRPr="00DB222D">
        <w:rPr>
          <w:rFonts w:ascii="Roboto" w:eastAsia="Roboto" w:hAnsi="Roboto" w:cs="Roboto"/>
        </w:rPr>
        <w:lastRenderedPageBreak/>
        <w:t>Estos diálogos se podrían complementar con diálogos regionales para estimular ideas en cuanto a mecanismos que incentiven al sector privado y emprendedor, a gestar modelos de negocios que promuevan el transporte limpio y la movilidad eléctrica</w:t>
      </w:r>
      <w:r w:rsidRPr="00DB222D">
        <w:rPr>
          <w:rFonts w:ascii="Roboto" w:eastAsia="Roboto" w:hAnsi="Roboto" w:cs="Roboto"/>
          <w:color w:val="000000"/>
        </w:rPr>
        <w:t>.</w:t>
      </w:r>
    </w:p>
    <w:p w14:paraId="2E12A244" w14:textId="77777777" w:rsidR="008A0D96" w:rsidRDefault="00526AE1">
      <w:pPr>
        <w:pStyle w:val="Heading3"/>
      </w:pPr>
      <w:bookmarkStart w:id="16" w:name="_3rdcrjn" w:colFirst="0" w:colLast="0"/>
      <w:bookmarkEnd w:id="16"/>
      <w:r>
        <w:t>Acciones para involucrar a otros actores</w:t>
      </w:r>
    </w:p>
    <w:p w14:paraId="1BE7E119" w14:textId="77777777"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color w:val="000000"/>
        </w:rPr>
      </w:pPr>
      <w:r w:rsidRPr="009E6F18">
        <w:rPr>
          <w:rFonts w:ascii="Roboto" w:eastAsia="Roboto" w:hAnsi="Roboto" w:cs="Roboto"/>
        </w:rPr>
        <w:t>E</w:t>
      </w:r>
      <w:r>
        <w:rPr>
          <w:rFonts w:ascii="Roboto" w:eastAsia="Roboto" w:hAnsi="Roboto" w:cs="Roboto"/>
          <w:color w:val="000000"/>
        </w:rPr>
        <w:t xml:space="preserve">l rol de la política pública para crear condiciones favorables se debe complementar con esfuerzos para sumar a otros actores que pueden potenciar el transporte limpio y la movilidad eléctrica dado que se debe ir más allá de los ministerios de ambiente. Esto significa explorar canales innovadores de colaboración dentro del sector gubernamental.  </w:t>
      </w:r>
    </w:p>
    <w:p w14:paraId="29B3401E" w14:textId="77777777" w:rsidR="008A0D96" w:rsidRDefault="00526AE1">
      <w:pPr>
        <w:spacing w:line="240" w:lineRule="auto"/>
        <w:jc w:val="both"/>
        <w:rPr>
          <w:rFonts w:ascii="Roboto" w:eastAsia="Roboto" w:hAnsi="Roboto" w:cs="Roboto"/>
          <w:i/>
        </w:rPr>
      </w:pPr>
      <w:r>
        <w:rPr>
          <w:rFonts w:ascii="Roboto" w:eastAsia="Roboto" w:hAnsi="Roboto" w:cs="Roboto"/>
          <w:i/>
        </w:rPr>
        <w:t xml:space="preserve">Otros ministerios y organismos públicos </w:t>
      </w:r>
    </w:p>
    <w:p w14:paraId="5CAF960A" w14:textId="77777777"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color w:val="000000"/>
        </w:rPr>
      </w:pPr>
      <w:r w:rsidRPr="009E6F18">
        <w:rPr>
          <w:rFonts w:ascii="Roboto" w:eastAsia="Roboto" w:hAnsi="Roboto" w:cs="Roboto"/>
        </w:rPr>
        <w:t>L</w:t>
      </w:r>
      <w:r>
        <w:rPr>
          <w:rFonts w:ascii="Roboto" w:eastAsia="Roboto" w:hAnsi="Roboto" w:cs="Roboto"/>
          <w:color w:val="000000"/>
        </w:rPr>
        <w:t xml:space="preserve">os sectores naturales para colaborar son los ministerios de transporte, energía y salud. Se podría pensar en crear espacios para diálogos interministeriales que pueden comenzar por acercar los </w:t>
      </w:r>
      <w:r w:rsidRPr="009E6F18">
        <w:rPr>
          <w:rFonts w:ascii="Roboto" w:eastAsia="Roboto" w:hAnsi="Roboto" w:cs="Roboto"/>
        </w:rPr>
        <w:t>m</w:t>
      </w:r>
      <w:r>
        <w:rPr>
          <w:rFonts w:ascii="Roboto" w:eastAsia="Roboto" w:hAnsi="Roboto" w:cs="Roboto"/>
          <w:color w:val="000000"/>
        </w:rPr>
        <w:t xml:space="preserve">inisterios </w:t>
      </w:r>
      <w:r w:rsidRPr="009E6F18">
        <w:rPr>
          <w:rFonts w:ascii="Roboto" w:eastAsia="Roboto" w:hAnsi="Roboto" w:cs="Roboto"/>
        </w:rPr>
        <w:t>pertinentes</w:t>
      </w:r>
      <w:r>
        <w:rPr>
          <w:rFonts w:ascii="Roboto" w:eastAsia="Roboto" w:hAnsi="Roboto" w:cs="Roboto"/>
          <w:color w:val="000000"/>
        </w:rPr>
        <w:t xml:space="preserve">. </w:t>
      </w:r>
      <w:r w:rsidRPr="009E6F18">
        <w:rPr>
          <w:rFonts w:ascii="Roboto" w:eastAsia="Roboto" w:hAnsi="Roboto" w:cs="Roboto"/>
        </w:rPr>
        <w:t>Complementariamente</w:t>
      </w:r>
      <w:r>
        <w:rPr>
          <w:rFonts w:ascii="Roboto" w:eastAsia="Roboto" w:hAnsi="Roboto" w:cs="Roboto"/>
          <w:color w:val="000000"/>
        </w:rPr>
        <w:t xml:space="preserve"> al trabajo de alto nivel, se pueden crear espacios para el diálogo y el trabajo conjunto de cuerpos técnicos que puedan definir acciones concretas </w:t>
      </w:r>
      <w:r w:rsidRPr="009E6F18">
        <w:rPr>
          <w:rFonts w:ascii="Roboto" w:eastAsia="Roboto" w:hAnsi="Roboto" w:cs="Roboto"/>
        </w:rPr>
        <w:t>e involucrar a otros tomadores de decisiones con impacto directo en la vida urbana, como son los gobiernos locales y municipalidades.</w:t>
      </w:r>
      <w:r w:rsidRPr="009E6F18">
        <w:t xml:space="preserve"> </w:t>
      </w:r>
      <w:r w:rsidRPr="009E6F18">
        <w:rPr>
          <w:rFonts w:ascii="Roboto" w:eastAsia="Roboto" w:hAnsi="Roboto" w:cs="Roboto"/>
        </w:rPr>
        <w:t>En la región ya hay precedentes positivos a escala de ciudades, así como la recopilación de lecciones en materia del involucramiento de municipalidades en la puesta en marcha de programas piloto de buses y taxis eléctricos</w:t>
      </w:r>
      <w:r>
        <w:rPr>
          <w:rFonts w:ascii="Roboto" w:eastAsia="Roboto" w:hAnsi="Roboto" w:cs="Roboto"/>
          <w:color w:val="000000"/>
        </w:rPr>
        <w:t xml:space="preserve">. </w:t>
      </w:r>
    </w:p>
    <w:p w14:paraId="571BE0FD" w14:textId="77777777" w:rsidR="008A0D96" w:rsidRDefault="00526AE1">
      <w:pPr>
        <w:spacing w:line="240" w:lineRule="auto"/>
        <w:jc w:val="both"/>
        <w:rPr>
          <w:rFonts w:ascii="Roboto" w:eastAsia="Roboto" w:hAnsi="Roboto" w:cs="Roboto"/>
          <w:i/>
        </w:rPr>
      </w:pPr>
      <w:r>
        <w:rPr>
          <w:rFonts w:ascii="Roboto" w:eastAsia="Roboto" w:hAnsi="Roboto" w:cs="Roboto"/>
          <w:i/>
        </w:rPr>
        <w:t>Sector privado</w:t>
      </w:r>
    </w:p>
    <w:p w14:paraId="63931E34" w14:textId="77777777"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i/>
          <w:color w:val="000000"/>
        </w:rPr>
      </w:pPr>
      <w:r>
        <w:rPr>
          <w:rFonts w:ascii="Roboto" w:eastAsia="Roboto" w:hAnsi="Roboto" w:cs="Roboto"/>
          <w:color w:val="000000"/>
        </w:rPr>
        <w:t xml:space="preserve">Muchas empresas de vehículos eléctricos – autos, buses y taxis – ya han iniciado su inserción en este mercado y existe el riesgo de tener estrategias gubernamentales, por un lado, y empresariales, por otro, </w:t>
      </w:r>
      <w:r w:rsidRPr="009E6F18">
        <w:rPr>
          <w:rFonts w:ascii="Roboto" w:eastAsia="Roboto" w:hAnsi="Roboto" w:cs="Roboto"/>
        </w:rPr>
        <w:t>lo cual</w:t>
      </w:r>
      <w:r>
        <w:rPr>
          <w:rFonts w:ascii="Roboto" w:eastAsia="Roboto" w:hAnsi="Roboto" w:cs="Roboto"/>
          <w:color w:val="000000"/>
        </w:rPr>
        <w:t xml:space="preserve"> podría desacelerar el avance de estas tecnologías, por ejemplo, si se presentan visiones incompatibles en materia de infraestructura de recarga. </w:t>
      </w:r>
      <w:r w:rsidRPr="009E6F18">
        <w:rPr>
          <w:rFonts w:ascii="Roboto" w:eastAsia="Roboto" w:hAnsi="Roboto" w:cs="Roboto"/>
        </w:rPr>
        <w:t xml:space="preserve">Por lo tanto, es fundamental cooperar alrededor de ideas sobre las distintas tecnologías para crear un diálogo entre actores claves. </w:t>
      </w:r>
      <w:r>
        <w:rPr>
          <w:rFonts w:ascii="Roboto" w:eastAsia="Roboto" w:hAnsi="Roboto" w:cs="Roboto"/>
          <w:color w:val="000000"/>
        </w:rPr>
        <w:t xml:space="preserve">Ya existen experiencias en la región que se pueden dar a conocer, por ejemplo, en Chile, y Colombia donde se han creado modalidades, por ejemplo “Grupos de Trabajo”, “Mesas Nacionales”, que traen al debate a tomadores de decisión política, así como expertos técnicos de ministerios y empresas en materias de tecnologías automotrices, de infraestructura de recarga y mercados eléctricos. </w:t>
      </w:r>
      <w:r w:rsidRPr="009E6F18">
        <w:rPr>
          <w:rFonts w:ascii="Roboto" w:eastAsia="Roboto" w:hAnsi="Roboto" w:cs="Roboto"/>
        </w:rPr>
        <w:t>Finalmente, se debe involucrar a actores del sector financiero y del sector asegurador.</w:t>
      </w:r>
    </w:p>
    <w:p w14:paraId="1DFA97FF" w14:textId="77777777" w:rsidR="008A0D96" w:rsidRDefault="00526AE1">
      <w:pPr>
        <w:spacing w:line="240" w:lineRule="auto"/>
        <w:jc w:val="both"/>
        <w:rPr>
          <w:rFonts w:ascii="Roboto" w:eastAsia="Roboto" w:hAnsi="Roboto" w:cs="Roboto"/>
          <w:i/>
        </w:rPr>
      </w:pPr>
      <w:r>
        <w:rPr>
          <w:rFonts w:ascii="Roboto" w:eastAsia="Roboto" w:hAnsi="Roboto" w:cs="Roboto"/>
          <w:i/>
        </w:rPr>
        <w:t>Consumidores</w:t>
      </w:r>
    </w:p>
    <w:p w14:paraId="31A5C2B7" w14:textId="77777777"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color w:val="000000"/>
        </w:rPr>
      </w:pPr>
      <w:r>
        <w:rPr>
          <w:rFonts w:ascii="Roboto" w:eastAsia="Roboto" w:hAnsi="Roboto" w:cs="Roboto"/>
          <w:color w:val="000000"/>
        </w:rPr>
        <w:t xml:space="preserve">Finalmente, </w:t>
      </w:r>
      <w:r w:rsidRPr="009E6F18">
        <w:rPr>
          <w:rFonts w:ascii="Roboto" w:eastAsia="Roboto" w:hAnsi="Roboto" w:cs="Roboto"/>
        </w:rPr>
        <w:t xml:space="preserve">se identifica </w:t>
      </w:r>
      <w:r>
        <w:rPr>
          <w:rFonts w:ascii="Roboto" w:eastAsia="Roboto" w:hAnsi="Roboto" w:cs="Roboto"/>
          <w:color w:val="000000"/>
        </w:rPr>
        <w:t xml:space="preserve">no sólo </w:t>
      </w:r>
      <w:r w:rsidRPr="009E6F18">
        <w:rPr>
          <w:rFonts w:ascii="Roboto" w:eastAsia="Roboto" w:hAnsi="Roboto" w:cs="Roboto"/>
        </w:rPr>
        <w:t>a</w:t>
      </w:r>
      <w:r>
        <w:rPr>
          <w:rFonts w:ascii="Roboto" w:eastAsia="Roboto" w:hAnsi="Roboto" w:cs="Roboto"/>
          <w:color w:val="000000"/>
        </w:rPr>
        <w:t xml:space="preserve">l sector oferente de tecnologías sino </w:t>
      </w:r>
      <w:r w:rsidRPr="009E6F18">
        <w:rPr>
          <w:rFonts w:ascii="Roboto" w:eastAsia="Roboto" w:hAnsi="Roboto" w:cs="Roboto"/>
        </w:rPr>
        <w:t>a</w:t>
      </w:r>
      <w:r>
        <w:rPr>
          <w:rFonts w:ascii="Roboto" w:eastAsia="Roboto" w:hAnsi="Roboto" w:cs="Roboto"/>
          <w:color w:val="000000"/>
        </w:rPr>
        <w:t xml:space="preserve">l sector que las compra: los consumidores. Estos incluyen </w:t>
      </w:r>
      <w:r w:rsidRPr="009E6F18">
        <w:rPr>
          <w:rFonts w:ascii="Roboto" w:eastAsia="Roboto" w:hAnsi="Roboto" w:cs="Roboto"/>
        </w:rPr>
        <w:t>a</w:t>
      </w:r>
      <w:r>
        <w:rPr>
          <w:rFonts w:ascii="Roboto" w:eastAsia="Roboto" w:hAnsi="Roboto" w:cs="Roboto"/>
          <w:color w:val="000000"/>
        </w:rPr>
        <w:t xml:space="preserve"> los compradores de automóviles privados </w:t>
      </w:r>
      <w:r w:rsidRPr="009E6F18">
        <w:rPr>
          <w:rFonts w:ascii="Roboto" w:eastAsia="Roboto" w:hAnsi="Roboto" w:cs="Roboto"/>
        </w:rPr>
        <w:t>y a</w:t>
      </w:r>
      <w:r>
        <w:rPr>
          <w:rFonts w:ascii="Roboto" w:eastAsia="Roboto" w:hAnsi="Roboto" w:cs="Roboto"/>
          <w:color w:val="000000"/>
        </w:rPr>
        <w:t xml:space="preserve"> los usuarios de transporte colectivos, tanto buses y taxis como esquemas compartidos. </w:t>
      </w:r>
      <w:r w:rsidRPr="009E6F18">
        <w:rPr>
          <w:rFonts w:ascii="Roboto" w:eastAsia="Roboto" w:hAnsi="Roboto" w:cs="Roboto"/>
        </w:rPr>
        <w:t xml:space="preserve"> Dado que el énfasis tradicional se centra en las alianzas entre gobiernos y empresas, es fácil que el rol del consumidor y del usuario sea un “punto ciego”. En toda transición tecnológica, el fenómeno de los “consumidores pioneros” (o en inglés, </w:t>
      </w:r>
      <w:proofErr w:type="spellStart"/>
      <w:r w:rsidRPr="009E6F18">
        <w:rPr>
          <w:rFonts w:ascii="Roboto" w:eastAsia="Roboto" w:hAnsi="Roboto" w:cs="Roboto"/>
        </w:rPr>
        <w:t>early</w:t>
      </w:r>
      <w:proofErr w:type="spellEnd"/>
      <w:r w:rsidRPr="009E6F18">
        <w:rPr>
          <w:rFonts w:ascii="Roboto" w:eastAsia="Roboto" w:hAnsi="Roboto" w:cs="Roboto"/>
        </w:rPr>
        <w:t xml:space="preserve"> </w:t>
      </w:r>
      <w:proofErr w:type="spellStart"/>
      <w:r w:rsidRPr="009E6F18">
        <w:rPr>
          <w:rFonts w:ascii="Roboto" w:eastAsia="Roboto" w:hAnsi="Roboto" w:cs="Roboto"/>
        </w:rPr>
        <w:t>adopters</w:t>
      </w:r>
      <w:proofErr w:type="spellEnd"/>
      <w:r w:rsidRPr="009E6F18">
        <w:rPr>
          <w:rFonts w:ascii="Roboto" w:eastAsia="Roboto" w:hAnsi="Roboto" w:cs="Roboto"/>
        </w:rPr>
        <w:t xml:space="preserve">) trasciende fronteras, siendo éstos quienes ayudan a que las nuevas tecnologías se vuelvan contagiosas. </w:t>
      </w:r>
      <w:r>
        <w:rPr>
          <w:rFonts w:ascii="Roboto" w:eastAsia="Roboto" w:hAnsi="Roboto" w:cs="Roboto"/>
          <w:color w:val="000000"/>
        </w:rPr>
        <w:t xml:space="preserve">En algunos países de la región, el interés de nuevos consumidores moviliza la oferta de las </w:t>
      </w:r>
      <w:r w:rsidR="009E6F18">
        <w:rPr>
          <w:rFonts w:ascii="Roboto" w:eastAsia="Roboto" w:hAnsi="Roboto" w:cs="Roboto"/>
          <w:color w:val="000000"/>
        </w:rPr>
        <w:t>empresas (</w:t>
      </w:r>
      <w:r>
        <w:rPr>
          <w:rFonts w:ascii="Roboto" w:eastAsia="Roboto" w:hAnsi="Roboto" w:cs="Roboto"/>
          <w:color w:val="000000"/>
        </w:rPr>
        <w:t xml:space="preserve">por ejemplo, bancos que ofrecen “créditos verdes” para facilitar la compra de vehículos y aseguradoras que ofrecen descuentos a quienes adquieran estas tecnologías).  </w:t>
      </w:r>
    </w:p>
    <w:p w14:paraId="3F2BBF59" w14:textId="77777777" w:rsidR="008A0D96" w:rsidRDefault="00526AE1">
      <w:pPr>
        <w:spacing w:line="240" w:lineRule="auto"/>
        <w:jc w:val="both"/>
        <w:rPr>
          <w:rFonts w:ascii="Roboto" w:eastAsia="Roboto" w:hAnsi="Roboto" w:cs="Roboto"/>
          <w:i/>
        </w:rPr>
      </w:pPr>
      <w:r>
        <w:rPr>
          <w:rFonts w:ascii="Roboto" w:eastAsia="Roboto" w:hAnsi="Roboto" w:cs="Roboto"/>
          <w:i/>
        </w:rPr>
        <w:t>Comunicación</w:t>
      </w:r>
    </w:p>
    <w:p w14:paraId="0C587D25" w14:textId="77777777"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color w:val="000000"/>
        </w:rPr>
      </w:pPr>
      <w:r>
        <w:rPr>
          <w:rFonts w:ascii="Roboto" w:eastAsia="Roboto" w:hAnsi="Roboto" w:cs="Roboto"/>
          <w:color w:val="000000"/>
        </w:rPr>
        <w:t xml:space="preserve">Estas estrategias de integración de diferentes actores – Estado, municipalidades, empresas y usuarios – también deben considerar diálogos con grupos de interés público, por ejemplo, organizaciones no gubernamentales y centros de gestión del conocimiento, así como expertos en comunicación para derrumbar los mitos que persisten en la opinión pública y que requieren intervenciones de carácter cultural para ofrecer información actualizada sobre </w:t>
      </w:r>
      <w:r>
        <w:rPr>
          <w:rFonts w:ascii="Roboto" w:eastAsia="Roboto" w:hAnsi="Roboto" w:cs="Roboto"/>
          <w:color w:val="000000"/>
        </w:rPr>
        <w:lastRenderedPageBreak/>
        <w:t xml:space="preserve">estas tecnologías dado que los formadores de opinión tradicionales y la prensa con frecuencia carecen de información y formación que les permita hacer esta labor. </w:t>
      </w:r>
    </w:p>
    <w:p w14:paraId="39C5B6AE" w14:textId="77777777" w:rsidR="008A0D96" w:rsidRDefault="00526AE1">
      <w:pPr>
        <w:pStyle w:val="Heading3"/>
      </w:pPr>
      <w:bookmarkStart w:id="17" w:name="_26in1rg" w:colFirst="0" w:colLast="0"/>
      <w:bookmarkEnd w:id="17"/>
      <w:r>
        <w:t>Intercambiar conocimiento, crear capacidades y evaluar el desempeño</w:t>
      </w:r>
    </w:p>
    <w:p w14:paraId="70FDFA90" w14:textId="77777777" w:rsidR="008A0D96" w:rsidRDefault="00526AE1" w:rsidP="001A2CEC">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 xml:space="preserve">En la cooperación regional en materia de movilidad limpia y eléctrica surge con frecuencia el llamado a compartir insumos y conocimientos. ¿Dónde se puede encontrar la información? ¿Cómo se puede conocer el contenido de la ley de movilidad eléctrica de un país de la región? ¿Cómo obtener información sobre los pilotos de buses eléctricos?  Es decir, hay una oportunidad para crear repositorios de información en esta materia que sean fáciles de acceder y que se actualicen regularmente. </w:t>
      </w:r>
    </w:p>
    <w:p w14:paraId="5A825FD8" w14:textId="77777777" w:rsidR="008A0D96" w:rsidRDefault="008A0D96">
      <w:pPr>
        <w:pBdr>
          <w:top w:val="nil"/>
          <w:left w:val="nil"/>
          <w:bottom w:val="nil"/>
          <w:right w:val="nil"/>
          <w:between w:val="nil"/>
        </w:pBdr>
        <w:spacing w:after="0" w:line="240" w:lineRule="auto"/>
        <w:ind w:left="360" w:hanging="720"/>
        <w:jc w:val="both"/>
        <w:rPr>
          <w:rFonts w:ascii="Roboto" w:eastAsia="Roboto" w:hAnsi="Roboto" w:cs="Roboto"/>
          <w:color w:val="000000"/>
        </w:rPr>
      </w:pPr>
    </w:p>
    <w:p w14:paraId="56A3D349" w14:textId="77777777" w:rsidR="008A0D96" w:rsidRDefault="00526AE1" w:rsidP="001A2CEC">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 xml:space="preserve">Adicionalmente hay una creciente necesidad de creación de capacidades técnicas. A nivel regional hay beneficios que surgen de colaborar en materia de desarrollo de programas de educación e investigación, así como de capacitación del personal técnico de gobierno. Se pueden gestar esquemas de cooperación técnica entre países de la región, así como el establecimiento de un espacio de colaboración para proyectos piloto o demostrativos que ocurran en los países o ciudades de América Latina y el Caribe.  Entre los ejemplos están los cursos masivos en línea, cursos universitarios y, jornadas virtuales de expertos entre otros. </w:t>
      </w:r>
    </w:p>
    <w:p w14:paraId="65ED6DFC" w14:textId="77777777" w:rsidR="008A0D96" w:rsidRDefault="008A0D96">
      <w:pPr>
        <w:pBdr>
          <w:top w:val="nil"/>
          <w:left w:val="nil"/>
          <w:bottom w:val="nil"/>
          <w:right w:val="nil"/>
          <w:between w:val="nil"/>
        </w:pBdr>
        <w:spacing w:after="0"/>
        <w:ind w:left="720" w:hanging="720"/>
        <w:rPr>
          <w:rFonts w:ascii="Roboto" w:eastAsia="Roboto" w:hAnsi="Roboto" w:cs="Roboto"/>
          <w:color w:val="000000"/>
        </w:rPr>
      </w:pPr>
    </w:p>
    <w:p w14:paraId="60A14DE9" w14:textId="77777777" w:rsidR="008A0D96" w:rsidRDefault="00526AE1" w:rsidP="001A2CEC">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En la región ya existe la plataforma MOVE, para generar capacidades en materia de movilidad eléctrica. La plataforma ofrece movilización de recursos, materiales educativos y apoyo técnico en el diseño de estrategias de movilidad eléctrica y de legislación. A la vez se ofrecen encuentros virtuales y cara a cara con expertos, con el fin de crear un espacio seguro para debatir, evacuar dudas, sobre todo, de parte de representantes de gobiernos.</w:t>
      </w:r>
    </w:p>
    <w:p w14:paraId="2736DD08" w14:textId="77777777" w:rsidR="008A0D96" w:rsidRDefault="008A0D96">
      <w:pPr>
        <w:pBdr>
          <w:top w:val="nil"/>
          <w:left w:val="nil"/>
          <w:bottom w:val="nil"/>
          <w:right w:val="nil"/>
          <w:between w:val="nil"/>
        </w:pBdr>
        <w:spacing w:after="0"/>
        <w:ind w:left="720" w:hanging="720"/>
        <w:rPr>
          <w:rFonts w:ascii="Roboto" w:eastAsia="Roboto" w:hAnsi="Roboto" w:cs="Roboto"/>
          <w:color w:val="000000"/>
        </w:rPr>
      </w:pPr>
    </w:p>
    <w:p w14:paraId="7ECA3945" w14:textId="77777777" w:rsidR="008A0D96" w:rsidRDefault="00526AE1" w:rsidP="001A2CEC">
      <w:pPr>
        <w:pBdr>
          <w:top w:val="nil"/>
          <w:left w:val="nil"/>
          <w:bottom w:val="nil"/>
          <w:right w:val="nil"/>
          <w:between w:val="nil"/>
        </w:pBdr>
        <w:spacing w:line="240" w:lineRule="auto"/>
        <w:ind w:left="360"/>
        <w:contextualSpacing/>
        <w:jc w:val="both"/>
        <w:rPr>
          <w:rFonts w:ascii="Roboto" w:eastAsia="Roboto" w:hAnsi="Roboto" w:cs="Roboto"/>
          <w:color w:val="000000"/>
        </w:rPr>
      </w:pPr>
      <w:bookmarkStart w:id="18" w:name="_lnxbz9" w:colFirst="0" w:colLast="0"/>
      <w:bookmarkEnd w:id="18"/>
      <w:r>
        <w:rPr>
          <w:rFonts w:ascii="Roboto" w:eastAsia="Roboto" w:hAnsi="Roboto" w:cs="Roboto"/>
          <w:color w:val="000000"/>
        </w:rPr>
        <w:t xml:space="preserve">Finalmente, es importante evaluar los esfuerzos para determinar si los resultados son los esperados. La región podría colaborar en la gestación de sistemas para evaluar el desempeño y para extraer lecciones con el fin de mejorar las acciones en esta materia. </w:t>
      </w:r>
    </w:p>
    <w:p w14:paraId="2F040334" w14:textId="77777777" w:rsidR="008A0D96" w:rsidRDefault="00526AE1">
      <w:pPr>
        <w:pStyle w:val="Heading2"/>
      </w:pPr>
      <w:bookmarkStart w:id="19" w:name="_Toc525729222"/>
      <w:r>
        <w:t>Propuesta para el segmento ministerial</w:t>
      </w:r>
      <w:bookmarkEnd w:id="19"/>
    </w:p>
    <w:p w14:paraId="47FBB489" w14:textId="77777777" w:rsidR="008A0D96" w:rsidRDefault="00526AE1" w:rsidP="001A2CEC">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 xml:space="preserve">En base a las oportunidades y áreas potenciales de actuación enumeradas anteriormente, se propone </w:t>
      </w:r>
      <w:proofErr w:type="gramStart"/>
      <w:r>
        <w:rPr>
          <w:rFonts w:ascii="Roboto" w:eastAsia="Roboto" w:hAnsi="Roboto" w:cs="Roboto"/>
          <w:color w:val="000000"/>
        </w:rPr>
        <w:t>que</w:t>
      </w:r>
      <w:proofErr w:type="gramEnd"/>
      <w:r>
        <w:rPr>
          <w:rFonts w:ascii="Roboto" w:eastAsia="Roboto" w:hAnsi="Roboto" w:cs="Roboto"/>
          <w:color w:val="000000"/>
        </w:rPr>
        <w:t xml:space="preserve"> como parte del panel de descarbonización y </w:t>
      </w:r>
      <w:r w:rsidRPr="009E6F18">
        <w:rPr>
          <w:rFonts w:ascii="Roboto" w:eastAsia="Roboto" w:hAnsi="Roboto" w:cs="Roboto"/>
        </w:rPr>
        <w:t xml:space="preserve">resiliencia </w:t>
      </w:r>
      <w:r>
        <w:rPr>
          <w:rFonts w:ascii="Roboto" w:eastAsia="Roboto" w:hAnsi="Roboto" w:cs="Roboto"/>
          <w:color w:val="000000"/>
        </w:rPr>
        <w:t xml:space="preserve">del segmento ministerial del Foro de Ministros, se aborden estas cuestiones: </w:t>
      </w:r>
    </w:p>
    <w:p w14:paraId="1E49D306" w14:textId="77777777" w:rsidR="008A0D96" w:rsidRDefault="008A0D96">
      <w:pPr>
        <w:pBdr>
          <w:top w:val="nil"/>
          <w:left w:val="nil"/>
          <w:bottom w:val="nil"/>
          <w:right w:val="nil"/>
          <w:between w:val="nil"/>
        </w:pBdr>
        <w:spacing w:after="0" w:line="240" w:lineRule="auto"/>
        <w:ind w:left="360" w:hanging="720"/>
        <w:jc w:val="both"/>
        <w:rPr>
          <w:rFonts w:ascii="Roboto" w:eastAsia="Roboto" w:hAnsi="Roboto" w:cs="Roboto"/>
          <w:color w:val="000000"/>
        </w:rPr>
      </w:pPr>
    </w:p>
    <w:p w14:paraId="11314C33" w14:textId="77777777" w:rsidR="008A0D96" w:rsidRDefault="00526AE1">
      <w:pPr>
        <w:numPr>
          <w:ilvl w:val="0"/>
          <w:numId w:val="14"/>
        </w:numPr>
        <w:pBdr>
          <w:top w:val="nil"/>
          <w:left w:val="nil"/>
          <w:bottom w:val="nil"/>
          <w:right w:val="nil"/>
          <w:between w:val="nil"/>
        </w:pBdr>
        <w:spacing w:after="0" w:line="240" w:lineRule="auto"/>
        <w:contextualSpacing/>
        <w:rPr>
          <w:color w:val="000000"/>
        </w:rPr>
      </w:pPr>
      <w:r>
        <w:rPr>
          <w:rFonts w:ascii="Roboto" w:eastAsia="Roboto" w:hAnsi="Roboto" w:cs="Roboto"/>
          <w:color w:val="000000"/>
        </w:rPr>
        <w:t xml:space="preserve">¿Qué beneficios aportaría la movilidad eléctrica para avanzar las agendas climáticas y de calidad del aire en la región? </w:t>
      </w:r>
    </w:p>
    <w:p w14:paraId="2B44EACA" w14:textId="77777777" w:rsidR="008A0D96" w:rsidRDefault="00526AE1">
      <w:pPr>
        <w:numPr>
          <w:ilvl w:val="0"/>
          <w:numId w:val="14"/>
        </w:numPr>
        <w:pBdr>
          <w:top w:val="nil"/>
          <w:left w:val="nil"/>
          <w:bottom w:val="nil"/>
          <w:right w:val="nil"/>
          <w:between w:val="nil"/>
        </w:pBdr>
        <w:spacing w:after="0" w:line="240" w:lineRule="auto"/>
        <w:contextualSpacing/>
        <w:rPr>
          <w:color w:val="000000"/>
        </w:rPr>
      </w:pPr>
      <w:r>
        <w:rPr>
          <w:rFonts w:ascii="Roboto" w:eastAsia="Roboto" w:hAnsi="Roboto" w:cs="Roboto"/>
          <w:color w:val="000000"/>
        </w:rPr>
        <w:t>¿Qué políticas públicas hacen y harían avanzar la transición hacia un transporte limpio y eléctrico?</w:t>
      </w:r>
    </w:p>
    <w:p w14:paraId="0DF00BF2" w14:textId="77777777" w:rsidR="008A0D96" w:rsidRDefault="00526AE1">
      <w:pPr>
        <w:numPr>
          <w:ilvl w:val="0"/>
          <w:numId w:val="14"/>
        </w:numPr>
        <w:pBdr>
          <w:top w:val="nil"/>
          <w:left w:val="nil"/>
          <w:bottom w:val="nil"/>
          <w:right w:val="nil"/>
          <w:between w:val="nil"/>
        </w:pBdr>
        <w:spacing w:after="0" w:line="240" w:lineRule="auto"/>
        <w:contextualSpacing/>
        <w:rPr>
          <w:color w:val="000000"/>
        </w:rPr>
      </w:pPr>
      <w:r>
        <w:rPr>
          <w:rFonts w:ascii="Roboto" w:eastAsia="Roboto" w:hAnsi="Roboto" w:cs="Roboto"/>
          <w:color w:val="000000"/>
        </w:rPr>
        <w:t xml:space="preserve">¿Qué acciones deberían promoverse para articular una agenda activa de cooperación, colaboración e intercambio de conocimiento en la región en esta materia? </w:t>
      </w:r>
    </w:p>
    <w:p w14:paraId="4D06FE1B" w14:textId="77777777" w:rsidR="008A0D96" w:rsidRDefault="00526AE1">
      <w:pPr>
        <w:numPr>
          <w:ilvl w:val="0"/>
          <w:numId w:val="14"/>
        </w:numPr>
        <w:pBdr>
          <w:top w:val="nil"/>
          <w:left w:val="nil"/>
          <w:bottom w:val="nil"/>
          <w:right w:val="nil"/>
          <w:between w:val="nil"/>
        </w:pBdr>
        <w:spacing w:after="0" w:line="240" w:lineRule="auto"/>
        <w:contextualSpacing/>
        <w:rPr>
          <w:color w:val="000000"/>
        </w:rPr>
      </w:pPr>
      <w:r>
        <w:rPr>
          <w:rFonts w:ascii="Roboto" w:eastAsia="Roboto" w:hAnsi="Roboto" w:cs="Roboto"/>
          <w:color w:val="000000"/>
        </w:rPr>
        <w:t xml:space="preserve">¿Qué actores deberían ser involucrados para afianzar esta cooperación? </w:t>
      </w:r>
    </w:p>
    <w:p w14:paraId="204F3EAF" w14:textId="77777777" w:rsidR="008A0D96" w:rsidRDefault="00526AE1">
      <w:pPr>
        <w:numPr>
          <w:ilvl w:val="0"/>
          <w:numId w:val="14"/>
        </w:numPr>
        <w:pBdr>
          <w:top w:val="nil"/>
          <w:left w:val="nil"/>
          <w:bottom w:val="nil"/>
          <w:right w:val="nil"/>
          <w:between w:val="nil"/>
        </w:pBdr>
        <w:spacing w:after="0" w:line="240" w:lineRule="auto"/>
        <w:contextualSpacing/>
        <w:rPr>
          <w:color w:val="000000"/>
        </w:rPr>
      </w:pPr>
      <w:r>
        <w:rPr>
          <w:rFonts w:ascii="Roboto" w:eastAsia="Roboto" w:hAnsi="Roboto" w:cs="Roboto"/>
          <w:color w:val="000000"/>
        </w:rPr>
        <w:t xml:space="preserve">¿Cuál es el rol del financiamiento climático en la transición hacia la movilidad eléctrica en la región?  </w:t>
      </w:r>
    </w:p>
    <w:p w14:paraId="1B247021" w14:textId="77777777" w:rsidR="008A0D96" w:rsidRDefault="00526AE1">
      <w:pPr>
        <w:numPr>
          <w:ilvl w:val="0"/>
          <w:numId w:val="14"/>
        </w:numPr>
        <w:pBdr>
          <w:top w:val="nil"/>
          <w:left w:val="nil"/>
          <w:bottom w:val="nil"/>
          <w:right w:val="nil"/>
          <w:between w:val="nil"/>
        </w:pBdr>
        <w:spacing w:after="0" w:line="240" w:lineRule="auto"/>
        <w:contextualSpacing/>
        <w:rPr>
          <w:color w:val="000000"/>
        </w:rPr>
      </w:pPr>
      <w:r>
        <w:rPr>
          <w:rFonts w:ascii="Roboto" w:eastAsia="Roboto" w:hAnsi="Roboto" w:cs="Roboto"/>
          <w:color w:val="000000"/>
        </w:rPr>
        <w:t xml:space="preserve">¿Cuáles son las cuestiones clave en materia de movilidad eléctrica que los países de la región necesitarían integrar regionalmente al momento de definir sus estrategias a largo plazo? </w:t>
      </w:r>
    </w:p>
    <w:p w14:paraId="5FEE7070" w14:textId="77777777" w:rsidR="008A0D96" w:rsidRDefault="00526AE1">
      <w:pPr>
        <w:numPr>
          <w:ilvl w:val="0"/>
          <w:numId w:val="14"/>
        </w:numPr>
        <w:pBdr>
          <w:top w:val="nil"/>
          <w:left w:val="nil"/>
          <w:bottom w:val="nil"/>
          <w:right w:val="nil"/>
          <w:between w:val="nil"/>
        </w:pBdr>
        <w:spacing w:line="240" w:lineRule="auto"/>
        <w:contextualSpacing/>
        <w:rPr>
          <w:color w:val="000000"/>
        </w:rPr>
      </w:pPr>
      <w:r>
        <w:rPr>
          <w:rFonts w:ascii="Roboto" w:eastAsia="Roboto" w:hAnsi="Roboto" w:cs="Roboto"/>
          <w:color w:val="000000"/>
        </w:rPr>
        <w:t>¿Cómo podría la región posicionarse frente a las diferentes tendencias tecnológicas globales y regionales para la descarbonización a 2050?</w:t>
      </w:r>
    </w:p>
    <w:p w14:paraId="595C5958" w14:textId="77777777" w:rsidR="009E6F18" w:rsidRDefault="009E6F18">
      <w:pPr>
        <w:pStyle w:val="Heading1"/>
        <w:spacing w:line="240" w:lineRule="auto"/>
        <w:rPr>
          <w:rFonts w:ascii="Roboto" w:eastAsia="Roboto" w:hAnsi="Roboto" w:cs="Roboto"/>
        </w:rPr>
      </w:pPr>
      <w:bookmarkStart w:id="20" w:name="_1ksv4uv" w:colFirst="0" w:colLast="0"/>
      <w:bookmarkStart w:id="21" w:name="_Toc525729223"/>
      <w:bookmarkEnd w:id="20"/>
    </w:p>
    <w:p w14:paraId="46DC6AF2" w14:textId="77777777" w:rsidR="008A0D96" w:rsidRDefault="00526AE1">
      <w:pPr>
        <w:pStyle w:val="Heading1"/>
        <w:spacing w:line="240" w:lineRule="auto"/>
        <w:rPr>
          <w:rFonts w:ascii="Roboto" w:eastAsia="Roboto" w:hAnsi="Roboto" w:cs="Roboto"/>
        </w:rPr>
      </w:pPr>
      <w:r>
        <w:rPr>
          <w:rFonts w:ascii="Roboto" w:eastAsia="Roboto" w:hAnsi="Roboto" w:cs="Roboto"/>
        </w:rPr>
        <w:t>Planificación y seguimiento de la adaptación</w:t>
      </w:r>
      <w:bookmarkEnd w:id="21"/>
    </w:p>
    <w:p w14:paraId="10FFA7EC" w14:textId="77777777" w:rsidR="008A0D96" w:rsidRDefault="008A0D96">
      <w:pPr>
        <w:spacing w:after="0" w:line="240" w:lineRule="auto"/>
        <w:ind w:left="360"/>
        <w:jc w:val="both"/>
        <w:rPr>
          <w:rFonts w:ascii="Roboto" w:eastAsia="Roboto" w:hAnsi="Roboto" w:cs="Roboto"/>
        </w:rPr>
      </w:pPr>
    </w:p>
    <w:p w14:paraId="3AD9D2B0" w14:textId="77777777" w:rsidR="008A0D96" w:rsidRDefault="00526AE1">
      <w:pPr>
        <w:pStyle w:val="Heading2"/>
      </w:pPr>
      <w:bookmarkStart w:id="22" w:name="_Toc525729224"/>
      <w:r>
        <w:t>Necesidades y retos en el marco del Acuerdo de París</w:t>
      </w:r>
      <w:bookmarkEnd w:id="22"/>
      <w:r>
        <w:t xml:space="preserve"> </w:t>
      </w:r>
    </w:p>
    <w:p w14:paraId="51748E7E" w14:textId="77777777" w:rsidR="008A0D96" w:rsidRDefault="008A0D96">
      <w:pPr>
        <w:spacing w:after="0"/>
      </w:pPr>
    </w:p>
    <w:p w14:paraId="7F8B4878" w14:textId="77777777" w:rsidR="008A0D96" w:rsidRDefault="00526AE1" w:rsidP="00F2443A">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 xml:space="preserve">El proceso de elaboración de Planes Nacionales de Adaptación se estableció bajo el Marco de Adaptación de Cancún (2010) como medio para identificar las necesidades de adaptación a </w:t>
      </w:r>
      <w:r>
        <w:rPr>
          <w:rFonts w:ascii="Roboto" w:eastAsia="Roboto" w:hAnsi="Roboto" w:cs="Roboto"/>
          <w:color w:val="000000"/>
          <w:u w:val="single"/>
        </w:rPr>
        <w:t>medio y largo plazo</w:t>
      </w:r>
      <w:r>
        <w:rPr>
          <w:rFonts w:ascii="Roboto" w:eastAsia="Roboto" w:hAnsi="Roboto" w:cs="Roboto"/>
          <w:color w:val="000000"/>
        </w:rPr>
        <w:t xml:space="preserve"> y desarrollar e implementar estrategias y programas para abordar esas necesidades. Es un proceso continuo, progresivo e iterativo que sigue un enfoque impulsado por los países, sensible al género, participativo y transparente (CMNUCC, 2018). Su implementación debe estar basada en prioridades establecidas en documentos, planes y estrategias nacionales relevantes, y debe estar coordinada con distintos objetivos, planes, políticas y programas de desarrollo sostenible nacionales (CMNUCC, 2012).</w:t>
      </w:r>
    </w:p>
    <w:p w14:paraId="1D68157D" w14:textId="77777777" w:rsidR="008A0D96" w:rsidRDefault="008A0D96">
      <w:pPr>
        <w:pBdr>
          <w:top w:val="nil"/>
          <w:left w:val="nil"/>
          <w:bottom w:val="nil"/>
          <w:right w:val="nil"/>
          <w:between w:val="nil"/>
        </w:pBdr>
        <w:spacing w:after="0" w:line="240" w:lineRule="auto"/>
        <w:ind w:left="360" w:hanging="720"/>
        <w:jc w:val="both"/>
        <w:rPr>
          <w:rFonts w:ascii="Roboto" w:eastAsia="Roboto" w:hAnsi="Roboto" w:cs="Roboto"/>
          <w:color w:val="000000"/>
        </w:rPr>
      </w:pPr>
    </w:p>
    <w:p w14:paraId="3D0D137C" w14:textId="2EF1ED6F" w:rsidR="008A0D96" w:rsidRDefault="00526AE1" w:rsidP="00F2443A">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 xml:space="preserve">El </w:t>
      </w:r>
      <w:r w:rsidRPr="0011548F">
        <w:rPr>
          <w:rFonts w:ascii="Roboto" w:eastAsia="Roboto" w:hAnsi="Roboto" w:cs="Roboto"/>
        </w:rPr>
        <w:t xml:space="preserve">establecimiento de un objetivo mundial relativo a </w:t>
      </w:r>
      <w:r w:rsidR="0011548F" w:rsidRPr="0011548F">
        <w:rPr>
          <w:rFonts w:ascii="Roboto" w:eastAsia="Roboto" w:hAnsi="Roboto" w:cs="Roboto"/>
        </w:rPr>
        <w:t>la adaptación</w:t>
      </w:r>
      <w:r w:rsidRPr="0011548F">
        <w:rPr>
          <w:rFonts w:ascii="Roboto" w:eastAsia="Roboto" w:hAnsi="Roboto" w:cs="Roboto"/>
        </w:rPr>
        <w:t xml:space="preserve"> en el Acuerdo de París en 2015 conlleva el compromiso de los </w:t>
      </w:r>
      <w:r>
        <w:rPr>
          <w:rFonts w:ascii="Roboto" w:eastAsia="Roboto" w:hAnsi="Roboto" w:cs="Roboto"/>
          <w:color w:val="000000"/>
        </w:rPr>
        <w:t>países de, entre otra</w:t>
      </w:r>
      <w:r w:rsidRPr="009E6F18">
        <w:rPr>
          <w:rFonts w:ascii="Roboto" w:eastAsia="Roboto" w:hAnsi="Roboto" w:cs="Roboto"/>
        </w:rPr>
        <w:t>s cosas,</w:t>
      </w:r>
      <w:r>
        <w:rPr>
          <w:rFonts w:ascii="Roboto" w:eastAsia="Roboto" w:hAnsi="Roboto" w:cs="Roboto"/>
          <w:color w:val="000000"/>
        </w:rPr>
        <w:t xml:space="preserve"> (i) elaborar y actualizar regularmente planes y estrategias de adaptación y adoptar medidas, y (</w:t>
      </w:r>
      <w:proofErr w:type="spellStart"/>
      <w:r>
        <w:rPr>
          <w:rFonts w:ascii="Roboto" w:eastAsia="Roboto" w:hAnsi="Roboto" w:cs="Roboto"/>
          <w:color w:val="000000"/>
        </w:rPr>
        <w:t>ii</w:t>
      </w:r>
      <w:proofErr w:type="spellEnd"/>
      <w:r>
        <w:rPr>
          <w:rFonts w:ascii="Roboto" w:eastAsia="Roboto" w:hAnsi="Roboto" w:cs="Roboto"/>
          <w:color w:val="000000"/>
        </w:rPr>
        <w:t xml:space="preserve">) </w:t>
      </w:r>
      <w:r w:rsidRPr="009E6F18">
        <w:rPr>
          <w:rFonts w:ascii="Roboto" w:eastAsia="Roboto" w:hAnsi="Roboto" w:cs="Roboto"/>
        </w:rPr>
        <w:t xml:space="preserve">comunicar </w:t>
      </w:r>
      <w:r>
        <w:rPr>
          <w:rFonts w:ascii="Roboto" w:eastAsia="Roboto" w:hAnsi="Roboto" w:cs="Roboto"/>
          <w:color w:val="000000"/>
        </w:rPr>
        <w:t>los avances en este ámbito</w:t>
      </w:r>
      <w:r>
        <w:rPr>
          <w:rFonts w:ascii="Roboto" w:eastAsia="Roboto" w:hAnsi="Roboto" w:cs="Roboto"/>
          <w:color w:val="000000"/>
          <w:vertAlign w:val="superscript"/>
        </w:rPr>
        <w:footnoteReference w:id="9"/>
      </w:r>
      <w:r>
        <w:rPr>
          <w:rFonts w:ascii="Roboto" w:eastAsia="Roboto" w:hAnsi="Roboto" w:cs="Roboto"/>
          <w:color w:val="000000"/>
        </w:rPr>
        <w:t xml:space="preserve">. </w:t>
      </w:r>
    </w:p>
    <w:p w14:paraId="39B142EE" w14:textId="77777777" w:rsidR="008A0D96" w:rsidRDefault="008A0D96">
      <w:pPr>
        <w:pBdr>
          <w:top w:val="nil"/>
          <w:left w:val="nil"/>
          <w:bottom w:val="nil"/>
          <w:right w:val="nil"/>
          <w:between w:val="nil"/>
        </w:pBdr>
        <w:spacing w:after="0"/>
        <w:rPr>
          <w:rFonts w:ascii="Roboto" w:eastAsia="Roboto" w:hAnsi="Roboto" w:cs="Roboto"/>
          <w:color w:val="000000"/>
        </w:rPr>
      </w:pPr>
    </w:p>
    <w:p w14:paraId="606177DB" w14:textId="77777777" w:rsidR="008A0D96" w:rsidRDefault="00526AE1" w:rsidP="00F2443A">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 xml:space="preserve">Actualmente, la mayoría de los países, incluyendo en la región </w:t>
      </w:r>
      <w:r w:rsidRPr="009E6F18">
        <w:rPr>
          <w:rFonts w:ascii="Roboto" w:eastAsia="Roboto" w:hAnsi="Roboto" w:cs="Roboto"/>
        </w:rPr>
        <w:t>L</w:t>
      </w:r>
      <w:r>
        <w:rPr>
          <w:rFonts w:ascii="Roboto" w:eastAsia="Roboto" w:hAnsi="Roboto" w:cs="Roboto"/>
          <w:color w:val="000000"/>
        </w:rPr>
        <w:t>atinoamericana y Caribe, han iniciado la formulación y ejecución de sus planes nacionales de adaptación. Aunque es demasiado pronto para evaluar de forma precisa “los efectos de la aplicación de las políticas, los proyectos y los programas resultantes de los Planes Nacionales de Adaptación o los resultados de esos esfuerzos”, (CMNUCC, 2018), se han identificado algunos retos y necesidades para el cumplimiento de estos compromisos:</w:t>
      </w:r>
    </w:p>
    <w:p w14:paraId="163FECC5" w14:textId="77777777" w:rsidR="008A0D96" w:rsidRDefault="008A0D96">
      <w:pPr>
        <w:pBdr>
          <w:top w:val="nil"/>
          <w:left w:val="nil"/>
          <w:bottom w:val="nil"/>
          <w:right w:val="nil"/>
          <w:between w:val="nil"/>
        </w:pBdr>
        <w:spacing w:after="0"/>
        <w:ind w:left="720" w:hanging="720"/>
        <w:rPr>
          <w:rFonts w:ascii="Roboto" w:eastAsia="Roboto" w:hAnsi="Roboto" w:cs="Roboto"/>
          <w:color w:val="000000"/>
        </w:rPr>
      </w:pPr>
    </w:p>
    <w:p w14:paraId="2D6AFDBC" w14:textId="77777777" w:rsidR="008A0D96" w:rsidRDefault="00526AE1">
      <w:pPr>
        <w:numPr>
          <w:ilvl w:val="0"/>
          <w:numId w:val="15"/>
        </w:numPr>
        <w:pBdr>
          <w:top w:val="nil"/>
          <w:left w:val="nil"/>
          <w:bottom w:val="nil"/>
          <w:right w:val="nil"/>
          <w:between w:val="nil"/>
        </w:pBdr>
        <w:spacing w:after="0" w:line="240" w:lineRule="auto"/>
        <w:contextualSpacing/>
        <w:jc w:val="both"/>
        <w:rPr>
          <w:color w:val="000000"/>
        </w:rPr>
      </w:pPr>
      <w:r>
        <w:rPr>
          <w:rFonts w:ascii="Roboto" w:eastAsia="Roboto" w:hAnsi="Roboto" w:cs="Roboto"/>
          <w:color w:val="000000"/>
          <w:u w:val="single"/>
        </w:rPr>
        <w:t>Fortalecimiento de capacidades</w:t>
      </w:r>
      <w:r>
        <w:rPr>
          <w:rFonts w:ascii="Roboto" w:eastAsia="Roboto" w:hAnsi="Roboto" w:cs="Roboto"/>
          <w:color w:val="000000"/>
        </w:rPr>
        <w:t xml:space="preserve">. La elaboración de los Planes Nacionales de adaptación requiere capacidades reforzadas para definir medidas de adaptación basadas en el mejor conocimiento científico disponible, para integrar los planes de adaptación en la políticas de desarrollo y en la agenda 2030, para poder realizar un seguimiento sistemático y observaciones relevantes de las medidas de adaptación adoptadas, para acceder al apoyo financiero disponible, para integrar adecuadamente las cuestiones transversales y para aprender de la experiencia (para mayor detalle, véase el cuadro 2). </w:t>
      </w:r>
    </w:p>
    <w:p w14:paraId="7C94E9AA" w14:textId="77777777" w:rsidR="008A0D96" w:rsidRDefault="008A0D96">
      <w:pPr>
        <w:pBdr>
          <w:top w:val="nil"/>
          <w:left w:val="nil"/>
          <w:bottom w:val="nil"/>
          <w:right w:val="nil"/>
          <w:between w:val="nil"/>
        </w:pBdr>
        <w:spacing w:after="0" w:line="240" w:lineRule="auto"/>
        <w:ind w:left="720" w:hanging="720"/>
        <w:jc w:val="both"/>
        <w:rPr>
          <w:rFonts w:ascii="Roboto" w:eastAsia="Roboto" w:hAnsi="Roboto" w:cs="Roboto"/>
          <w:color w:val="000000"/>
        </w:rPr>
      </w:pPr>
    </w:p>
    <w:p w14:paraId="77D50CD3" w14:textId="77777777" w:rsidR="008A0D96" w:rsidRDefault="00526AE1">
      <w:pPr>
        <w:numPr>
          <w:ilvl w:val="0"/>
          <w:numId w:val="15"/>
        </w:numPr>
        <w:pBdr>
          <w:top w:val="nil"/>
          <w:left w:val="nil"/>
          <w:bottom w:val="nil"/>
          <w:right w:val="nil"/>
          <w:between w:val="nil"/>
        </w:pBdr>
        <w:spacing w:after="0" w:line="240" w:lineRule="auto"/>
        <w:contextualSpacing/>
        <w:jc w:val="both"/>
        <w:rPr>
          <w:color w:val="000000"/>
        </w:rPr>
      </w:pPr>
      <w:r>
        <w:rPr>
          <w:rFonts w:ascii="Roboto" w:eastAsia="Roboto" w:hAnsi="Roboto" w:cs="Roboto"/>
          <w:color w:val="000000"/>
          <w:u w:val="single"/>
        </w:rPr>
        <w:t>Incorporación de la perspectiva de largo plazo</w:t>
      </w:r>
      <w:r>
        <w:rPr>
          <w:rFonts w:ascii="Roboto" w:eastAsia="Roboto" w:hAnsi="Roboto" w:cs="Roboto"/>
          <w:color w:val="000000"/>
        </w:rPr>
        <w:t xml:space="preserve">. A menudo las acciones de adaptación se han ejecutado como respuesta a situaciones de coyuntura (como fenómenos climáticos extremos). Sin embargo, para realizar el cambio transformacional que se requiere hacia economías bajas en carbono, resilientes y equitativas es necesario un punto de vista a medio y largo plazo que esté integrado con los procesos y estrategias de planificaciones de desarrollo nacionales, que integre las cuestiones de género, y tenga un enfoque participativo y transparente. </w:t>
      </w:r>
      <w:r w:rsidRPr="009E6F18">
        <w:rPr>
          <w:rFonts w:ascii="Roboto" w:eastAsia="Roboto" w:hAnsi="Roboto" w:cs="Roboto"/>
        </w:rPr>
        <w:t xml:space="preserve"> </w:t>
      </w:r>
      <w:r>
        <w:rPr>
          <w:rFonts w:ascii="Roboto" w:eastAsia="Roboto" w:hAnsi="Roboto" w:cs="Roboto"/>
          <w:color w:val="000000"/>
        </w:rPr>
        <w:t xml:space="preserve"> </w:t>
      </w:r>
      <w:r w:rsidRPr="009E6F18">
        <w:rPr>
          <w:rFonts w:ascii="Roboto" w:eastAsia="Roboto" w:hAnsi="Roboto" w:cs="Roboto"/>
        </w:rPr>
        <w:t xml:space="preserve">Puede ser de gran interés </w:t>
      </w:r>
      <w:r>
        <w:rPr>
          <w:rFonts w:ascii="Roboto" w:eastAsia="Roboto" w:hAnsi="Roboto" w:cs="Roboto"/>
          <w:color w:val="000000"/>
        </w:rPr>
        <w:t xml:space="preserve">observar e intercambiar regionalmente insumos sobre las estrategias a largo plazo, de manera que se observen </w:t>
      </w:r>
      <w:r>
        <w:rPr>
          <w:rFonts w:ascii="Roboto" w:eastAsia="Roboto" w:hAnsi="Roboto" w:cs="Roboto"/>
          <w:color w:val="000000"/>
        </w:rPr>
        <w:lastRenderedPageBreak/>
        <w:t xml:space="preserve">los distintos compromisos en la adopción de tecnologías para la mitigación y la resiliencia, aprovechando las tendencias que exceden las fronteras nacionales y las economías de escala.  </w:t>
      </w:r>
    </w:p>
    <w:p w14:paraId="4359F469" w14:textId="77777777" w:rsidR="008A0D96" w:rsidRDefault="008A0D96">
      <w:pPr>
        <w:spacing w:after="0" w:line="240" w:lineRule="auto"/>
        <w:jc w:val="both"/>
        <w:rPr>
          <w:rFonts w:ascii="Roboto" w:eastAsia="Roboto" w:hAnsi="Roboto" w:cs="Roboto"/>
        </w:rPr>
      </w:pPr>
    </w:p>
    <w:p w14:paraId="6D02406D" w14:textId="77777777" w:rsidR="008A0D96" w:rsidRDefault="00526AE1">
      <w:pPr>
        <w:numPr>
          <w:ilvl w:val="0"/>
          <w:numId w:val="15"/>
        </w:numPr>
        <w:pBdr>
          <w:top w:val="nil"/>
          <w:left w:val="nil"/>
          <w:bottom w:val="nil"/>
          <w:right w:val="nil"/>
          <w:between w:val="nil"/>
        </w:pBdr>
        <w:spacing w:after="0" w:line="240" w:lineRule="auto"/>
        <w:contextualSpacing/>
        <w:jc w:val="both"/>
        <w:rPr>
          <w:color w:val="000000"/>
        </w:rPr>
      </w:pPr>
      <w:r>
        <w:rPr>
          <w:rFonts w:ascii="Roboto" w:eastAsia="Roboto" w:hAnsi="Roboto" w:cs="Roboto"/>
          <w:color w:val="000000"/>
          <w:u w:val="single"/>
        </w:rPr>
        <w:t>El enfoque de proceso</w:t>
      </w:r>
      <w:r>
        <w:rPr>
          <w:rFonts w:ascii="Roboto" w:eastAsia="Roboto" w:hAnsi="Roboto" w:cs="Roboto"/>
          <w:color w:val="000000"/>
        </w:rPr>
        <w:t>. En este sentido, el plan nacional de adaptación no es solo el documento en sí, sino debe considerarse un proceso de diálogo entre distintas estructuras y actores institucionales y no institucionales (sociedad civil y sector privado), y distintos sectores y niveles de gobierno. Es un proceso continuo, progresivo e iterativo.</w:t>
      </w:r>
    </w:p>
    <w:p w14:paraId="0A6E7F1A" w14:textId="77777777" w:rsidR="008A0D96" w:rsidRDefault="008A0D96">
      <w:pPr>
        <w:spacing w:after="120" w:line="240" w:lineRule="auto"/>
        <w:jc w:val="both"/>
        <w:rPr>
          <w:rFonts w:ascii="Roboto" w:eastAsia="Roboto" w:hAnsi="Roboto" w:cs="Roboto"/>
        </w:rPr>
      </w:pPr>
    </w:p>
    <w:p w14:paraId="4C0EB254" w14:textId="77777777" w:rsidR="008A0D96" w:rsidRDefault="00526AE1">
      <w:pPr>
        <w:pBdr>
          <w:top w:val="single" w:sz="4" w:space="1" w:color="000000"/>
          <w:left w:val="single" w:sz="4" w:space="4" w:color="000000"/>
          <w:bottom w:val="single" w:sz="4" w:space="1" w:color="000000"/>
          <w:right w:val="single" w:sz="4" w:space="4" w:color="000000"/>
        </w:pBdr>
        <w:spacing w:after="120" w:line="240" w:lineRule="auto"/>
        <w:jc w:val="center"/>
        <w:rPr>
          <w:b/>
        </w:rPr>
      </w:pPr>
      <w:r>
        <w:rPr>
          <w:b/>
        </w:rPr>
        <w:t>Cuadro 2</w:t>
      </w:r>
    </w:p>
    <w:p w14:paraId="6ADC2EF5" w14:textId="77777777" w:rsidR="008A0D96" w:rsidRDefault="00526AE1">
      <w:pPr>
        <w:pBdr>
          <w:top w:val="single" w:sz="4" w:space="1" w:color="000000"/>
          <w:left w:val="single" w:sz="4" w:space="4" w:color="000000"/>
          <w:bottom w:val="single" w:sz="4" w:space="1" w:color="000000"/>
          <w:right w:val="single" w:sz="4" w:space="4" w:color="000000"/>
        </w:pBdr>
        <w:spacing w:after="120" w:line="240" w:lineRule="auto"/>
        <w:jc w:val="center"/>
        <w:rPr>
          <w:b/>
        </w:rPr>
      </w:pPr>
      <w:r>
        <w:rPr>
          <w:b/>
        </w:rPr>
        <w:t>Necesidades derivadas del Acuerdo de París relacionadas con el proceso de formulación e implementación de los Planes Nacionales de Adaptación</w:t>
      </w:r>
    </w:p>
    <w:p w14:paraId="1C02632B" w14:textId="77777777" w:rsidR="008A0D96" w:rsidRDefault="008A0D96">
      <w:pPr>
        <w:pBdr>
          <w:top w:val="single" w:sz="4" w:space="1" w:color="000000"/>
          <w:left w:val="single" w:sz="4" w:space="4" w:color="000000"/>
          <w:bottom w:val="single" w:sz="4" w:space="1" w:color="000000"/>
          <w:right w:val="single" w:sz="4" w:space="4" w:color="000000"/>
        </w:pBdr>
        <w:spacing w:after="120" w:line="240" w:lineRule="auto"/>
        <w:jc w:val="both"/>
      </w:pPr>
    </w:p>
    <w:p w14:paraId="22A32D55" w14:textId="77777777" w:rsidR="008A0D96" w:rsidRDefault="00526AE1">
      <w:pPr>
        <w:pBdr>
          <w:top w:val="single" w:sz="4" w:space="1" w:color="000000"/>
          <w:left w:val="single" w:sz="4" w:space="4" w:color="000000"/>
          <w:bottom w:val="single" w:sz="4" w:space="1" w:color="000000"/>
          <w:right w:val="single" w:sz="4" w:space="4" w:color="000000"/>
        </w:pBdr>
        <w:spacing w:after="120" w:line="240" w:lineRule="auto"/>
        <w:jc w:val="both"/>
      </w:pPr>
      <w:r>
        <w:t>El informe “Progreso, experiencia, mejores prácticas, lecciones aprendidas, brechas, necesidades y apoyo brindado y recibido en el proceso para formular e implementar planes nacionales de adaptación” de la CMNUCC (2018) ha identificado una serie de necesidades derivadas del Acuerdo de París y las decisiones adoptadas por la Conferencia de las Partes en su 21º período de sesiones relacionadas con el proceso de formulación e implementación de los Planes Nacionales de Adaptación en las siguientes áreas:</w:t>
      </w:r>
    </w:p>
    <w:p w14:paraId="690EDF02" w14:textId="77777777" w:rsidR="008A0D96" w:rsidRDefault="00526AE1">
      <w:pPr>
        <w:numPr>
          <w:ilvl w:val="0"/>
          <w:numId w:val="2"/>
        </w:numPr>
        <w:pBdr>
          <w:top w:val="single" w:sz="4" w:space="1" w:color="000000"/>
          <w:left w:val="single" w:sz="4" w:space="4" w:color="000000"/>
          <w:bottom w:val="single" w:sz="4" w:space="1" w:color="000000"/>
          <w:right w:val="single" w:sz="4" w:space="4" w:color="000000"/>
          <w:between w:val="nil"/>
        </w:pBdr>
        <w:spacing w:after="0" w:line="240" w:lineRule="auto"/>
        <w:contextualSpacing/>
        <w:jc w:val="both"/>
        <w:rPr>
          <w:color w:val="000000"/>
        </w:rPr>
      </w:pPr>
      <w:r>
        <w:rPr>
          <w:color w:val="000000"/>
          <w:u w:val="single"/>
        </w:rPr>
        <w:t>Escenarios climáticos, ciencia, traducción al contexto local, etc.</w:t>
      </w:r>
      <w:r>
        <w:rPr>
          <w:color w:val="000000"/>
        </w:rPr>
        <w:t xml:space="preserve"> (Artículo 7, párrafos 7 y 9): Requiere capacidad para trabajar eficazmente con los datos climáticos y escenarios de cambio climático en la etapa de planificación, incluida la aplicación de la temperatura global límite de menos de 2 ° C </w:t>
      </w:r>
    </w:p>
    <w:p w14:paraId="7A8E345A" w14:textId="77777777" w:rsidR="008A0D96" w:rsidRDefault="00526AE1">
      <w:pPr>
        <w:numPr>
          <w:ilvl w:val="0"/>
          <w:numId w:val="2"/>
        </w:numPr>
        <w:pBdr>
          <w:top w:val="single" w:sz="4" w:space="1" w:color="000000"/>
          <w:left w:val="single" w:sz="4" w:space="4" w:color="000000"/>
          <w:bottom w:val="single" w:sz="4" w:space="1" w:color="000000"/>
          <w:right w:val="single" w:sz="4" w:space="4" w:color="000000"/>
          <w:between w:val="nil"/>
        </w:pBdr>
        <w:spacing w:after="0" w:line="240" w:lineRule="auto"/>
        <w:contextualSpacing/>
        <w:jc w:val="both"/>
        <w:rPr>
          <w:color w:val="000000"/>
        </w:rPr>
      </w:pPr>
      <w:r>
        <w:rPr>
          <w:color w:val="000000"/>
          <w:u w:val="single"/>
        </w:rPr>
        <w:t>Evaluaciones de riesgo y vulnerabilidad y gestión del riesgo</w:t>
      </w:r>
      <w:r>
        <w:rPr>
          <w:color w:val="000000"/>
        </w:rPr>
        <w:t xml:space="preserve"> (Artículo 7, párrafos 7 y 9): Requiere capacidad para analizar, definir líneas de base, evaluar, administrar y monitorear el riesgo del cambio climático y vulnerabilidad en niveles y escalas relevantes </w:t>
      </w:r>
    </w:p>
    <w:p w14:paraId="3C7B5EBA" w14:textId="77777777" w:rsidR="008A0D96" w:rsidRDefault="00526AE1">
      <w:pPr>
        <w:numPr>
          <w:ilvl w:val="0"/>
          <w:numId w:val="2"/>
        </w:numPr>
        <w:pBdr>
          <w:top w:val="single" w:sz="4" w:space="1" w:color="000000"/>
          <w:left w:val="single" w:sz="4" w:space="4" w:color="000000"/>
          <w:bottom w:val="single" w:sz="4" w:space="1" w:color="000000"/>
          <w:right w:val="single" w:sz="4" w:space="4" w:color="000000"/>
          <w:between w:val="nil"/>
        </w:pBdr>
        <w:spacing w:after="0" w:line="240" w:lineRule="auto"/>
        <w:contextualSpacing/>
        <w:jc w:val="both"/>
        <w:rPr>
          <w:color w:val="000000"/>
        </w:rPr>
      </w:pPr>
      <w:r>
        <w:rPr>
          <w:color w:val="000000"/>
          <w:u w:val="single"/>
        </w:rPr>
        <w:t>Vínculo con la agenda de desarrollo</w:t>
      </w:r>
      <w:r>
        <w:rPr>
          <w:color w:val="000000"/>
        </w:rPr>
        <w:t xml:space="preserve"> (Artículo 2 y Artículo 7, Párrafo 1): Requiere capacidad para abordar con eficacia la adaptación al cambio climático dentro del marco más amplio de la Agenda 2030 para el Desarrollo Sostenible y los Objetivos de Desarrollo Sostenible en el ámbito nacional.</w:t>
      </w:r>
    </w:p>
    <w:p w14:paraId="63EDCD20" w14:textId="77777777" w:rsidR="008A0D96" w:rsidRDefault="00526AE1">
      <w:pPr>
        <w:numPr>
          <w:ilvl w:val="0"/>
          <w:numId w:val="2"/>
        </w:numPr>
        <w:pBdr>
          <w:top w:val="single" w:sz="4" w:space="1" w:color="000000"/>
          <w:left w:val="single" w:sz="4" w:space="4" w:color="000000"/>
          <w:bottom w:val="single" w:sz="4" w:space="1" w:color="000000"/>
          <w:right w:val="single" w:sz="4" w:space="4" w:color="000000"/>
          <w:between w:val="nil"/>
        </w:pBdr>
        <w:spacing w:after="0" w:line="240" w:lineRule="auto"/>
        <w:contextualSpacing/>
        <w:jc w:val="both"/>
        <w:rPr>
          <w:color w:val="000000"/>
        </w:rPr>
      </w:pPr>
      <w:r>
        <w:rPr>
          <w:color w:val="000000"/>
          <w:u w:val="single"/>
        </w:rPr>
        <w:t>Seguimiento y evaluación</w:t>
      </w:r>
      <w:r>
        <w:rPr>
          <w:color w:val="000000"/>
        </w:rPr>
        <w:t xml:space="preserve"> (Artículos 7, 13 y 14): Se requiere realizar un seguimiento sistemático y observaciones relevantes para la planificación e implementación de la adaptación, y el seguimiento y evaluación posterior de los resultados e impactos.</w:t>
      </w:r>
    </w:p>
    <w:p w14:paraId="34E3305F" w14:textId="77777777" w:rsidR="008A0D96" w:rsidRDefault="00526AE1">
      <w:pPr>
        <w:numPr>
          <w:ilvl w:val="0"/>
          <w:numId w:val="2"/>
        </w:numPr>
        <w:pBdr>
          <w:top w:val="single" w:sz="4" w:space="1" w:color="000000"/>
          <w:left w:val="single" w:sz="4" w:space="4" w:color="000000"/>
          <w:bottom w:val="single" w:sz="4" w:space="1" w:color="000000"/>
          <w:right w:val="single" w:sz="4" w:space="4" w:color="000000"/>
          <w:between w:val="nil"/>
        </w:pBdr>
        <w:spacing w:after="0" w:line="240" w:lineRule="auto"/>
        <w:contextualSpacing/>
        <w:jc w:val="both"/>
        <w:rPr>
          <w:color w:val="000000"/>
        </w:rPr>
      </w:pPr>
      <w:r>
        <w:rPr>
          <w:color w:val="000000"/>
          <w:u w:val="single"/>
        </w:rPr>
        <w:t>Acceso a la ayuda</w:t>
      </w:r>
      <w:r>
        <w:rPr>
          <w:color w:val="000000"/>
        </w:rPr>
        <w:t xml:space="preserve"> (Artículo 4, párrafo 5; Artículo 7, párrafo 13; y decisión 1 / CP.21, párrafos 41-46): es necesaria la movilización y el acceso adecuados y efectivos a apoyo financiero y de otros tipos, incluido el Fondo Verde para el Clima, para apoyar la formulación y la implementación de planes nacionales de adaptación</w:t>
      </w:r>
    </w:p>
    <w:p w14:paraId="0AC38DFF" w14:textId="77777777" w:rsidR="008A0D96" w:rsidRDefault="00526AE1">
      <w:pPr>
        <w:numPr>
          <w:ilvl w:val="0"/>
          <w:numId w:val="2"/>
        </w:numPr>
        <w:pBdr>
          <w:top w:val="single" w:sz="4" w:space="1" w:color="000000"/>
          <w:left w:val="single" w:sz="4" w:space="4" w:color="000000"/>
          <w:bottom w:val="single" w:sz="4" w:space="1" w:color="000000"/>
          <w:right w:val="single" w:sz="4" w:space="4" w:color="000000"/>
          <w:between w:val="nil"/>
        </w:pBdr>
        <w:spacing w:after="0" w:line="240" w:lineRule="auto"/>
        <w:contextualSpacing/>
        <w:jc w:val="both"/>
        <w:rPr>
          <w:color w:val="000000"/>
        </w:rPr>
      </w:pPr>
      <w:r>
        <w:rPr>
          <w:color w:val="000000"/>
          <w:u w:val="single"/>
        </w:rPr>
        <w:t>Cuestiones transversales</w:t>
      </w:r>
      <w:r>
        <w:rPr>
          <w:color w:val="000000"/>
        </w:rPr>
        <w:t>: (Artículo 7, párrafo 5) Requiere la participación adecuada de múltiples partes interesadas en gestionar la planificación e implementación de la adaptación en múltiples niveles y escalas.</w:t>
      </w:r>
    </w:p>
    <w:p w14:paraId="0B2B2F2E" w14:textId="77777777" w:rsidR="008A0D96" w:rsidRDefault="00526AE1">
      <w:pPr>
        <w:numPr>
          <w:ilvl w:val="0"/>
          <w:numId w:val="2"/>
        </w:numPr>
        <w:pBdr>
          <w:top w:val="single" w:sz="4" w:space="1" w:color="000000"/>
          <w:left w:val="single" w:sz="4" w:space="4" w:color="000000"/>
          <w:bottom w:val="single" w:sz="4" w:space="1" w:color="000000"/>
          <w:right w:val="single" w:sz="4" w:space="4" w:color="000000"/>
          <w:between w:val="nil"/>
        </w:pBdr>
        <w:spacing w:after="120" w:line="240" w:lineRule="auto"/>
        <w:contextualSpacing/>
        <w:jc w:val="both"/>
        <w:rPr>
          <w:color w:val="000000"/>
        </w:rPr>
      </w:pPr>
      <w:r>
        <w:rPr>
          <w:color w:val="000000"/>
          <w:u w:val="single"/>
        </w:rPr>
        <w:t>Aprendizaje activo a partir de la práctica</w:t>
      </w:r>
      <w:r>
        <w:rPr>
          <w:color w:val="000000"/>
        </w:rPr>
        <w:t xml:space="preserve"> (Artículo 7, párrafo 9): Requiere capacidad para utilizar la experiencia y las lecciones aprendidas durante planificación e implementación de adaptación para informar futuros esfuerzos de adaptación, incluida la identificación y promoviendo las mejores prácticas.</w:t>
      </w:r>
    </w:p>
    <w:p w14:paraId="12BDAC63" w14:textId="77777777" w:rsidR="009E6F18" w:rsidRDefault="009E6F18">
      <w:pPr>
        <w:spacing w:after="120" w:line="240" w:lineRule="auto"/>
        <w:jc w:val="both"/>
        <w:rPr>
          <w:b/>
          <w:color w:val="2F5496"/>
          <w:sz w:val="26"/>
          <w:szCs w:val="26"/>
        </w:rPr>
      </w:pPr>
    </w:p>
    <w:p w14:paraId="118B200B" w14:textId="77777777" w:rsidR="008A0D96" w:rsidRDefault="00526AE1">
      <w:pPr>
        <w:spacing w:after="120" w:line="240" w:lineRule="auto"/>
        <w:jc w:val="both"/>
        <w:rPr>
          <w:b/>
          <w:color w:val="2F5496"/>
          <w:sz w:val="26"/>
          <w:szCs w:val="26"/>
        </w:rPr>
      </w:pPr>
      <w:r>
        <w:rPr>
          <w:b/>
          <w:color w:val="2F5496"/>
          <w:sz w:val="26"/>
          <w:szCs w:val="26"/>
        </w:rPr>
        <w:t>Oportunidades de cooperación regional</w:t>
      </w:r>
    </w:p>
    <w:p w14:paraId="215903D0" w14:textId="77777777" w:rsidR="008A0D96" w:rsidRPr="009E6F18" w:rsidRDefault="00526AE1" w:rsidP="00F2443A">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 xml:space="preserve">Para responder a estos retos y necesidades, el informe “Progreso, experiencia, mejores prácticas, lecciones aprendidas, brechas, necesidades y apoyo brindado y recibido en el </w:t>
      </w:r>
      <w:r>
        <w:rPr>
          <w:rFonts w:ascii="Roboto" w:eastAsia="Roboto" w:hAnsi="Roboto" w:cs="Roboto"/>
          <w:color w:val="000000"/>
        </w:rPr>
        <w:lastRenderedPageBreak/>
        <w:t>proceso para formular e implementar planes nacionales de adaptación” de la CMNUCC (2018) citado anteriormente, subraya que “en algunos casos es más eficiente acometer una parte del proceso de formulación y ejecución de los Planes Nacionales de Adaptación, como la modelización del clima, la evaluación de la vulnerabilidad y los riesgos y la gestión del conocimiento, a escala regional”.</w:t>
      </w:r>
    </w:p>
    <w:p w14:paraId="6EF416C8" w14:textId="77777777" w:rsidR="008A0D96" w:rsidRDefault="008A0D96">
      <w:pPr>
        <w:pBdr>
          <w:top w:val="nil"/>
          <w:left w:val="nil"/>
          <w:bottom w:val="nil"/>
          <w:right w:val="nil"/>
          <w:between w:val="nil"/>
        </w:pBdr>
        <w:spacing w:after="0"/>
        <w:ind w:left="720" w:hanging="720"/>
        <w:rPr>
          <w:rFonts w:ascii="Roboto" w:eastAsia="Roboto" w:hAnsi="Roboto" w:cs="Roboto"/>
          <w:color w:val="000000"/>
        </w:rPr>
      </w:pPr>
    </w:p>
    <w:p w14:paraId="251AD6CB" w14:textId="77777777" w:rsidR="008A0D96" w:rsidRDefault="00526AE1" w:rsidP="00F2443A">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 xml:space="preserve">En cuanto a las </w:t>
      </w:r>
      <w:r>
        <w:rPr>
          <w:rFonts w:ascii="Roboto" w:eastAsia="Roboto" w:hAnsi="Roboto" w:cs="Roboto"/>
          <w:color w:val="000000"/>
          <w:u w:val="single"/>
        </w:rPr>
        <w:t>evaluaciones de riesgo y vulnerabilidad</w:t>
      </w:r>
      <w:r>
        <w:rPr>
          <w:rFonts w:ascii="Roboto" w:eastAsia="Roboto" w:hAnsi="Roboto" w:cs="Roboto"/>
          <w:color w:val="000000"/>
        </w:rPr>
        <w:t xml:space="preserve"> y la gestión del riesgo, en la región se han empleado diferentes metodologías, incluyendo el uso de mapas para rastrear los niveles de vulnerabilidad y riesgo. Estos mapas pueden proporcionar información relevante de </w:t>
      </w:r>
      <w:r>
        <w:rPr>
          <w:rFonts w:ascii="Roboto" w:eastAsia="Roboto" w:hAnsi="Roboto" w:cs="Roboto"/>
        </w:rPr>
        <w:t>las amenazas asociadas al cambio climático y de los niv</w:t>
      </w:r>
      <w:r>
        <w:rPr>
          <w:rFonts w:ascii="Roboto" w:eastAsia="Roboto" w:hAnsi="Roboto" w:cs="Roboto"/>
          <w:color w:val="000000"/>
        </w:rPr>
        <w:t xml:space="preserve">eles de vulnerabilidad para las dimensiones social, económica y ambiental y pueden potencialmente contribuir a: i) traducir los riesgos climáticos en potenciales costos de impactos y daños, </w:t>
      </w:r>
      <w:proofErr w:type="spellStart"/>
      <w:r>
        <w:rPr>
          <w:rFonts w:ascii="Roboto" w:eastAsia="Roboto" w:hAnsi="Roboto" w:cs="Roboto"/>
          <w:color w:val="000000"/>
        </w:rPr>
        <w:t>ii</w:t>
      </w:r>
      <w:proofErr w:type="spellEnd"/>
      <w:r>
        <w:rPr>
          <w:rFonts w:ascii="Roboto" w:eastAsia="Roboto" w:hAnsi="Roboto" w:cs="Roboto"/>
          <w:color w:val="000000"/>
        </w:rPr>
        <w:t xml:space="preserve">) brindar apoyo </w:t>
      </w:r>
      <w:r w:rsidRPr="009E6F18">
        <w:rPr>
          <w:rFonts w:ascii="Roboto" w:eastAsia="Roboto" w:hAnsi="Roboto" w:cs="Roboto"/>
        </w:rPr>
        <w:t xml:space="preserve">para </w:t>
      </w:r>
      <w:r>
        <w:rPr>
          <w:rFonts w:ascii="Roboto" w:eastAsia="Roboto" w:hAnsi="Roboto" w:cs="Roboto"/>
          <w:color w:val="000000"/>
        </w:rPr>
        <w:t xml:space="preserve">la coordinación, la coherencia institucional y regulatoria, y iii ) evaluar los productos y los efectos de la adaptación para contribuir a la toma de decisiones, a la formulación de políticas públicas y a la elaboración de planes de adaptación a nivel nacional y sectorial (Christiansen et al, 2018). </w:t>
      </w:r>
    </w:p>
    <w:p w14:paraId="11AEDF06" w14:textId="77777777" w:rsidR="008A0D96" w:rsidRDefault="008A0D96">
      <w:pPr>
        <w:pBdr>
          <w:top w:val="nil"/>
          <w:left w:val="nil"/>
          <w:bottom w:val="nil"/>
          <w:right w:val="nil"/>
          <w:between w:val="nil"/>
        </w:pBdr>
        <w:spacing w:after="0"/>
        <w:ind w:left="720" w:hanging="720"/>
        <w:rPr>
          <w:rFonts w:ascii="Roboto" w:eastAsia="Roboto" w:hAnsi="Roboto" w:cs="Roboto"/>
          <w:color w:val="000000"/>
        </w:rPr>
      </w:pPr>
    </w:p>
    <w:p w14:paraId="7CAEA246" w14:textId="77777777" w:rsidR="008A0D96" w:rsidRDefault="00526AE1" w:rsidP="00F2443A">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Los mapas de vulnerabilidad y riesgo también pueden proporcionar una visión general para una asignación de recursos más eficiente, e incluso promover el apalancamiento de fondos adicionales al identificar y traducir los riesgos potenciales en acciones concretas de adaptación. De hecho, según una evaluación de necesidades de seguimiento de adaptación incluida en el informe de Métricas de adaptación (ONU Medio Ambiente-DTU 2018), hubo un consenso general de que "tener información sobre los costos y los daños permitiría a las organizaciones interpretar el riesgo más fácilmente y alentar la participación en la adaptación, particularmente dentro del sector privado'.</w:t>
      </w:r>
    </w:p>
    <w:p w14:paraId="52944101" w14:textId="77777777" w:rsidR="008A0D96" w:rsidRDefault="008A0D96">
      <w:pPr>
        <w:pBdr>
          <w:top w:val="nil"/>
          <w:left w:val="nil"/>
          <w:bottom w:val="nil"/>
          <w:right w:val="nil"/>
          <w:between w:val="nil"/>
        </w:pBdr>
        <w:spacing w:after="0"/>
        <w:ind w:left="720" w:hanging="720"/>
        <w:rPr>
          <w:rFonts w:ascii="Roboto" w:eastAsia="Roboto" w:hAnsi="Roboto" w:cs="Roboto"/>
          <w:color w:val="000000"/>
        </w:rPr>
      </w:pPr>
    </w:p>
    <w:p w14:paraId="1C8E9AA8" w14:textId="77777777" w:rsidR="008A0D96" w:rsidRDefault="00526AE1" w:rsidP="00F2443A">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 xml:space="preserve">En la región de América Latina, ejemplos tales como los mapas de riesgo creados en Argentina o Perú ofrecen un punto de referencia sólido para </w:t>
      </w:r>
      <w:r w:rsidRPr="009E6F18">
        <w:rPr>
          <w:rFonts w:ascii="Roboto" w:eastAsia="Roboto" w:hAnsi="Roboto" w:cs="Roboto"/>
          <w:color w:val="000000"/>
        </w:rPr>
        <w:t xml:space="preserve">incorporar las proyecciones de cambio climático en los procesos de planificación y toma de decisiones, </w:t>
      </w:r>
      <w:r w:rsidR="009E6F18" w:rsidRPr="009E6F18">
        <w:rPr>
          <w:rFonts w:ascii="Roboto" w:eastAsia="Roboto" w:hAnsi="Roboto" w:cs="Roboto"/>
          <w:color w:val="000000"/>
        </w:rPr>
        <w:t>orientando a</w:t>
      </w:r>
      <w:r>
        <w:rPr>
          <w:rFonts w:ascii="Roboto" w:eastAsia="Roboto" w:hAnsi="Roboto" w:cs="Roboto"/>
          <w:color w:val="000000"/>
        </w:rPr>
        <w:t xml:space="preserve"> los subsectores prioritarios de adaptación y áreas en las que invertir. En Argentina, el </w:t>
      </w:r>
      <w:r w:rsidRPr="009E6F18">
        <w:rPr>
          <w:rFonts w:ascii="Roboto" w:eastAsia="Roboto" w:hAnsi="Roboto" w:cs="Roboto"/>
        </w:rPr>
        <w:t>S</w:t>
      </w:r>
      <w:r>
        <w:rPr>
          <w:rFonts w:ascii="Roboto" w:eastAsia="Roboto" w:hAnsi="Roboto" w:cs="Roboto"/>
          <w:color w:val="000000"/>
        </w:rPr>
        <w:t xml:space="preserve">istema de Mapas de </w:t>
      </w:r>
      <w:r w:rsidRPr="009E6F18">
        <w:rPr>
          <w:rFonts w:ascii="Roboto" w:eastAsia="Roboto" w:hAnsi="Roboto" w:cs="Roboto"/>
        </w:rPr>
        <w:t>Ri</w:t>
      </w:r>
      <w:r>
        <w:rPr>
          <w:rFonts w:ascii="Roboto" w:eastAsia="Roboto" w:hAnsi="Roboto" w:cs="Roboto"/>
          <w:color w:val="000000"/>
        </w:rPr>
        <w:t xml:space="preserve">esgo del </w:t>
      </w:r>
      <w:r w:rsidRPr="009E6F18">
        <w:rPr>
          <w:rFonts w:ascii="Roboto" w:eastAsia="Roboto" w:hAnsi="Roboto" w:cs="Roboto"/>
        </w:rPr>
        <w:t>C</w:t>
      </w:r>
      <w:r>
        <w:rPr>
          <w:rFonts w:ascii="Roboto" w:eastAsia="Roboto" w:hAnsi="Roboto" w:cs="Roboto"/>
          <w:color w:val="000000"/>
        </w:rPr>
        <w:t xml:space="preserve">ambio </w:t>
      </w:r>
      <w:r w:rsidRPr="009E6F18">
        <w:rPr>
          <w:rFonts w:ascii="Roboto" w:eastAsia="Roboto" w:hAnsi="Roboto" w:cs="Roboto"/>
        </w:rPr>
        <w:t>C</w:t>
      </w:r>
      <w:r>
        <w:rPr>
          <w:rFonts w:ascii="Roboto" w:eastAsia="Roboto" w:hAnsi="Roboto" w:cs="Roboto"/>
          <w:color w:val="000000"/>
        </w:rPr>
        <w:t>limático</w:t>
      </w:r>
      <w:r>
        <w:rPr>
          <w:rFonts w:ascii="Roboto" w:eastAsia="Roboto" w:hAnsi="Roboto" w:cs="Roboto"/>
          <w:color w:val="000000"/>
          <w:vertAlign w:val="superscript"/>
        </w:rPr>
        <w:footnoteReference w:id="10"/>
      </w:r>
      <w:r w:rsidRPr="009E6F18">
        <w:t xml:space="preserve"> </w:t>
      </w:r>
      <w:r>
        <w:rPr>
          <w:rFonts w:ascii="Roboto" w:eastAsia="Roboto" w:hAnsi="Roboto" w:cs="Roboto"/>
          <w:color w:val="000000"/>
        </w:rPr>
        <w:t xml:space="preserve"> (SIMARCC) tiene como objetivo identificar los riesgos del cambio climático</w:t>
      </w:r>
      <w:r w:rsidRPr="009E6F18">
        <w:t xml:space="preserve"> </w:t>
      </w:r>
      <w:r>
        <w:rPr>
          <w:rFonts w:ascii="Roboto" w:eastAsia="Roboto" w:hAnsi="Roboto" w:cs="Roboto"/>
          <w:color w:val="000000"/>
        </w:rPr>
        <w:t xml:space="preserve">para </w:t>
      </w:r>
      <w:r w:rsidRPr="009E6F18">
        <w:rPr>
          <w:rFonts w:ascii="Roboto" w:eastAsia="Roboto" w:hAnsi="Roboto" w:cs="Roboto"/>
        </w:rPr>
        <w:t xml:space="preserve">orientar la formulación </w:t>
      </w:r>
      <w:r w:rsidR="009E6F18" w:rsidRPr="009E6F18">
        <w:rPr>
          <w:rFonts w:ascii="Roboto" w:eastAsia="Roboto" w:hAnsi="Roboto" w:cs="Roboto"/>
        </w:rPr>
        <w:t xml:space="preserve">de </w:t>
      </w:r>
      <w:r w:rsidR="009E6F18">
        <w:rPr>
          <w:rFonts w:ascii="Roboto" w:eastAsia="Roboto" w:hAnsi="Roboto" w:cs="Roboto"/>
          <w:color w:val="000000"/>
        </w:rPr>
        <w:t>políticas</w:t>
      </w:r>
      <w:r>
        <w:rPr>
          <w:rFonts w:ascii="Roboto" w:eastAsia="Roboto" w:hAnsi="Roboto" w:cs="Roboto"/>
          <w:color w:val="000000"/>
        </w:rPr>
        <w:t xml:space="preserve"> públicas</w:t>
      </w:r>
      <w:r w:rsidRPr="009E6F18">
        <w:rPr>
          <w:rFonts w:ascii="Roboto" w:eastAsia="Roboto" w:hAnsi="Roboto" w:cs="Roboto"/>
        </w:rPr>
        <w:t xml:space="preserve">, </w:t>
      </w:r>
      <w:r>
        <w:rPr>
          <w:rFonts w:ascii="Roboto" w:eastAsia="Roboto" w:hAnsi="Roboto" w:cs="Roboto"/>
          <w:color w:val="000000"/>
        </w:rPr>
        <w:t>acciones de adaptación y apoyar la toma de decisiones</w:t>
      </w:r>
      <w:r w:rsidRPr="009E6F18">
        <w:rPr>
          <w:rFonts w:ascii="Roboto" w:eastAsia="Roboto" w:hAnsi="Roboto" w:cs="Roboto"/>
        </w:rPr>
        <w:t xml:space="preserve"> </w:t>
      </w:r>
      <w:r>
        <w:rPr>
          <w:rFonts w:ascii="Roboto" w:eastAsia="Roboto" w:hAnsi="Roboto" w:cs="Roboto"/>
          <w:color w:val="000000"/>
        </w:rPr>
        <w:t>mediante la producción de mapas de vulnerabilidad que incorporan proyecciones climáticas para el fu</w:t>
      </w:r>
      <w:r w:rsidRPr="009E6F18">
        <w:rPr>
          <w:rFonts w:ascii="Roboto" w:eastAsia="Roboto" w:hAnsi="Roboto" w:cs="Roboto"/>
        </w:rPr>
        <w:t>turo cercano y lejano</w:t>
      </w:r>
      <w:r>
        <w:rPr>
          <w:rFonts w:ascii="Roboto" w:eastAsia="Roboto" w:hAnsi="Roboto" w:cs="Roboto"/>
          <w:color w:val="000000"/>
        </w:rPr>
        <w:t xml:space="preserve">. </w:t>
      </w:r>
    </w:p>
    <w:p w14:paraId="25CFE9F6" w14:textId="77777777" w:rsidR="008A0D96" w:rsidRDefault="008A0D96">
      <w:pPr>
        <w:jc w:val="both"/>
      </w:pPr>
    </w:p>
    <w:p w14:paraId="344F4E6C" w14:textId="77777777" w:rsidR="008A0D96" w:rsidRDefault="00526AE1" w:rsidP="00F2443A">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 xml:space="preserve">En cuanto a la </w:t>
      </w:r>
      <w:r>
        <w:rPr>
          <w:rFonts w:ascii="Roboto" w:eastAsia="Roboto" w:hAnsi="Roboto" w:cs="Roboto"/>
          <w:color w:val="000000"/>
          <w:u w:val="single"/>
        </w:rPr>
        <w:t>gestión del conocimiento y lecciones aprendidas</w:t>
      </w:r>
      <w:r>
        <w:rPr>
          <w:rFonts w:ascii="Roboto" w:eastAsia="Roboto" w:hAnsi="Roboto" w:cs="Roboto"/>
          <w:color w:val="000000"/>
        </w:rPr>
        <w:t>, en el marco de la iniciativa ONU Medio Ambiente-REGATTA, se ha establecido una comunidad de práctica donde diferentes partes interesadas en la elaboración de planes de adaptación en América Latina y el Caribe se apoyan unos a otros compartiendo buenas prácticas y desafíos para facilitar las contribuciones de investigadores y especialistas en cooperación internacional y sociedad civil. La comunidad de práctica también alberga materiales y módulos de recursos que pueden ayudar a los países a entender las actividades clave del proceso de elaboración de Planes Nacionales de Adaptación.</w:t>
      </w:r>
    </w:p>
    <w:p w14:paraId="618046B8" w14:textId="77777777" w:rsidR="008A0D96" w:rsidRDefault="008A0D96">
      <w:pPr>
        <w:pBdr>
          <w:top w:val="nil"/>
          <w:left w:val="nil"/>
          <w:bottom w:val="nil"/>
          <w:right w:val="nil"/>
          <w:between w:val="nil"/>
        </w:pBdr>
        <w:spacing w:after="0"/>
        <w:ind w:left="720" w:hanging="720"/>
        <w:rPr>
          <w:rFonts w:ascii="Roboto" w:eastAsia="Roboto" w:hAnsi="Roboto" w:cs="Roboto"/>
          <w:color w:val="000000"/>
        </w:rPr>
      </w:pPr>
    </w:p>
    <w:p w14:paraId="1125F79C" w14:textId="77777777" w:rsidR="008A0D96" w:rsidRDefault="00526AE1" w:rsidP="00F2443A">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En relación con el</w:t>
      </w:r>
      <w:r>
        <w:rPr>
          <w:rFonts w:ascii="Roboto" w:eastAsia="Roboto" w:hAnsi="Roboto" w:cs="Roboto"/>
          <w:color w:val="000000"/>
          <w:u w:val="single"/>
        </w:rPr>
        <w:t xml:space="preserve"> seguimiento de la adaptación</w:t>
      </w:r>
      <w:r>
        <w:rPr>
          <w:rFonts w:ascii="Roboto" w:eastAsia="Roboto" w:hAnsi="Roboto" w:cs="Roboto"/>
          <w:color w:val="000000"/>
        </w:rPr>
        <w:t xml:space="preserve">, el reporte de avances en las trayectorias de adaptación y el uso de métricas para monitorear efectivamente el </w:t>
      </w:r>
      <w:proofErr w:type="gramStart"/>
      <w:r>
        <w:rPr>
          <w:rFonts w:ascii="Roboto" w:eastAsia="Roboto" w:hAnsi="Roboto" w:cs="Roboto"/>
          <w:color w:val="000000"/>
        </w:rPr>
        <w:t>progreso,</w:t>
      </w:r>
      <w:proofErr w:type="gramEnd"/>
      <w:r>
        <w:rPr>
          <w:rFonts w:ascii="Roboto" w:eastAsia="Roboto" w:hAnsi="Roboto" w:cs="Roboto"/>
          <w:color w:val="000000"/>
        </w:rPr>
        <w:t xml:space="preserve"> ha ganado relevancia en las discusiones sobre el clima y las agendas de los países. En particular, porque para comprender y promover las acciones de adaptación que reducen la vulnerabilidad, </w:t>
      </w:r>
      <w:r>
        <w:rPr>
          <w:rFonts w:ascii="Roboto" w:eastAsia="Roboto" w:hAnsi="Roboto" w:cs="Roboto"/>
          <w:color w:val="000000"/>
        </w:rPr>
        <w:lastRenderedPageBreak/>
        <w:t>aumentan la resiliencia y aprovechan las nuevas oportunidades, es crucial comprender, analizar y seguir el progreso de la adaptación con indicadores específicos, medibles, estandarizados, y que sean fáciles de recopilar.</w:t>
      </w:r>
    </w:p>
    <w:p w14:paraId="7898CB53" w14:textId="77777777" w:rsidR="008A0D96" w:rsidRPr="009E6F18" w:rsidRDefault="008A0D96" w:rsidP="009E6F18">
      <w:pPr>
        <w:pBdr>
          <w:top w:val="nil"/>
          <w:left w:val="nil"/>
          <w:bottom w:val="nil"/>
          <w:right w:val="nil"/>
          <w:between w:val="nil"/>
        </w:pBdr>
        <w:spacing w:after="0"/>
        <w:rPr>
          <w:rFonts w:ascii="Roboto" w:eastAsia="Roboto" w:hAnsi="Roboto" w:cs="Roboto"/>
        </w:rPr>
      </w:pPr>
    </w:p>
    <w:p w14:paraId="18BD1D13" w14:textId="5CA82887" w:rsidR="008A0D96" w:rsidRDefault="00526AE1" w:rsidP="00F2443A">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 xml:space="preserve">Sin embargo, aún no se han acordado directrices para estandarizar el seguimiento de la adaptación a nivel internacional y comprender el progreso colectivo logrado </w:t>
      </w:r>
      <w:r w:rsidRPr="009E6F18">
        <w:rPr>
          <w:rFonts w:ascii="Roboto" w:eastAsia="Roboto" w:hAnsi="Roboto" w:cs="Roboto"/>
        </w:rPr>
        <w:t xml:space="preserve">hacia </w:t>
      </w:r>
      <w:r>
        <w:rPr>
          <w:rFonts w:ascii="Roboto" w:eastAsia="Roboto" w:hAnsi="Roboto" w:cs="Roboto"/>
          <w:color w:val="000000"/>
        </w:rPr>
        <w:t xml:space="preserve">el </w:t>
      </w:r>
      <w:r w:rsidRPr="009E6F18">
        <w:rPr>
          <w:rFonts w:ascii="Roboto" w:eastAsia="Roboto" w:hAnsi="Roboto" w:cs="Roboto"/>
        </w:rPr>
        <w:t xml:space="preserve">cumplimiento </w:t>
      </w:r>
      <w:r>
        <w:rPr>
          <w:rFonts w:ascii="Roboto" w:eastAsia="Roboto" w:hAnsi="Roboto" w:cs="Roboto"/>
          <w:color w:val="000000"/>
        </w:rPr>
        <w:t xml:space="preserve">del objetivo </w:t>
      </w:r>
      <w:r w:rsidRPr="009E6F18">
        <w:rPr>
          <w:rFonts w:ascii="Roboto" w:eastAsia="Roboto" w:hAnsi="Roboto" w:cs="Roboto"/>
        </w:rPr>
        <w:t xml:space="preserve">mundial relativo a la </w:t>
      </w:r>
      <w:r>
        <w:rPr>
          <w:rFonts w:ascii="Roboto" w:eastAsia="Roboto" w:hAnsi="Roboto" w:cs="Roboto"/>
          <w:color w:val="000000"/>
        </w:rPr>
        <w:t xml:space="preserve">adaptación establecido en el Acuerdo de París en 2015. Además, a pesar de que varios países en la región han avanzado significativamente en la implementación y consolidación de sus Sistemas Nacionales de Información Ambiental, aún existen importantes vacíos de capacidad, relacionado, entre otros, a la generación, procesamiento, integración y análisis de los datos; monitoreo regular; políticas para el uso abierto de datos y metadatos ambientales; la accesibilidad a la </w:t>
      </w:r>
      <w:r w:rsidRPr="009E6F18">
        <w:rPr>
          <w:rFonts w:ascii="Roboto" w:eastAsia="Roboto" w:hAnsi="Roboto" w:cs="Roboto"/>
        </w:rPr>
        <w:t>información</w:t>
      </w:r>
      <w:r>
        <w:rPr>
          <w:rFonts w:ascii="Roboto" w:eastAsia="Roboto" w:hAnsi="Roboto" w:cs="Roboto"/>
          <w:color w:val="000000"/>
        </w:rPr>
        <w:t xml:space="preserve"> y el uso efectivo de datos e indicadores en la toma de decisiones. Otras necesidades identificadas en el informe de la CMNUCC se refieren a que los funcionarios y las partes interesadas deben ser capacitados sobre los beneficios y desafíos del proceso de monitoreo y evaluación, incluido su propósito y alcance, así como sobre la identificación de las necesidades de información y las fuentes de datos. Los funcionarios deben conocer los vínculos entre el monitoreo nacional y la evaluación y monitoreo de los NDC, los ODS y otros marcos globales.</w:t>
      </w:r>
    </w:p>
    <w:p w14:paraId="2A11275D" w14:textId="77777777" w:rsidR="008A0D96" w:rsidRPr="009E6F18" w:rsidRDefault="008A0D96">
      <w:pPr>
        <w:spacing w:after="0" w:line="240" w:lineRule="auto"/>
        <w:jc w:val="both"/>
        <w:rPr>
          <w:rFonts w:ascii="Roboto" w:eastAsia="Roboto" w:hAnsi="Roboto" w:cs="Roboto"/>
        </w:rPr>
      </w:pPr>
    </w:p>
    <w:p w14:paraId="6F1FDCDF" w14:textId="77777777" w:rsidR="008A0D96" w:rsidRDefault="00526AE1" w:rsidP="00F2443A">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El Grupo de Trabajo en Indicadores Ambientales (GTIA), establecido en el marco de la Iniciativa Latinoamericana y Caribeña para el Desarrollo Sostenible (ILAC), bajo el Foro de Ministros, ha trabajado desde 2004 en el desarrollo de un conjunto robusto y claro de indicadores ILAC</w:t>
      </w:r>
      <w:r>
        <w:rPr>
          <w:rFonts w:ascii="Roboto" w:eastAsia="Roboto" w:hAnsi="Roboto" w:cs="Roboto"/>
        </w:rPr>
        <w:t xml:space="preserve"> para la medición de los avances a nivel nacional y regional hacia el desarrollo sostenible, con la participación de representantes de las instituciones de estadística y de los minis</w:t>
      </w:r>
      <w:r>
        <w:rPr>
          <w:rFonts w:ascii="Roboto" w:eastAsia="Roboto" w:hAnsi="Roboto" w:cs="Roboto"/>
          <w:color w:val="000000"/>
        </w:rPr>
        <w:t>terios de medio ambiente. En este contexto se ha identificado la necesidad de armonizar los indicadores ILAC y los indicadores de los Objetivos de Desarrollo Sostenible globales y regionales sobre la base de las prioridades, temas más relevantes y diferencias en las necesidades de creación de capacidad en la región.</w:t>
      </w:r>
    </w:p>
    <w:p w14:paraId="346938CB" w14:textId="77777777" w:rsidR="008A0D96" w:rsidRDefault="008A0D96">
      <w:pPr>
        <w:pBdr>
          <w:top w:val="nil"/>
          <w:left w:val="nil"/>
          <w:bottom w:val="nil"/>
          <w:right w:val="nil"/>
          <w:between w:val="nil"/>
        </w:pBdr>
        <w:spacing w:after="0"/>
        <w:ind w:left="720" w:hanging="720"/>
        <w:rPr>
          <w:rFonts w:ascii="Roboto" w:eastAsia="Roboto" w:hAnsi="Roboto" w:cs="Roboto"/>
          <w:color w:val="000000"/>
        </w:rPr>
      </w:pPr>
    </w:p>
    <w:p w14:paraId="43B49F3C" w14:textId="77777777" w:rsidR="008A0D96" w:rsidRDefault="00526AE1" w:rsidP="00F2443A">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Así el último Foro de Ministros de medio Ambiente (2016) acordó “</w:t>
      </w:r>
      <w:r>
        <w:rPr>
          <w:rFonts w:ascii="Roboto" w:eastAsia="Roboto" w:hAnsi="Roboto" w:cs="Roboto"/>
          <w:i/>
          <w:color w:val="000000"/>
        </w:rPr>
        <w:t>solicitar al GTIA, con apoyo del Secretariado, preparar una propuesta para continuar el trabajo en indicadores ambientales en la región, incluyendo una estrategia de movilización y distribución de recursos y tomando en cuenta la necesidad de armonizar los indicadores ILAC y los indicadores de los Objetivos de Desarrollo Sostenible globales y regionales sobre la base de las prioridades, temas más relevantes y diferencias en las necesidades de creación de capacidad en la región.</w:t>
      </w:r>
      <w:r>
        <w:rPr>
          <w:rFonts w:ascii="Roboto" w:eastAsia="Roboto" w:hAnsi="Roboto" w:cs="Roboto"/>
          <w:color w:val="000000"/>
        </w:rPr>
        <w:t>” (véase Decisión 2 del Foro de Ministros).</w:t>
      </w:r>
    </w:p>
    <w:p w14:paraId="034D9253" w14:textId="77777777" w:rsidR="008A0D96" w:rsidRDefault="008A0D96">
      <w:pPr>
        <w:spacing w:after="0" w:line="240" w:lineRule="auto"/>
        <w:jc w:val="both"/>
        <w:rPr>
          <w:rFonts w:ascii="Roboto" w:eastAsia="Roboto" w:hAnsi="Roboto" w:cs="Roboto"/>
        </w:rPr>
      </w:pPr>
    </w:p>
    <w:p w14:paraId="51F31F3E" w14:textId="77777777" w:rsidR="008A0D96" w:rsidRDefault="00526AE1" w:rsidP="00F2443A">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rPr>
        <w:t>Estas experiencias son ejemplos relevantes de las amplias oportunidades para el intercambio de lecciones aprendidas y cooperación sur-sur que se presentan en el proceso de elaboración de los Planes Nacionales de Adaptación y marcos de monitoreo.</w:t>
      </w:r>
    </w:p>
    <w:p w14:paraId="770263FD" w14:textId="77777777" w:rsidR="008A0D96" w:rsidRDefault="008A0D96">
      <w:pPr>
        <w:pBdr>
          <w:top w:val="nil"/>
          <w:left w:val="nil"/>
          <w:bottom w:val="nil"/>
          <w:right w:val="nil"/>
          <w:between w:val="nil"/>
        </w:pBdr>
        <w:spacing w:after="0" w:line="240" w:lineRule="auto"/>
        <w:ind w:left="360"/>
        <w:jc w:val="both"/>
        <w:rPr>
          <w:rFonts w:ascii="Roboto" w:eastAsia="Roboto" w:hAnsi="Roboto" w:cs="Roboto"/>
        </w:rPr>
      </w:pPr>
    </w:p>
    <w:p w14:paraId="31C2E948" w14:textId="77777777" w:rsidR="008A0D96" w:rsidRDefault="00526AE1" w:rsidP="00F2443A">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En este contexto, se propone que la región explore la posibilidad de cooperar en:</w:t>
      </w:r>
    </w:p>
    <w:p w14:paraId="1D7C391D" w14:textId="77777777" w:rsidR="008A0D96" w:rsidRDefault="008A0D96">
      <w:pPr>
        <w:spacing w:after="0" w:line="240" w:lineRule="auto"/>
        <w:jc w:val="both"/>
        <w:rPr>
          <w:rFonts w:ascii="Roboto" w:eastAsia="Roboto" w:hAnsi="Roboto" w:cs="Roboto"/>
        </w:rPr>
      </w:pPr>
    </w:p>
    <w:p w14:paraId="41A7CBBA" w14:textId="44132942" w:rsidR="008A0D96" w:rsidRDefault="00526AE1">
      <w:pPr>
        <w:numPr>
          <w:ilvl w:val="0"/>
          <w:numId w:val="4"/>
        </w:numPr>
        <w:pBdr>
          <w:top w:val="nil"/>
          <w:left w:val="nil"/>
          <w:bottom w:val="nil"/>
          <w:right w:val="nil"/>
          <w:between w:val="nil"/>
        </w:pBdr>
        <w:spacing w:after="0" w:line="240" w:lineRule="auto"/>
        <w:contextualSpacing/>
        <w:jc w:val="both"/>
        <w:rPr>
          <w:rFonts w:ascii="Roboto" w:eastAsia="Roboto" w:hAnsi="Roboto" w:cs="Roboto"/>
          <w:color w:val="000000"/>
        </w:rPr>
      </w:pPr>
      <w:r>
        <w:rPr>
          <w:rFonts w:ascii="Roboto" w:eastAsia="Roboto" w:hAnsi="Roboto" w:cs="Roboto"/>
          <w:color w:val="000000"/>
        </w:rPr>
        <w:t xml:space="preserve">El intercambio de experiencias y cooperación sur-sur en materia de elaboración de planes de adaptación basados en datos y escenarios de cambio climático e identificación de medidas de adaptación tomando como base mapas de riesgo y otras herramientas innovadoras. Estas actividades se </w:t>
      </w:r>
      <w:r w:rsidRPr="009E6F18">
        <w:rPr>
          <w:rFonts w:ascii="Roboto" w:eastAsia="Roboto" w:hAnsi="Roboto" w:cs="Roboto"/>
        </w:rPr>
        <w:t xml:space="preserve">podrían </w:t>
      </w:r>
      <w:r>
        <w:rPr>
          <w:rFonts w:ascii="Roboto" w:eastAsia="Roboto" w:hAnsi="Roboto" w:cs="Roboto"/>
          <w:color w:val="000000"/>
        </w:rPr>
        <w:t xml:space="preserve">enmarcar en </w:t>
      </w:r>
      <w:r>
        <w:rPr>
          <w:rFonts w:ascii="Roboto" w:eastAsia="Roboto" w:hAnsi="Roboto" w:cs="Roboto"/>
        </w:rPr>
        <w:t xml:space="preserve">la Plataforma Regional de Cooperación sobre Cambio Climático para América Latina y el Caribe </w:t>
      </w:r>
      <w:bookmarkStart w:id="23" w:name="_GoBack"/>
      <w:bookmarkEnd w:id="23"/>
      <w:r>
        <w:rPr>
          <w:rFonts w:ascii="Roboto" w:eastAsia="Roboto" w:hAnsi="Roboto" w:cs="Roboto"/>
          <w:color w:val="000000"/>
        </w:rPr>
        <w:t>del Foro de Ministros (decisión 7).</w:t>
      </w:r>
    </w:p>
    <w:p w14:paraId="5D3F6F44" w14:textId="77777777" w:rsidR="008A0D96" w:rsidRDefault="008A0D96">
      <w:pPr>
        <w:pBdr>
          <w:top w:val="nil"/>
          <w:left w:val="nil"/>
          <w:bottom w:val="nil"/>
          <w:right w:val="nil"/>
          <w:between w:val="nil"/>
        </w:pBdr>
        <w:spacing w:after="0" w:line="240" w:lineRule="auto"/>
        <w:ind w:left="720" w:hanging="720"/>
        <w:jc w:val="both"/>
        <w:rPr>
          <w:rFonts w:ascii="Roboto" w:eastAsia="Roboto" w:hAnsi="Roboto" w:cs="Roboto"/>
          <w:color w:val="000000"/>
        </w:rPr>
      </w:pPr>
    </w:p>
    <w:p w14:paraId="659C7598" w14:textId="77777777" w:rsidR="008A0D96" w:rsidRDefault="00526AE1">
      <w:pPr>
        <w:numPr>
          <w:ilvl w:val="0"/>
          <w:numId w:val="4"/>
        </w:numPr>
        <w:pBdr>
          <w:top w:val="nil"/>
          <w:left w:val="nil"/>
          <w:bottom w:val="nil"/>
          <w:right w:val="nil"/>
          <w:between w:val="nil"/>
        </w:pBdr>
        <w:spacing w:after="0" w:line="240" w:lineRule="auto"/>
        <w:contextualSpacing/>
        <w:jc w:val="both"/>
        <w:rPr>
          <w:rFonts w:ascii="Roboto" w:eastAsia="Roboto" w:hAnsi="Roboto" w:cs="Roboto"/>
          <w:color w:val="000000"/>
        </w:rPr>
      </w:pPr>
      <w:bookmarkStart w:id="24" w:name="_z337ya" w:colFirst="0" w:colLast="0"/>
      <w:bookmarkEnd w:id="24"/>
      <w:r>
        <w:rPr>
          <w:rFonts w:ascii="Roboto" w:eastAsia="Roboto" w:hAnsi="Roboto" w:cs="Roboto"/>
          <w:color w:val="000000"/>
        </w:rPr>
        <w:lastRenderedPageBreak/>
        <w:t>El fortalecimiento de capacidades e intercambio de experiencias en materia de seguimiento de la adaptación, para la elaboración de un conjunto básico de indicadores de adaptación que permita la recopilación sistemática de datos a nivel regional y/o subregional, basado en las características biofísicas de contexto</w:t>
      </w:r>
      <w:r>
        <w:rPr>
          <w:rFonts w:ascii="Roboto" w:eastAsia="Roboto" w:hAnsi="Roboto" w:cs="Roboto"/>
        </w:rPr>
        <w:t xml:space="preserve"> y que considere los diferentes enfoques y visiones que tienen los países. </w:t>
      </w:r>
      <w:r>
        <w:rPr>
          <w:rFonts w:ascii="Roboto" w:eastAsia="Roboto" w:hAnsi="Roboto" w:cs="Roboto"/>
          <w:color w:val="000000"/>
        </w:rPr>
        <w:t>Esta iniciativa contribuiría de forma complementaria al trabajo de armonización de los indicadores ILAC y los indicadores de los Objetivos de Desarrollo Sostenible, con objeto de evitar la duplicación de los mecanismos de reporte.</w:t>
      </w:r>
    </w:p>
    <w:p w14:paraId="3E5825A8" w14:textId="77777777" w:rsidR="008A0D96" w:rsidRDefault="008A0D96">
      <w:pPr>
        <w:spacing w:after="0" w:line="240" w:lineRule="auto"/>
        <w:rPr>
          <w:rFonts w:ascii="Roboto" w:eastAsia="Roboto" w:hAnsi="Roboto" w:cs="Roboto"/>
        </w:rPr>
      </w:pPr>
      <w:bookmarkStart w:id="25" w:name="_3j2qqm3" w:colFirst="0" w:colLast="0"/>
      <w:bookmarkEnd w:id="25"/>
    </w:p>
    <w:p w14:paraId="56A964EA" w14:textId="77777777" w:rsidR="008A0D96" w:rsidRDefault="00526AE1">
      <w:pPr>
        <w:pStyle w:val="Heading2"/>
      </w:pPr>
      <w:bookmarkStart w:id="26" w:name="_Toc525729225"/>
      <w:r>
        <w:t>Propuesta para el segmento ministerial</w:t>
      </w:r>
      <w:bookmarkEnd w:id="26"/>
    </w:p>
    <w:p w14:paraId="3B913867" w14:textId="77777777" w:rsidR="008A0D96" w:rsidRDefault="00526AE1" w:rsidP="00F2443A">
      <w:pPr>
        <w:pBdr>
          <w:top w:val="nil"/>
          <w:left w:val="nil"/>
          <w:bottom w:val="nil"/>
          <w:right w:val="nil"/>
          <w:between w:val="nil"/>
        </w:pBdr>
        <w:spacing w:after="0" w:line="240" w:lineRule="auto"/>
        <w:ind w:left="360"/>
        <w:contextualSpacing/>
        <w:jc w:val="both"/>
        <w:rPr>
          <w:rFonts w:ascii="Roboto" w:eastAsia="Roboto" w:hAnsi="Roboto" w:cs="Roboto"/>
          <w:color w:val="000000"/>
        </w:rPr>
      </w:pPr>
      <w:r>
        <w:rPr>
          <w:rFonts w:ascii="Roboto" w:eastAsia="Roboto" w:hAnsi="Roboto" w:cs="Roboto"/>
          <w:color w:val="000000"/>
        </w:rPr>
        <w:t xml:space="preserve">En base a las áreas potenciales de actuación enumeradas anteriormente, se propone que el segmento ministerial del Foro de Ministros, se aborden estas cuestiones: </w:t>
      </w:r>
    </w:p>
    <w:p w14:paraId="4D2DA7A0" w14:textId="77777777" w:rsidR="008A0D96" w:rsidRDefault="00526AE1">
      <w:pPr>
        <w:numPr>
          <w:ilvl w:val="0"/>
          <w:numId w:val="17"/>
        </w:numPr>
        <w:spacing w:after="0" w:line="240" w:lineRule="auto"/>
        <w:contextualSpacing/>
      </w:pPr>
      <w:r>
        <w:rPr>
          <w:rFonts w:ascii="Roboto" w:eastAsia="Roboto" w:hAnsi="Roboto" w:cs="Roboto"/>
        </w:rPr>
        <w:t xml:space="preserve">¿Qué experiencias exitosas de mapas de vulnerabilidad y riesgo existen que se puedan intercambiar entre países? </w:t>
      </w:r>
    </w:p>
    <w:p w14:paraId="6B8487A7" w14:textId="77777777" w:rsidR="008A0D96" w:rsidRDefault="00526AE1">
      <w:pPr>
        <w:numPr>
          <w:ilvl w:val="0"/>
          <w:numId w:val="17"/>
        </w:numPr>
        <w:spacing w:after="0" w:line="240" w:lineRule="auto"/>
        <w:contextualSpacing/>
      </w:pPr>
      <w:r>
        <w:rPr>
          <w:rFonts w:ascii="Roboto" w:eastAsia="Roboto" w:hAnsi="Roboto" w:cs="Roboto"/>
        </w:rPr>
        <w:t>¿Cómo pueden servir los mapas de vulnerabilidad y riesgo para la priorización de política pública en el corto, mediano y largo plazo?</w:t>
      </w:r>
    </w:p>
    <w:p w14:paraId="56550C66" w14:textId="77777777" w:rsidR="008A0D96" w:rsidRDefault="00526AE1">
      <w:pPr>
        <w:numPr>
          <w:ilvl w:val="0"/>
          <w:numId w:val="17"/>
        </w:numPr>
        <w:spacing w:after="0" w:line="240" w:lineRule="auto"/>
        <w:contextualSpacing/>
      </w:pPr>
      <w:r>
        <w:rPr>
          <w:rFonts w:ascii="Roboto" w:eastAsia="Roboto" w:hAnsi="Roboto" w:cs="Roboto"/>
        </w:rPr>
        <w:t xml:space="preserve">¿Cómo pueden los mapas de riesgo y vulnerabilidad dar pie a otros cambios que avancen la adaptación? </w:t>
      </w:r>
    </w:p>
    <w:p w14:paraId="17C99347" w14:textId="77777777" w:rsidR="008A0D96" w:rsidRDefault="00526AE1">
      <w:pPr>
        <w:numPr>
          <w:ilvl w:val="0"/>
          <w:numId w:val="17"/>
        </w:numPr>
        <w:spacing w:after="0" w:line="240" w:lineRule="auto"/>
        <w:contextualSpacing/>
      </w:pPr>
      <w:r>
        <w:rPr>
          <w:rFonts w:ascii="Roboto" w:eastAsia="Roboto" w:hAnsi="Roboto" w:cs="Roboto"/>
        </w:rPr>
        <w:t xml:space="preserve">¿Qué avances existen ya en el área de monitoreo de la adaptación en la región? ¿cuál ha sido la escala de estos esfuerzos (a nivel de país o nivel subnacional), y de los indicadores creados? </w:t>
      </w:r>
    </w:p>
    <w:p w14:paraId="2B23C5B0" w14:textId="77777777" w:rsidR="008A0D96" w:rsidRDefault="00526AE1">
      <w:pPr>
        <w:numPr>
          <w:ilvl w:val="0"/>
          <w:numId w:val="17"/>
        </w:numPr>
        <w:spacing w:after="0" w:line="240" w:lineRule="auto"/>
        <w:contextualSpacing/>
      </w:pPr>
      <w:r>
        <w:rPr>
          <w:rFonts w:ascii="Roboto" w:eastAsia="Roboto" w:hAnsi="Roboto" w:cs="Roboto"/>
        </w:rPr>
        <w:t>¿Existen lecciones que puedan aprenderse de mitigación para la creación y seguimiento de un sistema de monitoreo?</w:t>
      </w:r>
    </w:p>
    <w:p w14:paraId="1663C1F0" w14:textId="77777777" w:rsidR="008A0D96" w:rsidRDefault="00526AE1">
      <w:pPr>
        <w:numPr>
          <w:ilvl w:val="0"/>
          <w:numId w:val="17"/>
        </w:numPr>
        <w:spacing w:after="0" w:line="240" w:lineRule="auto"/>
        <w:contextualSpacing/>
      </w:pPr>
      <w:r>
        <w:rPr>
          <w:rFonts w:ascii="Roboto" w:eastAsia="Roboto" w:hAnsi="Roboto" w:cs="Roboto"/>
        </w:rPr>
        <w:t xml:space="preserve">¿Cuál es la mejor manera de intercambiar experiencias para entender los escenarios climáticos comunes </w:t>
      </w:r>
      <w:proofErr w:type="gramStart"/>
      <w:r>
        <w:rPr>
          <w:rFonts w:ascii="Roboto" w:eastAsia="Roboto" w:hAnsi="Roboto" w:cs="Roboto"/>
        </w:rPr>
        <w:t>de acuerdo a</w:t>
      </w:r>
      <w:proofErr w:type="gramEnd"/>
      <w:r>
        <w:rPr>
          <w:rFonts w:ascii="Roboto" w:eastAsia="Roboto" w:hAnsi="Roboto" w:cs="Roboto"/>
        </w:rPr>
        <w:t xml:space="preserve"> las características biofísicas? </w:t>
      </w:r>
    </w:p>
    <w:p w14:paraId="0C13D53B" w14:textId="77777777" w:rsidR="008A0D96" w:rsidRDefault="008A0D96" w:rsidP="009E6F18">
      <w:pPr>
        <w:spacing w:after="0" w:line="240" w:lineRule="auto"/>
        <w:ind w:left="720"/>
        <w:contextualSpacing/>
      </w:pPr>
    </w:p>
    <w:p w14:paraId="6FE7DF05" w14:textId="77777777" w:rsidR="008A0D96" w:rsidRDefault="00526AE1">
      <w:pPr>
        <w:rPr>
          <w:color w:val="2F5496"/>
          <w:sz w:val="32"/>
          <w:szCs w:val="32"/>
        </w:rPr>
      </w:pPr>
      <w:r>
        <w:br w:type="page"/>
      </w:r>
    </w:p>
    <w:p w14:paraId="2D63B190" w14:textId="77777777" w:rsidR="008A0D96" w:rsidRDefault="00526AE1">
      <w:pPr>
        <w:pStyle w:val="Heading1"/>
        <w:spacing w:line="240" w:lineRule="auto"/>
        <w:rPr>
          <w:rFonts w:ascii="Roboto" w:eastAsia="Roboto" w:hAnsi="Roboto" w:cs="Roboto"/>
        </w:rPr>
      </w:pPr>
      <w:bookmarkStart w:id="27" w:name="_Toc525729226"/>
      <w:r>
        <w:rPr>
          <w:rFonts w:ascii="Roboto" w:eastAsia="Roboto" w:hAnsi="Roboto" w:cs="Roboto"/>
        </w:rPr>
        <w:lastRenderedPageBreak/>
        <w:t>La plataforma de cambio climático del Foro de Ministros: oportunidad para fortalecer la cooperación regional</w:t>
      </w:r>
      <w:bookmarkEnd w:id="27"/>
    </w:p>
    <w:p w14:paraId="649FA6C5" w14:textId="77777777" w:rsidR="008A0D96" w:rsidRDefault="008A0D96">
      <w:pPr>
        <w:spacing w:after="120" w:line="240" w:lineRule="auto"/>
        <w:jc w:val="both"/>
        <w:rPr>
          <w:rFonts w:ascii="Roboto" w:eastAsia="Roboto" w:hAnsi="Roboto" w:cs="Roboto"/>
        </w:rPr>
      </w:pPr>
    </w:p>
    <w:p w14:paraId="5BCDBC04" w14:textId="77777777" w:rsidR="008A0D96" w:rsidRPr="009E6F18" w:rsidRDefault="00526AE1" w:rsidP="009E6F18">
      <w:pPr>
        <w:numPr>
          <w:ilvl w:val="0"/>
          <w:numId w:val="5"/>
        </w:numPr>
        <w:jc w:val="both"/>
        <w:rPr>
          <w:rFonts w:ascii="Roboto" w:eastAsia="Roboto" w:hAnsi="Roboto" w:cs="Roboto"/>
        </w:rPr>
      </w:pPr>
      <w:r>
        <w:rPr>
          <w:rFonts w:ascii="Roboto" w:eastAsia="Roboto" w:hAnsi="Roboto" w:cs="Roboto"/>
        </w:rPr>
        <w:t xml:space="preserve">En el XX Foro de Ministros de Medio Ambiente de América Latina y el Caribe en Cartagena 2016, los Ministros adoptaron la Declaración de Cartagena, incluida la decisión de “Establecer una Plataforma Regional de Cooperación sobre Cambio Climático para América Latina y el Caribe, de participación voluntaria, la cual será liderada por los países de la región y comprenderá tres áreas prioritarias clave: (1) diálogo e intercambio de experiencias sobre políticas públicas climáticas; (2) acción climática tanto en adaptación, mitigación y pérdidas y daños; y (3) financiamiento y otros medios de implementación, incluyendo la transferencia de tecnologías, y ciencia climática y creación de capacidades y que promoverá la cooperación regional sobre cambio climático de forma progresiva”. Para avanzar en la decisión adoptada, durante la XXI edición del Foro, la Presidencia alienta a los </w:t>
      </w:r>
      <w:proofErr w:type="gramStart"/>
      <w:r>
        <w:rPr>
          <w:rFonts w:ascii="Roboto" w:eastAsia="Roboto" w:hAnsi="Roboto" w:cs="Roboto"/>
        </w:rPr>
        <w:t>Ministros</w:t>
      </w:r>
      <w:proofErr w:type="gramEnd"/>
      <w:r>
        <w:rPr>
          <w:rFonts w:ascii="Roboto" w:eastAsia="Roboto" w:hAnsi="Roboto" w:cs="Roboto"/>
        </w:rPr>
        <w:t xml:space="preserve"> a discutir las posibilidades de establecer la base política de la Plataforma Regional de Cooperación sobre Cambio Climático para América Latina y el Caribe que fomentará una coordinación más estrecha dentro de la región.</w:t>
      </w:r>
      <w:bookmarkStart w:id="28" w:name="_2xcytpi" w:colFirst="0" w:colLast="0"/>
      <w:bookmarkEnd w:id="28"/>
    </w:p>
    <w:p w14:paraId="7EB2C73B" w14:textId="77777777" w:rsidR="008A0D96" w:rsidRPr="009E6F18" w:rsidRDefault="00526AE1" w:rsidP="009E6F18">
      <w:pPr>
        <w:numPr>
          <w:ilvl w:val="0"/>
          <w:numId w:val="5"/>
        </w:numPr>
        <w:jc w:val="both"/>
        <w:rPr>
          <w:rFonts w:ascii="Roboto" w:eastAsia="Roboto" w:hAnsi="Roboto" w:cs="Roboto"/>
        </w:rPr>
      </w:pPr>
      <w:r w:rsidRPr="009E6F18">
        <w:rPr>
          <w:rFonts w:ascii="Roboto" w:eastAsia="Roboto" w:hAnsi="Roboto" w:cs="Roboto"/>
        </w:rPr>
        <w:t xml:space="preserve">Se recomienda que se determinen los objetivos de la Plataforma, su estructura y reglas de procedimientos y, a la vez, que los países de América Latina y el Caribe (ALC) exploren las sinergias con las iniciativas existentes alineadas con los objetivos de la plataforma. Considerando que en la reunión </w:t>
      </w:r>
      <w:proofErr w:type="spellStart"/>
      <w:r w:rsidRPr="009E6F18">
        <w:rPr>
          <w:rFonts w:ascii="Roboto" w:eastAsia="Roboto" w:hAnsi="Roboto" w:cs="Roboto"/>
        </w:rPr>
        <w:t>intersesional</w:t>
      </w:r>
      <w:proofErr w:type="spellEnd"/>
      <w:r w:rsidRPr="009E6F18">
        <w:rPr>
          <w:rFonts w:ascii="Roboto" w:eastAsia="Roboto" w:hAnsi="Roboto" w:cs="Roboto"/>
        </w:rPr>
        <w:t xml:space="preserve"> del Foro de octubre de 2017 celebrada en Bogotá, Colombia “... a pesar de no disponer de financiación específica para la plataforma, los países de la región han avanzado sustancialmente en este programa de trabajo aprovechando la oportunidad que representa la existencia de plataformas de cambio climático que ya cuentan con financiación y con una trayectoria de trabajo en cambio climático, principalmente el Portal Regional para la Transferencia de Tecnología y Acción frente al Cambio Climático en América Latina y el Caribe (REGATTA) y Clima Lac en el marco de </w:t>
      </w:r>
      <w:proofErr w:type="spellStart"/>
      <w:r w:rsidRPr="009E6F18">
        <w:rPr>
          <w:rFonts w:ascii="Roboto" w:eastAsia="Roboto" w:hAnsi="Roboto" w:cs="Roboto"/>
        </w:rPr>
        <w:t>Euroclima</w:t>
      </w:r>
      <w:proofErr w:type="spellEnd"/>
      <w:r>
        <w:rPr>
          <w:rFonts w:ascii="Roboto" w:eastAsia="Roboto" w:hAnsi="Roboto" w:cs="Roboto"/>
          <w:color w:val="000000"/>
          <w:vertAlign w:val="superscript"/>
        </w:rPr>
        <w:footnoteReference w:id="11"/>
      </w:r>
      <w:r w:rsidRPr="009E6F18">
        <w:rPr>
          <w:rFonts w:ascii="Roboto" w:eastAsia="Roboto" w:hAnsi="Roboto" w:cs="Roboto"/>
        </w:rPr>
        <w:t xml:space="preserve">”. Asimismo, una mayor cooperación birregional entre la región de América Latina y el Caribe, y la Unión Europea a través de la Plataforma; estaría en armonía con </w:t>
      </w:r>
      <w:proofErr w:type="gramStart"/>
      <w:r w:rsidRPr="009E6F18">
        <w:rPr>
          <w:rFonts w:ascii="Roboto" w:eastAsia="Roboto" w:hAnsi="Roboto" w:cs="Roboto"/>
        </w:rPr>
        <w:t>el  Plan</w:t>
      </w:r>
      <w:proofErr w:type="gramEnd"/>
      <w:r w:rsidRPr="009E6F18">
        <w:rPr>
          <w:rFonts w:ascii="Roboto" w:eastAsia="Roboto" w:hAnsi="Roboto" w:cs="Roboto"/>
        </w:rPr>
        <w:t xml:space="preserve"> de Acción UE-CELAC</w:t>
      </w:r>
      <w:r>
        <w:rPr>
          <w:rFonts w:ascii="Roboto" w:eastAsia="Roboto" w:hAnsi="Roboto" w:cs="Roboto"/>
          <w:color w:val="000000"/>
          <w:vertAlign w:val="superscript"/>
        </w:rPr>
        <w:footnoteReference w:id="12"/>
      </w:r>
      <w:r w:rsidRPr="009E6F18">
        <w:t>.</w:t>
      </w:r>
    </w:p>
    <w:p w14:paraId="2B922436" w14:textId="77777777" w:rsidR="008A0D96" w:rsidRPr="009E6F18" w:rsidRDefault="00526AE1" w:rsidP="009E6F18">
      <w:pPr>
        <w:numPr>
          <w:ilvl w:val="0"/>
          <w:numId w:val="5"/>
        </w:numPr>
        <w:jc w:val="both"/>
        <w:rPr>
          <w:rFonts w:ascii="Roboto" w:eastAsia="Roboto" w:hAnsi="Roboto" w:cs="Roboto"/>
        </w:rPr>
      </w:pPr>
      <w:r w:rsidRPr="009E6F18">
        <w:rPr>
          <w:rFonts w:ascii="Roboto" w:eastAsia="Roboto" w:hAnsi="Roboto" w:cs="Roboto"/>
        </w:rPr>
        <w:t>En línea con lo anterior y dada la convergencia de sus respectivos objetivos, los Ministros de los países de ALC invitan a la UE a compartir las experiencias de sus programas regionales, en particular EUROCLIMA + y otros programas similares que se aplican al Caribe, para apoyar la Plataforma. Se podría discutir sobre áreas de cooperación en todos los aspectos de la mitigación y adaptación al cambio climático, como la implementación de las contribuciones nacionalmente determinadas (</w:t>
      </w:r>
      <w:proofErr w:type="spellStart"/>
      <w:r w:rsidRPr="009E6F18">
        <w:rPr>
          <w:rFonts w:ascii="Roboto" w:eastAsia="Roboto" w:hAnsi="Roboto" w:cs="Roboto"/>
        </w:rPr>
        <w:t>NDCs</w:t>
      </w:r>
      <w:proofErr w:type="spellEnd"/>
      <w:r w:rsidRPr="009E6F18">
        <w:rPr>
          <w:rFonts w:ascii="Roboto" w:eastAsia="Roboto" w:hAnsi="Roboto" w:cs="Roboto"/>
        </w:rPr>
        <w:t xml:space="preserve"> por sus siglas en inglés) y las prioridades de inversión. La cooperación entre la UE y la Plataforma podría llevarse a cabo a través de: </w:t>
      </w:r>
      <w:r w:rsidRPr="009E6F18">
        <w:rPr>
          <w:rFonts w:ascii="Roboto" w:eastAsia="Roboto" w:hAnsi="Roboto" w:cs="Roboto"/>
        </w:rPr>
        <w:lastRenderedPageBreak/>
        <w:t>reuniones regulares, el uso de herramientas de tecnología moderna (</w:t>
      </w:r>
      <w:proofErr w:type="spellStart"/>
      <w:r w:rsidRPr="009E6F18">
        <w:rPr>
          <w:rFonts w:ascii="Roboto" w:eastAsia="Roboto" w:hAnsi="Roboto" w:cs="Roboto"/>
        </w:rPr>
        <w:t>e.g</w:t>
      </w:r>
      <w:proofErr w:type="spellEnd"/>
      <w:r w:rsidRPr="009E6F18">
        <w:rPr>
          <w:rFonts w:ascii="Roboto" w:eastAsia="Roboto" w:hAnsi="Roboto" w:cs="Roboto"/>
        </w:rPr>
        <w:t>. seminarios en línea, redes, etcétera.), diálogos sobre políticas e intercambio de información tanto a nivel ministerial como técnico.</w:t>
      </w:r>
    </w:p>
    <w:p w14:paraId="2083F62C" w14:textId="77777777" w:rsidR="008A0D96" w:rsidRDefault="00526AE1">
      <w:pPr>
        <w:numPr>
          <w:ilvl w:val="0"/>
          <w:numId w:val="5"/>
        </w:numPr>
        <w:pBdr>
          <w:top w:val="nil"/>
          <w:left w:val="nil"/>
          <w:bottom w:val="nil"/>
          <w:right w:val="nil"/>
          <w:between w:val="nil"/>
        </w:pBdr>
        <w:spacing w:after="0" w:line="240" w:lineRule="auto"/>
        <w:contextualSpacing/>
        <w:jc w:val="both"/>
        <w:rPr>
          <w:rFonts w:ascii="Roboto" w:eastAsia="Roboto" w:hAnsi="Roboto" w:cs="Roboto"/>
          <w:color w:val="000000"/>
        </w:rPr>
      </w:pPr>
      <w:r>
        <w:rPr>
          <w:rFonts w:ascii="Roboto" w:eastAsia="Roboto" w:hAnsi="Roboto" w:cs="Roboto"/>
          <w:color w:val="000000"/>
        </w:rPr>
        <w:t xml:space="preserve">La Presidencia del Foro de Ministros de Medio Ambiente asumiría la presidencia de la Plataforma y liderará la supervisión de la implementación del plan de trabajo de la Plataforma durante el período de la Presidencia. </w:t>
      </w:r>
    </w:p>
    <w:p w14:paraId="0187C590" w14:textId="77777777" w:rsidR="008A0D96" w:rsidRDefault="008A0D96">
      <w:pPr>
        <w:pBdr>
          <w:top w:val="nil"/>
          <w:left w:val="nil"/>
          <w:bottom w:val="nil"/>
          <w:right w:val="nil"/>
          <w:between w:val="nil"/>
        </w:pBdr>
        <w:spacing w:after="0"/>
        <w:ind w:left="720" w:hanging="720"/>
        <w:rPr>
          <w:rFonts w:ascii="Roboto" w:eastAsia="Roboto" w:hAnsi="Roboto" w:cs="Roboto"/>
          <w:color w:val="000000"/>
        </w:rPr>
      </w:pPr>
    </w:p>
    <w:p w14:paraId="50B2D50B" w14:textId="77777777" w:rsidR="008A0D96" w:rsidRDefault="00526AE1">
      <w:pPr>
        <w:numPr>
          <w:ilvl w:val="0"/>
          <w:numId w:val="5"/>
        </w:numPr>
        <w:pBdr>
          <w:top w:val="nil"/>
          <w:left w:val="nil"/>
          <w:bottom w:val="nil"/>
          <w:right w:val="nil"/>
          <w:between w:val="nil"/>
        </w:pBdr>
        <w:spacing w:after="120" w:line="240" w:lineRule="auto"/>
        <w:contextualSpacing/>
        <w:jc w:val="both"/>
        <w:rPr>
          <w:rFonts w:ascii="Roboto" w:eastAsia="Roboto" w:hAnsi="Roboto" w:cs="Roboto"/>
          <w:color w:val="000000"/>
        </w:rPr>
      </w:pPr>
      <w:r>
        <w:rPr>
          <w:rFonts w:ascii="Roboto" w:eastAsia="Roboto" w:hAnsi="Roboto" w:cs="Roboto"/>
          <w:color w:val="000000"/>
        </w:rPr>
        <w:t xml:space="preserve">ONU Medio Ambiente, que ya sirve como Secretaría del Foro de Ministros de Medio Ambiente de ALC, y es la entidad ejecutora tanto de </w:t>
      </w:r>
      <w:proofErr w:type="spellStart"/>
      <w:r>
        <w:rPr>
          <w:rFonts w:ascii="Roboto" w:eastAsia="Roboto" w:hAnsi="Roboto" w:cs="Roboto"/>
          <w:color w:val="000000"/>
        </w:rPr>
        <w:t>Euroclima</w:t>
      </w:r>
      <w:proofErr w:type="spellEnd"/>
      <w:r>
        <w:rPr>
          <w:rFonts w:ascii="Roboto" w:eastAsia="Roboto" w:hAnsi="Roboto" w:cs="Roboto"/>
          <w:color w:val="000000"/>
        </w:rPr>
        <w:t>+ como de REGATTA, funcionaría como la Secretaría de la Plataforma.</w:t>
      </w:r>
    </w:p>
    <w:p w14:paraId="77A3D585" w14:textId="77777777" w:rsidR="008A0D96" w:rsidRDefault="008A0D96">
      <w:pPr>
        <w:pBdr>
          <w:top w:val="nil"/>
          <w:left w:val="nil"/>
          <w:bottom w:val="nil"/>
          <w:right w:val="nil"/>
          <w:between w:val="nil"/>
        </w:pBdr>
        <w:spacing w:after="120" w:line="240" w:lineRule="auto"/>
        <w:ind w:left="360"/>
        <w:jc w:val="both"/>
        <w:rPr>
          <w:rFonts w:ascii="Roboto" w:eastAsia="Roboto" w:hAnsi="Roboto" w:cs="Roboto"/>
        </w:rPr>
      </w:pPr>
    </w:p>
    <w:p w14:paraId="63434268" w14:textId="77777777" w:rsidR="008A0D96" w:rsidRDefault="00526AE1">
      <w:pPr>
        <w:pStyle w:val="Heading2"/>
      </w:pPr>
      <w:bookmarkStart w:id="29" w:name="_Toc525729227"/>
      <w:r>
        <w:t>Propuesta para el segmento ministerial</w:t>
      </w:r>
      <w:bookmarkEnd w:id="29"/>
    </w:p>
    <w:p w14:paraId="2657699F" w14:textId="77777777" w:rsidR="008A0D96" w:rsidRDefault="008A0D96">
      <w:pPr>
        <w:keepNext/>
        <w:keepLines/>
        <w:spacing w:after="0" w:line="240" w:lineRule="auto"/>
        <w:rPr>
          <w:rFonts w:ascii="Roboto" w:eastAsia="Roboto" w:hAnsi="Roboto" w:cs="Roboto"/>
          <w:color w:val="2F5496"/>
        </w:rPr>
      </w:pPr>
    </w:p>
    <w:p w14:paraId="027BCA70" w14:textId="77777777" w:rsidR="008A0D96" w:rsidRDefault="00526AE1">
      <w:pPr>
        <w:numPr>
          <w:ilvl w:val="0"/>
          <w:numId w:val="5"/>
        </w:numPr>
        <w:pBdr>
          <w:top w:val="nil"/>
          <w:left w:val="nil"/>
          <w:bottom w:val="nil"/>
          <w:right w:val="nil"/>
          <w:between w:val="nil"/>
        </w:pBdr>
        <w:spacing w:after="0" w:line="240" w:lineRule="auto"/>
        <w:contextualSpacing/>
        <w:jc w:val="both"/>
        <w:rPr>
          <w:rFonts w:ascii="Roboto" w:eastAsia="Roboto" w:hAnsi="Roboto" w:cs="Roboto"/>
          <w:color w:val="000000"/>
        </w:rPr>
      </w:pPr>
      <w:r>
        <w:rPr>
          <w:rFonts w:ascii="Roboto" w:eastAsia="Roboto" w:hAnsi="Roboto" w:cs="Roboto"/>
          <w:color w:val="000000"/>
        </w:rPr>
        <w:t>En base a las áreas potenciales de actuación enumeradas anteriormente, se propone que el segmento ministerial del Foro de Ministros, se aborden estas cuestiones:</w:t>
      </w:r>
    </w:p>
    <w:p w14:paraId="6211DDB6" w14:textId="77777777" w:rsidR="008A0D96" w:rsidRDefault="00526AE1">
      <w:pPr>
        <w:numPr>
          <w:ilvl w:val="0"/>
          <w:numId w:val="18"/>
        </w:numPr>
        <w:pBdr>
          <w:top w:val="nil"/>
          <w:left w:val="nil"/>
          <w:bottom w:val="nil"/>
          <w:right w:val="nil"/>
          <w:between w:val="nil"/>
        </w:pBdr>
        <w:spacing w:after="0"/>
        <w:contextualSpacing/>
        <w:rPr>
          <w:color w:val="000000"/>
        </w:rPr>
      </w:pPr>
      <w:r>
        <w:rPr>
          <w:rFonts w:ascii="Roboto" w:eastAsia="Roboto" w:hAnsi="Roboto" w:cs="Roboto"/>
          <w:color w:val="000000"/>
        </w:rPr>
        <w:t>¿Qué actividades voluntarias podría impulsar la Plataforma para contribuir a los países a que refuercen la integración regional?</w:t>
      </w:r>
    </w:p>
    <w:p w14:paraId="627383B5" w14:textId="77777777" w:rsidR="008A0D96" w:rsidRDefault="00526AE1">
      <w:pPr>
        <w:numPr>
          <w:ilvl w:val="0"/>
          <w:numId w:val="18"/>
        </w:numPr>
        <w:pBdr>
          <w:top w:val="nil"/>
          <w:left w:val="nil"/>
          <w:bottom w:val="nil"/>
          <w:right w:val="nil"/>
          <w:between w:val="nil"/>
        </w:pBdr>
        <w:spacing w:after="0"/>
        <w:contextualSpacing/>
        <w:rPr>
          <w:color w:val="000000"/>
        </w:rPr>
      </w:pPr>
      <w:r>
        <w:rPr>
          <w:rFonts w:ascii="Roboto" w:eastAsia="Roboto" w:hAnsi="Roboto" w:cs="Roboto"/>
          <w:color w:val="000000"/>
        </w:rPr>
        <w:t>¿Qué actividades en concreto podrían plantearse en materia de movilidad limpia y de planificación y seguimiento de las medidas de adaptación?</w:t>
      </w:r>
    </w:p>
    <w:p w14:paraId="04909983" w14:textId="77777777" w:rsidR="008A0D96" w:rsidRDefault="00526AE1">
      <w:pPr>
        <w:numPr>
          <w:ilvl w:val="0"/>
          <w:numId w:val="18"/>
        </w:numPr>
        <w:pBdr>
          <w:top w:val="nil"/>
          <w:left w:val="nil"/>
          <w:bottom w:val="nil"/>
          <w:right w:val="nil"/>
          <w:between w:val="nil"/>
        </w:pBdr>
        <w:spacing w:after="0"/>
        <w:contextualSpacing/>
        <w:rPr>
          <w:color w:val="000000"/>
        </w:rPr>
      </w:pPr>
      <w:r>
        <w:rPr>
          <w:rFonts w:ascii="Roboto" w:eastAsia="Roboto" w:hAnsi="Roboto" w:cs="Roboto"/>
          <w:color w:val="000000"/>
        </w:rPr>
        <w:t xml:space="preserve">¿Cómo podría darse una colaboración fluida y constante para la integración regional de las estrategias a largo plazo? </w:t>
      </w:r>
    </w:p>
    <w:p w14:paraId="3A5DF980" w14:textId="77777777" w:rsidR="008A0D96" w:rsidRDefault="00526AE1">
      <w:pPr>
        <w:numPr>
          <w:ilvl w:val="0"/>
          <w:numId w:val="18"/>
        </w:numPr>
        <w:pBdr>
          <w:top w:val="nil"/>
          <w:left w:val="nil"/>
          <w:bottom w:val="nil"/>
          <w:right w:val="nil"/>
          <w:between w:val="nil"/>
        </w:pBdr>
        <w:contextualSpacing/>
        <w:rPr>
          <w:color w:val="000000"/>
        </w:rPr>
      </w:pPr>
      <w:r>
        <w:rPr>
          <w:rFonts w:ascii="Roboto" w:eastAsia="Roboto" w:hAnsi="Roboto" w:cs="Roboto"/>
          <w:color w:val="000000"/>
        </w:rPr>
        <w:t xml:space="preserve">¿Cuál podría ser el rol de REGATTA, </w:t>
      </w:r>
      <w:proofErr w:type="spellStart"/>
      <w:r>
        <w:rPr>
          <w:rFonts w:ascii="Roboto" w:eastAsia="Roboto" w:hAnsi="Roboto" w:cs="Roboto"/>
          <w:color w:val="000000"/>
        </w:rPr>
        <w:t>Euroclima</w:t>
      </w:r>
      <w:proofErr w:type="spellEnd"/>
      <w:r>
        <w:rPr>
          <w:rFonts w:ascii="Roboto" w:eastAsia="Roboto" w:hAnsi="Roboto" w:cs="Roboto"/>
          <w:color w:val="000000"/>
        </w:rPr>
        <w:t xml:space="preserve">+ y sus iniciativas en la materia? </w:t>
      </w:r>
    </w:p>
    <w:sectPr w:rsidR="008A0D96">
      <w:headerReference w:type="default"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21288" w14:textId="77777777" w:rsidR="005001C6" w:rsidRDefault="005001C6">
      <w:pPr>
        <w:spacing w:after="0" w:line="240" w:lineRule="auto"/>
      </w:pPr>
      <w:r>
        <w:separator/>
      </w:r>
    </w:p>
  </w:endnote>
  <w:endnote w:type="continuationSeparator" w:id="0">
    <w:p w14:paraId="5A98FD0E" w14:textId="77777777" w:rsidR="005001C6" w:rsidRDefault="00500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Roboto">
    <w:altName w:val="Arial"/>
    <w:charset w:val="00"/>
    <w:family w:val="auto"/>
    <w:pitch w:val="default"/>
  </w:font>
  <w:font w:name="Cambria">
    <w:panose1 w:val="02040503050406030204"/>
    <w:charset w:val="00"/>
    <w:family w:val="roman"/>
    <w:pitch w:val="variable"/>
    <w:sig w:usb0="A00002EF" w:usb1="4000004B" w:usb2="00000000" w:usb3="00000000" w:csb0="0000019F" w:csb1="00000000"/>
  </w:font>
  <w:font w:name="Roboto Light">
    <w:altName w:val="Arial"/>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7AE98" w14:textId="77777777" w:rsidR="009E6F18" w:rsidRDefault="009E6F18">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6</w:t>
    </w:r>
    <w:r>
      <w:rPr>
        <w:color w:val="000000"/>
      </w:rPr>
      <w:fldChar w:fldCharType="end"/>
    </w:r>
  </w:p>
  <w:p w14:paraId="3361F5EF" w14:textId="77777777" w:rsidR="009E6F18" w:rsidRDefault="009E6F18">
    <w:pPr>
      <w:pBdr>
        <w:top w:val="nil"/>
        <w:left w:val="nil"/>
        <w:bottom w:val="nil"/>
        <w:right w:val="nil"/>
        <w:between w:val="nil"/>
      </w:pBdr>
      <w:ind w:hanging="720"/>
      <w:jc w:val="center"/>
      <w:rPr>
        <w:rFonts w:ascii="Roboto Light" w:eastAsia="Roboto Light" w:hAnsi="Roboto Light" w:cs="Roboto Light"/>
        <w:color w:val="80808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7DED3" w14:textId="77777777" w:rsidR="009E6F18" w:rsidRDefault="009E6F18">
    <w:pPr>
      <w:pBdr>
        <w:top w:val="nil"/>
        <w:left w:val="nil"/>
        <w:bottom w:val="nil"/>
        <w:right w:val="nil"/>
        <w:between w:val="nil"/>
      </w:pBdr>
      <w:tabs>
        <w:tab w:val="right" w:pos="935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F1C59D" w14:textId="77777777" w:rsidR="005001C6" w:rsidRDefault="005001C6">
      <w:pPr>
        <w:spacing w:after="0" w:line="240" w:lineRule="auto"/>
      </w:pPr>
      <w:r>
        <w:separator/>
      </w:r>
    </w:p>
  </w:footnote>
  <w:footnote w:type="continuationSeparator" w:id="0">
    <w:p w14:paraId="1D8BD95C" w14:textId="77777777" w:rsidR="005001C6" w:rsidRDefault="005001C6">
      <w:pPr>
        <w:spacing w:after="0" w:line="240" w:lineRule="auto"/>
      </w:pPr>
      <w:r>
        <w:continuationSeparator/>
      </w:r>
    </w:p>
  </w:footnote>
  <w:footnote w:id="1">
    <w:p w14:paraId="5062B75F" w14:textId="77777777" w:rsidR="009E6F18" w:rsidRDefault="009E6F18">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Ver UNFCCC (2017) “La Asamblea de la ONU para el Medio Ambiente aborda la amenaza mundial de la contaminación” </w:t>
      </w:r>
    </w:p>
    <w:p w14:paraId="7621953E" w14:textId="77777777" w:rsidR="009E6F18" w:rsidRDefault="009E6F18">
      <w:pPr>
        <w:pBdr>
          <w:top w:val="nil"/>
          <w:left w:val="nil"/>
          <w:bottom w:val="nil"/>
          <w:right w:val="nil"/>
          <w:between w:val="nil"/>
        </w:pBdr>
        <w:spacing w:after="0" w:line="240" w:lineRule="auto"/>
        <w:rPr>
          <w:color w:val="000000"/>
          <w:sz w:val="20"/>
          <w:szCs w:val="20"/>
        </w:rPr>
      </w:pPr>
      <w:r>
        <w:rPr>
          <w:color w:val="000000"/>
          <w:sz w:val="20"/>
          <w:szCs w:val="20"/>
        </w:rPr>
        <w:t xml:space="preserve"> </w:t>
      </w:r>
      <w:hyperlink r:id="rId1">
        <w:r>
          <w:rPr>
            <w:color w:val="0563C1"/>
            <w:sz w:val="20"/>
            <w:szCs w:val="20"/>
            <w:u w:val="single"/>
          </w:rPr>
          <w:t>https://unfccc.int/es/news/la-asamblea-de-la-onu-para-el-medio-ambiente-aborda-la-amenaza-mundial-de-la-contaminacion</w:t>
        </w:r>
      </w:hyperlink>
      <w:r>
        <w:rPr>
          <w:color w:val="000000"/>
          <w:sz w:val="20"/>
          <w:szCs w:val="20"/>
        </w:rPr>
        <w:t xml:space="preserve"> y </w:t>
      </w:r>
      <w:hyperlink r:id="rId2">
        <w:r>
          <w:rPr>
            <w:color w:val="0563C1"/>
            <w:sz w:val="20"/>
            <w:szCs w:val="20"/>
            <w:u w:val="single"/>
          </w:rPr>
          <w:t>https://papersmart.unon.org/resolution/uploads/k1708350s.pdf</w:t>
        </w:r>
      </w:hyperlink>
      <w:r>
        <w:rPr>
          <w:color w:val="000000"/>
          <w:sz w:val="20"/>
          <w:szCs w:val="20"/>
        </w:rPr>
        <w:t xml:space="preserve"> </w:t>
      </w:r>
    </w:p>
  </w:footnote>
  <w:footnote w:id="2">
    <w:p w14:paraId="016774A5" w14:textId="77777777" w:rsidR="009E6F18" w:rsidRDefault="009E6F18">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Ver más información en </w:t>
      </w:r>
      <w:hyperlink r:id="rId3">
        <w:r>
          <w:rPr>
            <w:color w:val="0563C1"/>
            <w:sz w:val="20"/>
            <w:szCs w:val="20"/>
            <w:u w:val="single"/>
          </w:rPr>
          <w:t>http://www.who.int/quantifying_ehimpacts/publications/preventing-disease/en/</w:t>
        </w:r>
      </w:hyperlink>
      <w:r>
        <w:rPr>
          <w:color w:val="000000"/>
          <w:sz w:val="20"/>
          <w:szCs w:val="20"/>
        </w:rPr>
        <w:t xml:space="preserve"> </w:t>
      </w:r>
    </w:p>
  </w:footnote>
  <w:footnote w:id="3">
    <w:p w14:paraId="78F2A100" w14:textId="77777777" w:rsidR="009E6F18" w:rsidRDefault="009E6F18">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Ver datos en la página “</w:t>
      </w:r>
      <w:proofErr w:type="spellStart"/>
      <w:r>
        <w:rPr>
          <w:color w:val="000000"/>
          <w:sz w:val="20"/>
          <w:szCs w:val="20"/>
        </w:rPr>
        <w:t>Breathe</w:t>
      </w:r>
      <w:proofErr w:type="spellEnd"/>
      <w:r>
        <w:rPr>
          <w:color w:val="000000"/>
          <w:sz w:val="20"/>
          <w:szCs w:val="20"/>
        </w:rPr>
        <w:t xml:space="preserve"> </w:t>
      </w:r>
      <w:proofErr w:type="spellStart"/>
      <w:r>
        <w:rPr>
          <w:color w:val="000000"/>
          <w:sz w:val="20"/>
          <w:szCs w:val="20"/>
        </w:rPr>
        <w:t>Life</w:t>
      </w:r>
      <w:proofErr w:type="spellEnd"/>
      <w:r>
        <w:rPr>
          <w:color w:val="000000"/>
          <w:sz w:val="20"/>
          <w:szCs w:val="20"/>
        </w:rPr>
        <w:t xml:space="preserve">”:  </w:t>
      </w:r>
      <w:hyperlink r:id="rId4">
        <w:r>
          <w:rPr>
            <w:color w:val="0563C1"/>
            <w:sz w:val="20"/>
            <w:szCs w:val="20"/>
            <w:u w:val="single"/>
          </w:rPr>
          <w:t>http://breathelife2030.org/el-problema/?lang=es</w:t>
        </w:r>
      </w:hyperlink>
      <w:r>
        <w:rPr>
          <w:color w:val="000000"/>
          <w:sz w:val="20"/>
          <w:szCs w:val="20"/>
        </w:rPr>
        <w:t xml:space="preserve"> </w:t>
      </w:r>
    </w:p>
  </w:footnote>
  <w:footnote w:id="4">
    <w:p w14:paraId="0F176CA6" w14:textId="77777777" w:rsidR="009E6F18" w:rsidRPr="009E6F18" w:rsidRDefault="009E6F18">
      <w:pPr>
        <w:pBdr>
          <w:top w:val="nil"/>
          <w:left w:val="nil"/>
          <w:bottom w:val="nil"/>
          <w:right w:val="nil"/>
          <w:between w:val="nil"/>
        </w:pBdr>
        <w:spacing w:after="0" w:line="240" w:lineRule="auto"/>
        <w:rPr>
          <w:color w:val="000000"/>
          <w:sz w:val="20"/>
          <w:szCs w:val="20"/>
          <w:lang w:val="en-US"/>
        </w:rPr>
      </w:pPr>
      <w:r>
        <w:rPr>
          <w:vertAlign w:val="superscript"/>
        </w:rPr>
        <w:footnoteRef/>
      </w:r>
      <w:r w:rsidRPr="009E6F18">
        <w:rPr>
          <w:color w:val="000000"/>
          <w:sz w:val="20"/>
          <w:szCs w:val="20"/>
          <w:lang w:val="en-US"/>
        </w:rPr>
        <w:t xml:space="preserve"> Ver BBVA (2017) “Urbanization in Latin America”  </w:t>
      </w:r>
      <w:hyperlink r:id="rId5">
        <w:r w:rsidRPr="009E6F18">
          <w:rPr>
            <w:color w:val="0563C1"/>
            <w:sz w:val="20"/>
            <w:szCs w:val="20"/>
            <w:u w:val="single"/>
            <w:lang w:val="en-US"/>
          </w:rPr>
          <w:t>https://www.bbvaresearch.com/wp-content/uploads/2017/07/Urbanization-in-Latin-America-BBVA-Research.pdf</w:t>
        </w:r>
      </w:hyperlink>
      <w:r w:rsidRPr="009E6F18">
        <w:rPr>
          <w:color w:val="000000"/>
          <w:sz w:val="20"/>
          <w:szCs w:val="20"/>
          <w:lang w:val="en-US"/>
        </w:rPr>
        <w:t xml:space="preserve"> </w:t>
      </w:r>
    </w:p>
  </w:footnote>
  <w:footnote w:id="5">
    <w:p w14:paraId="10AFCDB0" w14:textId="77777777" w:rsidR="009E6F18" w:rsidRPr="009E6F18" w:rsidRDefault="009E6F18">
      <w:pPr>
        <w:pBdr>
          <w:top w:val="nil"/>
          <w:left w:val="nil"/>
          <w:bottom w:val="nil"/>
          <w:right w:val="nil"/>
          <w:between w:val="nil"/>
        </w:pBdr>
        <w:spacing w:after="0" w:line="240" w:lineRule="auto"/>
        <w:rPr>
          <w:color w:val="000000"/>
          <w:sz w:val="20"/>
          <w:szCs w:val="20"/>
          <w:lang w:val="en-US"/>
        </w:rPr>
      </w:pPr>
      <w:r>
        <w:rPr>
          <w:vertAlign w:val="superscript"/>
        </w:rPr>
        <w:footnoteRef/>
      </w:r>
      <w:r w:rsidRPr="009E6F18">
        <w:rPr>
          <w:color w:val="000000"/>
          <w:sz w:val="20"/>
          <w:szCs w:val="20"/>
          <w:lang w:val="en-US"/>
        </w:rPr>
        <w:t xml:space="preserve">  Ver Bloomberg (2018) Electric Vehicle Outlook 2018 </w:t>
      </w:r>
      <w:hyperlink r:id="rId6">
        <w:r w:rsidRPr="009E6F18">
          <w:rPr>
            <w:color w:val="0563C1"/>
            <w:sz w:val="20"/>
            <w:szCs w:val="20"/>
            <w:u w:val="single"/>
            <w:lang w:val="en-US"/>
          </w:rPr>
          <w:t>https://about.bnef.com/electric-vehicle-outlook/</w:t>
        </w:r>
      </w:hyperlink>
      <w:r w:rsidRPr="009E6F18">
        <w:rPr>
          <w:color w:val="000000"/>
          <w:sz w:val="20"/>
          <w:szCs w:val="20"/>
          <w:lang w:val="en-US"/>
        </w:rPr>
        <w:t xml:space="preserve"> </w:t>
      </w:r>
    </w:p>
  </w:footnote>
  <w:footnote w:id="6">
    <w:p w14:paraId="437280F3" w14:textId="77777777" w:rsidR="009E6F18" w:rsidRDefault="009E6F18">
      <w:pPr>
        <w:spacing w:after="0" w:line="240" w:lineRule="auto"/>
        <w:rPr>
          <w:sz w:val="18"/>
          <w:szCs w:val="18"/>
        </w:rPr>
      </w:pPr>
      <w:r>
        <w:rPr>
          <w:vertAlign w:val="superscript"/>
        </w:rPr>
        <w:footnoteRef/>
      </w:r>
      <w:r>
        <w:rPr>
          <w:sz w:val="18"/>
          <w:szCs w:val="18"/>
        </w:rPr>
        <w:t xml:space="preserve"> Dato obtenido de análisis del NDC </w:t>
      </w:r>
      <w:proofErr w:type="spellStart"/>
      <w:r>
        <w:rPr>
          <w:sz w:val="18"/>
          <w:szCs w:val="18"/>
        </w:rPr>
        <w:t>Partnership</w:t>
      </w:r>
      <w:proofErr w:type="spellEnd"/>
      <w:r>
        <w:rPr>
          <w:sz w:val="18"/>
          <w:szCs w:val="18"/>
        </w:rPr>
        <w:t xml:space="preserve"> y se concentra en países de América Latina, continental. </w:t>
      </w:r>
    </w:p>
  </w:footnote>
  <w:footnote w:id="7">
    <w:p w14:paraId="1AC9C3F8" w14:textId="77777777" w:rsidR="009E6F18" w:rsidRDefault="009E6F18">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18"/>
          <w:szCs w:val="18"/>
        </w:rPr>
        <w:t xml:space="preserve"> Ver Foro Económico Mundial (2018) Cuarta Revolución Industrial https://es.weforum.org/focus/centro-para-la-cuarta-revolucion-industrial</w:t>
      </w:r>
    </w:p>
  </w:footnote>
  <w:footnote w:id="8">
    <w:p w14:paraId="496FC4D4" w14:textId="77777777" w:rsidR="009E6F18" w:rsidRDefault="009E6F18">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18"/>
          <w:szCs w:val="18"/>
        </w:rPr>
        <w:t xml:space="preserve"> Ver ONU Medio Ambiente (2018) Oportunidades http://movelatam.org/Movilidad%20electrica_%20Oportunidades%20para%20AL.pdf</w:t>
      </w:r>
    </w:p>
  </w:footnote>
  <w:footnote w:id="9">
    <w:p w14:paraId="5FDEDAA5" w14:textId="77777777" w:rsidR="009E6F18" w:rsidRDefault="009E6F18">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La Decisión de la CMNUCC CP.21 que adopta el Acuerdo de París “invita a las Partes a que comuniquen a la </w:t>
      </w:r>
      <w:proofErr w:type="spellStart"/>
      <w:r>
        <w:rPr>
          <w:color w:val="000000"/>
          <w:sz w:val="20"/>
          <w:szCs w:val="20"/>
        </w:rPr>
        <w:t>secretaría</w:t>
      </w:r>
      <w:proofErr w:type="spellEnd"/>
      <w:r>
        <w:rPr>
          <w:color w:val="000000"/>
          <w:sz w:val="20"/>
          <w:szCs w:val="20"/>
        </w:rPr>
        <w:t xml:space="preserve">, en 2020 a </w:t>
      </w:r>
      <w:proofErr w:type="spellStart"/>
      <w:r>
        <w:rPr>
          <w:color w:val="000000"/>
          <w:sz w:val="20"/>
          <w:szCs w:val="20"/>
        </w:rPr>
        <w:t>más</w:t>
      </w:r>
      <w:proofErr w:type="spellEnd"/>
      <w:r>
        <w:rPr>
          <w:color w:val="000000"/>
          <w:sz w:val="20"/>
          <w:szCs w:val="20"/>
        </w:rPr>
        <w:t xml:space="preserve"> tardar, estrategias de desarrollo con bajas emisiones de gases de efecto invernadero a largo plazo, con vistas a mediados de siglo, de conformidad con lo dispuesto en el </w:t>
      </w:r>
      <w:proofErr w:type="spellStart"/>
      <w:r>
        <w:rPr>
          <w:color w:val="000000"/>
          <w:sz w:val="20"/>
          <w:szCs w:val="20"/>
        </w:rPr>
        <w:t>artículo</w:t>
      </w:r>
      <w:proofErr w:type="spellEnd"/>
      <w:r>
        <w:rPr>
          <w:color w:val="000000"/>
          <w:sz w:val="20"/>
          <w:szCs w:val="20"/>
        </w:rPr>
        <w:t xml:space="preserve"> 4, </w:t>
      </w:r>
      <w:proofErr w:type="spellStart"/>
      <w:r>
        <w:rPr>
          <w:color w:val="000000"/>
          <w:sz w:val="20"/>
          <w:szCs w:val="20"/>
        </w:rPr>
        <w:t>párrafo</w:t>
      </w:r>
      <w:proofErr w:type="spellEnd"/>
      <w:r>
        <w:rPr>
          <w:color w:val="000000"/>
          <w:sz w:val="20"/>
          <w:szCs w:val="20"/>
        </w:rPr>
        <w:t xml:space="preserve"> 19, del Acuerdo, y pide a la </w:t>
      </w:r>
      <w:proofErr w:type="spellStart"/>
      <w:r>
        <w:rPr>
          <w:color w:val="000000"/>
          <w:sz w:val="20"/>
          <w:szCs w:val="20"/>
        </w:rPr>
        <w:t>secretaría</w:t>
      </w:r>
      <w:proofErr w:type="spellEnd"/>
      <w:r>
        <w:rPr>
          <w:color w:val="000000"/>
          <w:sz w:val="20"/>
          <w:szCs w:val="20"/>
        </w:rPr>
        <w:t xml:space="preserve"> que haga </w:t>
      </w:r>
      <w:proofErr w:type="spellStart"/>
      <w:r>
        <w:rPr>
          <w:color w:val="000000"/>
          <w:sz w:val="20"/>
          <w:szCs w:val="20"/>
        </w:rPr>
        <w:t>públicas</w:t>
      </w:r>
      <w:proofErr w:type="spellEnd"/>
      <w:r>
        <w:rPr>
          <w:color w:val="000000"/>
          <w:sz w:val="20"/>
          <w:szCs w:val="20"/>
        </w:rPr>
        <w:t xml:space="preserve">, en el sitio web de la </w:t>
      </w:r>
      <w:proofErr w:type="spellStart"/>
      <w:r>
        <w:rPr>
          <w:color w:val="000000"/>
          <w:sz w:val="20"/>
          <w:szCs w:val="20"/>
        </w:rPr>
        <w:t>Convención</w:t>
      </w:r>
      <w:proofErr w:type="spellEnd"/>
      <w:r>
        <w:rPr>
          <w:color w:val="000000"/>
          <w:sz w:val="20"/>
          <w:szCs w:val="20"/>
        </w:rPr>
        <w:t xml:space="preserve"> Marco las estrategias que comuniquen las Partes a este respecto. </w:t>
      </w:r>
    </w:p>
  </w:footnote>
  <w:footnote w:id="10">
    <w:p w14:paraId="0376DFC9" w14:textId="77777777" w:rsidR="009E6F18" w:rsidRPr="009E6F18" w:rsidRDefault="009E6F18">
      <w:pPr>
        <w:spacing w:after="0" w:line="240" w:lineRule="auto"/>
        <w:rPr>
          <w:sz w:val="20"/>
          <w:szCs w:val="20"/>
        </w:rPr>
      </w:pPr>
      <w:r>
        <w:rPr>
          <w:vertAlign w:val="superscript"/>
        </w:rPr>
        <w:footnoteRef/>
      </w:r>
      <w:r w:rsidRPr="009E6F18">
        <w:rPr>
          <w:sz w:val="20"/>
          <w:szCs w:val="20"/>
        </w:rPr>
        <w:t xml:space="preserve"> </w:t>
      </w:r>
      <w:hyperlink r:id="rId7" w:history="1">
        <w:r>
          <w:rPr>
            <w:sz w:val="20"/>
            <w:szCs w:val="20"/>
          </w:rPr>
          <w:t>Sistema de Mapas de Riesgo del Cambio Climático - SIMARCC</w:t>
        </w:r>
      </w:hyperlink>
      <w:r w:rsidRPr="009E6F18">
        <w:rPr>
          <w:sz w:val="20"/>
          <w:szCs w:val="20"/>
        </w:rPr>
        <w:t xml:space="preserve"> (http://simarcc.ambiente.gob.ar/)</w:t>
      </w:r>
    </w:p>
  </w:footnote>
  <w:footnote w:id="11">
    <w:p w14:paraId="0273CE75" w14:textId="77777777" w:rsidR="009E6F18" w:rsidRDefault="009E6F18">
      <w:pPr>
        <w:spacing w:after="0" w:line="240" w:lineRule="auto"/>
        <w:jc w:val="both"/>
        <w:rPr>
          <w:color w:val="000000"/>
        </w:rPr>
      </w:pPr>
      <w:r>
        <w:rPr>
          <w:vertAlign w:val="superscript"/>
        </w:rPr>
        <w:footnoteRef/>
      </w:r>
      <w:r>
        <w:rPr>
          <w:color w:val="000000"/>
        </w:rPr>
        <w:t xml:space="preserve"> ONU Medio Ambiente, Informe de la Reunión </w:t>
      </w:r>
      <w:proofErr w:type="spellStart"/>
      <w:r>
        <w:rPr>
          <w:color w:val="000000"/>
        </w:rPr>
        <w:t>Intersesional</w:t>
      </w:r>
      <w:proofErr w:type="spellEnd"/>
      <w:r>
        <w:rPr>
          <w:color w:val="000000"/>
        </w:rPr>
        <w:t xml:space="preserve"> de Alto Nivel del Foro de Ministros de Medio Ambiente de América Latina y el Caribe y Consulta Regional para la Tercera Asamblea de las Naciones Unidas para el Medio Ambiente, 26 de octubre de 2017, (</w:t>
      </w:r>
      <w:hyperlink r:id="rId8" w:history="1">
        <w:r>
          <w:rPr>
            <w:color w:val="1155CC"/>
            <w:sz w:val="20"/>
            <w:szCs w:val="20"/>
            <w:u w:val="single"/>
          </w:rPr>
          <w:t>https://wedocs.unep.org/bitstream/handle/20.500.11822/22238/UNEPLAC-IC.2017-4%20Esp.pdf?sequence=4&amp;isAllowed=y</w:t>
        </w:r>
      </w:hyperlink>
      <w:r>
        <w:rPr>
          <w:color w:val="000000"/>
        </w:rPr>
        <w:t xml:space="preserve">). </w:t>
      </w:r>
    </w:p>
  </w:footnote>
  <w:footnote w:id="12">
    <w:p w14:paraId="2FC406F7" w14:textId="77777777" w:rsidR="009E6F18" w:rsidRDefault="009E6F18">
      <w:pPr>
        <w:spacing w:after="0" w:line="240" w:lineRule="auto"/>
        <w:jc w:val="both"/>
        <w:rPr>
          <w:color w:val="000000"/>
        </w:rPr>
      </w:pPr>
      <w:r>
        <w:rPr>
          <w:vertAlign w:val="superscript"/>
        </w:rPr>
        <w:footnoteRef/>
      </w:r>
      <w:r>
        <w:rPr>
          <w:color w:val="000000"/>
        </w:rPr>
        <w:t xml:space="preserve"> Por el momento, hay límites para que los países del Caribe puedan financiarse con programas como EUROCLIMA+, pero se podría buscar la cooperación con el Caribe y es probable que la distinción desaparezca con la entrada en vigor del nuevo instrumento de cooperación de la UE en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EE0D9" w14:textId="0C1F8A24" w:rsidR="009E6F18" w:rsidRDefault="009E6F18">
    <w:pPr>
      <w:jc w:val="right"/>
      <w:rPr>
        <w:rFonts w:ascii="Roboto Light" w:eastAsia="Roboto Light" w:hAnsi="Roboto Light" w:cs="Roboto Light"/>
        <w:color w:val="808080"/>
        <w:sz w:val="24"/>
        <w:szCs w:val="24"/>
      </w:rPr>
    </w:pPr>
    <w:r>
      <w:rPr>
        <w:rFonts w:ascii="Verdana" w:eastAsia="Verdana" w:hAnsi="Verdana" w:cs="Verdana"/>
        <w:b/>
        <w:sz w:val="18"/>
        <w:szCs w:val="18"/>
      </w:rPr>
      <w:t>UNEP/LAC-IG.XXI/</w:t>
    </w:r>
    <w:r w:rsidR="00FA1D2A">
      <w:rPr>
        <w:rFonts w:ascii="Verdana" w:eastAsia="Verdana" w:hAnsi="Verdana" w:cs="Verdana"/>
        <w:b/>
        <w:sz w:val="18"/>
        <w:szCs w:val="18"/>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25DE7" w14:textId="77777777" w:rsidR="009E6F18" w:rsidRDefault="009E6F18">
    <w:pPr>
      <w:widowControl w:val="0"/>
      <w:pBdr>
        <w:top w:val="nil"/>
        <w:left w:val="nil"/>
        <w:bottom w:val="nil"/>
        <w:right w:val="nil"/>
        <w:between w:val="nil"/>
      </w:pBdr>
      <w:spacing w:after="0" w:line="276" w:lineRule="auto"/>
      <w:rPr>
        <w:rFonts w:ascii="Roboto Light" w:eastAsia="Roboto Light" w:hAnsi="Roboto Light" w:cs="Roboto Light"/>
        <w:color w:val="808080"/>
        <w:sz w:val="20"/>
        <w:szCs w:val="20"/>
      </w:rPr>
    </w:pPr>
  </w:p>
  <w:tbl>
    <w:tblPr>
      <w:tblStyle w:val="a"/>
      <w:tblW w:w="10893" w:type="dxa"/>
      <w:tblInd w:w="-885" w:type="dxa"/>
      <w:tblLayout w:type="fixed"/>
      <w:tblLook w:val="0000" w:firstRow="0" w:lastRow="0" w:firstColumn="0" w:lastColumn="0" w:noHBand="0" w:noVBand="0"/>
    </w:tblPr>
    <w:tblGrid>
      <w:gridCol w:w="2610"/>
      <w:gridCol w:w="4503"/>
      <w:gridCol w:w="59"/>
      <w:gridCol w:w="3631"/>
      <w:gridCol w:w="90"/>
    </w:tblGrid>
    <w:tr w:rsidR="009E6F18" w14:paraId="299EE6CE" w14:textId="77777777">
      <w:tc>
        <w:tcPr>
          <w:tcW w:w="2610" w:type="dxa"/>
          <w:tcBorders>
            <w:bottom w:val="single" w:sz="24" w:space="0" w:color="000000"/>
          </w:tcBorders>
        </w:tcPr>
        <w:p w14:paraId="49B936DE" w14:textId="77777777" w:rsidR="009E6F18" w:rsidRDefault="009E6F18">
          <w:pPr>
            <w:pBdr>
              <w:top w:val="nil"/>
              <w:left w:val="nil"/>
              <w:bottom w:val="nil"/>
              <w:right w:val="nil"/>
              <w:between w:val="nil"/>
            </w:pBdr>
            <w:tabs>
              <w:tab w:val="center" w:pos="4419"/>
              <w:tab w:val="right" w:pos="8838"/>
            </w:tabs>
            <w:spacing w:after="0" w:line="240" w:lineRule="auto"/>
            <w:rPr>
              <w:color w:val="000000"/>
            </w:rPr>
          </w:pPr>
          <w:r>
            <w:rPr>
              <w:noProof/>
              <w:lang w:val="es-AR"/>
            </w:rPr>
            <w:drawing>
              <wp:anchor distT="0" distB="0" distL="0" distR="0" simplePos="0" relativeHeight="251658240" behindDoc="0" locked="0" layoutInCell="1" hidden="0" allowOverlap="1" wp14:anchorId="1ADC7E02" wp14:editId="17DAC502">
                <wp:simplePos x="0" y="0"/>
                <wp:positionH relativeFrom="margin">
                  <wp:posOffset>-845819</wp:posOffset>
                </wp:positionH>
                <wp:positionV relativeFrom="paragraph">
                  <wp:posOffset>4445</wp:posOffset>
                </wp:positionV>
                <wp:extent cx="725424" cy="621792"/>
                <wp:effectExtent l="0" t="0" r="0" b="0"/>
                <wp:wrapSquare wrapText="bothSides" distT="0" distB="0" distL="0" distR="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25424" cy="621792"/>
                        </a:xfrm>
                        <a:prstGeom prst="rect">
                          <a:avLst/>
                        </a:prstGeom>
                        <a:ln/>
                      </pic:spPr>
                    </pic:pic>
                  </a:graphicData>
                </a:graphic>
              </wp:anchor>
            </w:drawing>
          </w:r>
        </w:p>
      </w:tc>
      <w:tc>
        <w:tcPr>
          <w:tcW w:w="8283" w:type="dxa"/>
          <w:gridSpan w:val="4"/>
          <w:tcBorders>
            <w:bottom w:val="single" w:sz="24" w:space="0" w:color="000000"/>
          </w:tcBorders>
        </w:tcPr>
        <w:p w14:paraId="617AB538" w14:textId="77777777" w:rsidR="009E6F18" w:rsidRDefault="009E6F18">
          <w:pPr>
            <w:pBdr>
              <w:top w:val="nil"/>
              <w:left w:val="nil"/>
              <w:bottom w:val="nil"/>
              <w:right w:val="nil"/>
              <w:between w:val="nil"/>
            </w:pBdr>
            <w:tabs>
              <w:tab w:val="center" w:pos="4033"/>
              <w:tab w:val="right" w:pos="8067"/>
            </w:tabs>
            <w:spacing w:after="120" w:line="240" w:lineRule="auto"/>
            <w:jc w:val="right"/>
            <w:rPr>
              <w:color w:val="000000"/>
            </w:rPr>
          </w:pPr>
          <w:r>
            <w:rPr>
              <w:noProof/>
              <w:lang w:val="es-AR"/>
            </w:rPr>
            <w:drawing>
              <wp:anchor distT="0" distB="0" distL="0" distR="0" simplePos="0" relativeHeight="251659264" behindDoc="0" locked="0" layoutInCell="1" hidden="0" allowOverlap="1" wp14:anchorId="3EC48CA2" wp14:editId="1553F174">
                <wp:simplePos x="0" y="0"/>
                <wp:positionH relativeFrom="margin">
                  <wp:posOffset>3486150</wp:posOffset>
                </wp:positionH>
                <wp:positionV relativeFrom="paragraph">
                  <wp:posOffset>85725</wp:posOffset>
                </wp:positionV>
                <wp:extent cx="1358635" cy="928688"/>
                <wp:effectExtent l="0" t="0" r="0" b="0"/>
                <wp:wrapSquare wrapText="bothSides" distT="0" distB="0" distL="0" distR="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
                        <a:srcRect/>
                        <a:stretch>
                          <a:fillRect/>
                        </a:stretch>
                      </pic:blipFill>
                      <pic:spPr>
                        <a:xfrm>
                          <a:off x="0" y="0"/>
                          <a:ext cx="1358635" cy="928688"/>
                        </a:xfrm>
                        <a:prstGeom prst="rect">
                          <a:avLst/>
                        </a:prstGeom>
                        <a:ln/>
                      </pic:spPr>
                    </pic:pic>
                  </a:graphicData>
                </a:graphic>
              </wp:anchor>
            </w:drawing>
          </w:r>
        </w:p>
        <w:p w14:paraId="3B8705A1" w14:textId="77777777" w:rsidR="009E6F18" w:rsidRDefault="009E6F18">
          <w:pPr>
            <w:pBdr>
              <w:top w:val="nil"/>
              <w:left w:val="nil"/>
              <w:bottom w:val="nil"/>
              <w:right w:val="nil"/>
              <w:between w:val="nil"/>
            </w:pBdr>
            <w:tabs>
              <w:tab w:val="center" w:pos="4033"/>
              <w:tab w:val="right" w:pos="8067"/>
            </w:tabs>
            <w:spacing w:after="120" w:line="240" w:lineRule="auto"/>
            <w:jc w:val="right"/>
            <w:rPr>
              <w:color w:val="000000"/>
            </w:rPr>
          </w:pPr>
        </w:p>
        <w:p w14:paraId="45EFB4A0" w14:textId="77777777" w:rsidR="009E6F18" w:rsidRDefault="009E6F18">
          <w:pPr>
            <w:pBdr>
              <w:top w:val="nil"/>
              <w:left w:val="nil"/>
              <w:bottom w:val="nil"/>
              <w:right w:val="nil"/>
              <w:between w:val="nil"/>
            </w:pBdr>
            <w:tabs>
              <w:tab w:val="center" w:pos="4033"/>
              <w:tab w:val="right" w:pos="8067"/>
            </w:tabs>
            <w:spacing w:after="120" w:line="240" w:lineRule="auto"/>
            <w:jc w:val="right"/>
            <w:rPr>
              <w:color w:val="000000"/>
            </w:rPr>
          </w:pPr>
        </w:p>
        <w:p w14:paraId="17F12E60" w14:textId="77777777" w:rsidR="009E6F18" w:rsidRDefault="009E6F18">
          <w:pPr>
            <w:pBdr>
              <w:top w:val="nil"/>
              <w:left w:val="nil"/>
              <w:bottom w:val="nil"/>
              <w:right w:val="nil"/>
              <w:between w:val="nil"/>
            </w:pBdr>
            <w:tabs>
              <w:tab w:val="center" w:pos="4033"/>
              <w:tab w:val="right" w:pos="8067"/>
            </w:tabs>
            <w:spacing w:after="120" w:line="240" w:lineRule="auto"/>
            <w:jc w:val="right"/>
            <w:rPr>
              <w:color w:val="000000"/>
            </w:rPr>
          </w:pPr>
        </w:p>
        <w:p w14:paraId="1A8CE0F5" w14:textId="77777777" w:rsidR="009E6F18" w:rsidRDefault="009E6F18">
          <w:pPr>
            <w:pBdr>
              <w:top w:val="nil"/>
              <w:left w:val="nil"/>
              <w:bottom w:val="nil"/>
              <w:right w:val="nil"/>
              <w:between w:val="nil"/>
            </w:pBdr>
            <w:tabs>
              <w:tab w:val="center" w:pos="4033"/>
              <w:tab w:val="right" w:pos="8067"/>
            </w:tabs>
            <w:spacing w:after="120" w:line="240" w:lineRule="auto"/>
            <w:jc w:val="right"/>
            <w:rPr>
              <w:color w:val="000000"/>
            </w:rPr>
          </w:pPr>
          <w:r>
            <w:rPr>
              <w:color w:val="000000"/>
            </w:rPr>
            <w:tab/>
          </w:r>
        </w:p>
      </w:tc>
    </w:tr>
    <w:tr w:rsidR="009E6F18" w14:paraId="3A86B4A6" w14:textId="77777777">
      <w:trPr>
        <w:gridAfter w:val="1"/>
        <w:wAfter w:w="90" w:type="dxa"/>
      </w:trPr>
      <w:tc>
        <w:tcPr>
          <w:tcW w:w="7113" w:type="dxa"/>
          <w:gridSpan w:val="2"/>
        </w:tcPr>
        <w:p w14:paraId="50093178" w14:textId="77777777" w:rsidR="009E6F18" w:rsidRDefault="009E6F18">
          <w:pPr>
            <w:spacing w:line="240" w:lineRule="auto"/>
            <w:rPr>
              <w:b/>
            </w:rPr>
          </w:pPr>
        </w:p>
      </w:tc>
      <w:tc>
        <w:tcPr>
          <w:tcW w:w="3690" w:type="dxa"/>
          <w:gridSpan w:val="2"/>
        </w:tcPr>
        <w:p w14:paraId="0BBBB11F" w14:textId="77777777" w:rsidR="009E6F18" w:rsidRDefault="009E6F18">
          <w:pPr>
            <w:spacing w:line="240" w:lineRule="auto"/>
            <w:ind w:firstLine="708"/>
            <w:rPr>
              <w:b/>
              <w:sz w:val="18"/>
              <w:szCs w:val="18"/>
            </w:rPr>
          </w:pPr>
        </w:p>
      </w:tc>
    </w:tr>
    <w:tr w:rsidR="009E6F18" w14:paraId="2951DC94" w14:textId="77777777">
      <w:trPr>
        <w:trHeight w:val="80"/>
      </w:trPr>
      <w:tc>
        <w:tcPr>
          <w:tcW w:w="7172" w:type="dxa"/>
          <w:gridSpan w:val="3"/>
        </w:tcPr>
        <w:p w14:paraId="5CCD1B98" w14:textId="77777777" w:rsidR="009E6F18" w:rsidRDefault="009E6F18">
          <w:pPr>
            <w:spacing w:after="0"/>
            <w:rPr>
              <w:rFonts w:ascii="Verdana" w:eastAsia="Verdana" w:hAnsi="Verdana" w:cs="Verdana"/>
              <w:b/>
              <w:sz w:val="18"/>
              <w:szCs w:val="18"/>
            </w:rPr>
          </w:pPr>
          <w:r>
            <w:rPr>
              <w:rFonts w:ascii="Verdana" w:eastAsia="Verdana" w:hAnsi="Verdana" w:cs="Verdana"/>
              <w:b/>
              <w:sz w:val="18"/>
              <w:szCs w:val="18"/>
            </w:rPr>
            <w:t xml:space="preserve">XXI Reunión del Foro de Ministros de </w:t>
          </w:r>
        </w:p>
        <w:p w14:paraId="43A88783" w14:textId="77777777" w:rsidR="009E6F18" w:rsidRDefault="009E6F18">
          <w:pPr>
            <w:spacing w:after="0"/>
            <w:rPr>
              <w:rFonts w:ascii="Verdana" w:eastAsia="Verdana" w:hAnsi="Verdana" w:cs="Verdana"/>
              <w:b/>
              <w:sz w:val="18"/>
              <w:szCs w:val="18"/>
            </w:rPr>
          </w:pPr>
          <w:r>
            <w:rPr>
              <w:rFonts w:ascii="Verdana" w:eastAsia="Verdana" w:hAnsi="Verdana" w:cs="Verdana"/>
              <w:b/>
              <w:sz w:val="18"/>
              <w:szCs w:val="18"/>
            </w:rPr>
            <w:t>Medio Ambiente de América Latina y el Caribe</w:t>
          </w:r>
        </w:p>
        <w:p w14:paraId="336378A5" w14:textId="77777777" w:rsidR="009E6F18" w:rsidRDefault="009E6F18">
          <w:pPr>
            <w:spacing w:after="0"/>
            <w:rPr>
              <w:rFonts w:ascii="Verdana" w:eastAsia="Verdana" w:hAnsi="Verdana" w:cs="Verdana"/>
              <w:sz w:val="18"/>
              <w:szCs w:val="18"/>
            </w:rPr>
          </w:pPr>
          <w:r>
            <w:rPr>
              <w:rFonts w:ascii="Verdana" w:eastAsia="Verdana" w:hAnsi="Verdana" w:cs="Verdana"/>
              <w:sz w:val="18"/>
              <w:szCs w:val="18"/>
            </w:rPr>
            <w:t>Buenos Aires, Argentina</w:t>
          </w:r>
        </w:p>
        <w:p w14:paraId="0A18136F" w14:textId="77777777" w:rsidR="009E6F18" w:rsidRDefault="009E6F18">
          <w:pPr>
            <w:rPr>
              <w:rFonts w:ascii="Verdana" w:eastAsia="Verdana" w:hAnsi="Verdana" w:cs="Verdana"/>
              <w:sz w:val="18"/>
              <w:szCs w:val="18"/>
            </w:rPr>
          </w:pPr>
        </w:p>
        <w:p w14:paraId="58AE335C" w14:textId="77777777" w:rsidR="009E6F18" w:rsidRDefault="009E6F18">
          <w:pPr>
            <w:spacing w:after="0"/>
            <w:rPr>
              <w:rFonts w:ascii="Verdana" w:eastAsia="Verdana" w:hAnsi="Verdana" w:cs="Verdana"/>
              <w:b/>
              <w:sz w:val="18"/>
              <w:szCs w:val="18"/>
            </w:rPr>
          </w:pPr>
          <w:r>
            <w:rPr>
              <w:rFonts w:ascii="Verdana" w:eastAsia="Verdana" w:hAnsi="Verdana" w:cs="Verdana"/>
              <w:sz w:val="18"/>
              <w:szCs w:val="18"/>
            </w:rPr>
            <w:t>B. Segmento Ministerial</w:t>
          </w:r>
          <w:r>
            <w:rPr>
              <w:rFonts w:ascii="Verdana" w:eastAsia="Verdana" w:hAnsi="Verdana" w:cs="Verdana"/>
              <w:sz w:val="18"/>
              <w:szCs w:val="18"/>
            </w:rPr>
            <w:br/>
            <w:t>11 - 12 de octubre de 2018</w:t>
          </w:r>
        </w:p>
      </w:tc>
      <w:tc>
        <w:tcPr>
          <w:tcW w:w="3721" w:type="dxa"/>
          <w:gridSpan w:val="2"/>
          <w:shd w:val="clear" w:color="auto" w:fill="FFFFFF"/>
        </w:tcPr>
        <w:p w14:paraId="2DF52671" w14:textId="77777777" w:rsidR="009E6F18" w:rsidRDefault="009E6F18">
          <w:pPr>
            <w:rPr>
              <w:rFonts w:ascii="Verdana" w:eastAsia="Verdana" w:hAnsi="Verdana" w:cs="Verdana"/>
              <w:b/>
              <w:sz w:val="18"/>
              <w:szCs w:val="18"/>
            </w:rPr>
          </w:pPr>
          <w:r>
            <w:rPr>
              <w:rFonts w:ascii="Verdana" w:eastAsia="Verdana" w:hAnsi="Verdana" w:cs="Verdana"/>
              <w:b/>
              <w:sz w:val="18"/>
              <w:szCs w:val="18"/>
            </w:rPr>
            <w:t>Distribución:</w:t>
          </w:r>
          <w:r>
            <w:rPr>
              <w:rFonts w:ascii="Verdana" w:eastAsia="Verdana" w:hAnsi="Verdana" w:cs="Verdana"/>
              <w:b/>
              <w:sz w:val="18"/>
              <w:szCs w:val="18"/>
            </w:rPr>
            <w:br/>
          </w:r>
          <w:r>
            <w:rPr>
              <w:rFonts w:ascii="Verdana" w:eastAsia="Verdana" w:hAnsi="Verdana" w:cs="Verdana"/>
              <w:sz w:val="18"/>
              <w:szCs w:val="18"/>
            </w:rPr>
            <w:t>Limitada</w:t>
          </w:r>
          <w:r>
            <w:rPr>
              <w:rFonts w:ascii="Verdana" w:eastAsia="Verdana" w:hAnsi="Verdana" w:cs="Verdana"/>
              <w:sz w:val="18"/>
              <w:szCs w:val="18"/>
            </w:rPr>
            <w:br/>
          </w:r>
        </w:p>
        <w:p w14:paraId="30D0849C" w14:textId="6D14695A" w:rsidR="009E6F18" w:rsidRDefault="009E6F18">
          <w:pPr>
            <w:rPr>
              <w:rFonts w:ascii="Verdana" w:eastAsia="Verdana" w:hAnsi="Verdana" w:cs="Verdana"/>
              <w:sz w:val="18"/>
              <w:szCs w:val="18"/>
            </w:rPr>
          </w:pPr>
          <w:r>
            <w:rPr>
              <w:rFonts w:ascii="Verdana" w:eastAsia="Verdana" w:hAnsi="Verdana" w:cs="Verdana"/>
              <w:b/>
              <w:sz w:val="18"/>
              <w:szCs w:val="18"/>
            </w:rPr>
            <w:t>UNEP/LAC-IG.XXI/5</w:t>
          </w:r>
          <w:r>
            <w:rPr>
              <w:rFonts w:ascii="Verdana" w:eastAsia="Verdana" w:hAnsi="Verdana" w:cs="Verdana"/>
              <w:b/>
              <w:sz w:val="18"/>
              <w:szCs w:val="18"/>
            </w:rPr>
            <w:br/>
          </w:r>
        </w:p>
        <w:p w14:paraId="4A7C1A0E" w14:textId="2A6E8127" w:rsidR="009E6F18" w:rsidRDefault="00F2443A">
          <w:pPr>
            <w:rPr>
              <w:rFonts w:ascii="Verdana" w:eastAsia="Verdana" w:hAnsi="Verdana" w:cs="Verdana"/>
              <w:sz w:val="18"/>
              <w:szCs w:val="18"/>
            </w:rPr>
          </w:pPr>
          <w:r>
            <w:rPr>
              <w:rFonts w:ascii="Verdana" w:eastAsia="Verdana" w:hAnsi="Verdana" w:cs="Verdana"/>
              <w:sz w:val="18"/>
              <w:szCs w:val="18"/>
            </w:rPr>
            <w:t>26</w:t>
          </w:r>
          <w:r w:rsidR="009E6F18">
            <w:rPr>
              <w:rFonts w:ascii="Verdana" w:eastAsia="Verdana" w:hAnsi="Verdana" w:cs="Verdana"/>
              <w:sz w:val="18"/>
              <w:szCs w:val="18"/>
            </w:rPr>
            <w:t xml:space="preserve"> de septiembre de 2018</w:t>
          </w:r>
        </w:p>
        <w:p w14:paraId="16006C92" w14:textId="77777777" w:rsidR="009E6F18" w:rsidRDefault="009E6F18">
          <w:pPr>
            <w:spacing w:after="0"/>
            <w:rPr>
              <w:rFonts w:ascii="Verdana" w:eastAsia="Verdana" w:hAnsi="Verdana" w:cs="Verdana"/>
              <w:sz w:val="18"/>
              <w:szCs w:val="18"/>
            </w:rPr>
          </w:pPr>
          <w:r>
            <w:rPr>
              <w:rFonts w:ascii="Verdana" w:eastAsia="Verdana" w:hAnsi="Verdana" w:cs="Verdana"/>
              <w:b/>
              <w:sz w:val="18"/>
              <w:szCs w:val="18"/>
            </w:rPr>
            <w:t>Original:</w:t>
          </w:r>
          <w:r>
            <w:rPr>
              <w:rFonts w:ascii="Verdana" w:eastAsia="Verdana" w:hAnsi="Verdana" w:cs="Verdana"/>
              <w:sz w:val="18"/>
              <w:szCs w:val="18"/>
            </w:rPr>
            <w:t xml:space="preserve"> Español</w:t>
          </w:r>
        </w:p>
      </w:tc>
    </w:tr>
  </w:tbl>
  <w:p w14:paraId="4487F4CE" w14:textId="77777777" w:rsidR="009E6F18" w:rsidRDefault="009E6F18">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87446"/>
    <w:multiLevelType w:val="multilevel"/>
    <w:tmpl w:val="D8B89B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E8F3E6E"/>
    <w:multiLevelType w:val="multilevel"/>
    <w:tmpl w:val="7D42CF2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48566B8"/>
    <w:multiLevelType w:val="multilevel"/>
    <w:tmpl w:val="ECA29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7596003"/>
    <w:multiLevelType w:val="multilevel"/>
    <w:tmpl w:val="1FE4E46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5B35758"/>
    <w:multiLevelType w:val="multilevel"/>
    <w:tmpl w:val="221E47E6"/>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07100EA"/>
    <w:multiLevelType w:val="multilevel"/>
    <w:tmpl w:val="9E92C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7E60BF2"/>
    <w:multiLevelType w:val="multilevel"/>
    <w:tmpl w:val="DA58F3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5A6771A"/>
    <w:multiLevelType w:val="multilevel"/>
    <w:tmpl w:val="FDC41336"/>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9945C72"/>
    <w:multiLevelType w:val="multilevel"/>
    <w:tmpl w:val="82D0E3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F3E0B7B"/>
    <w:multiLevelType w:val="multilevel"/>
    <w:tmpl w:val="637A9D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5F580765"/>
    <w:multiLevelType w:val="multilevel"/>
    <w:tmpl w:val="E0FEEB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53B6599"/>
    <w:multiLevelType w:val="multilevel"/>
    <w:tmpl w:val="D27EB82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BF86499"/>
    <w:multiLevelType w:val="multilevel"/>
    <w:tmpl w:val="0934940A"/>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6EFD3BEC"/>
    <w:multiLevelType w:val="multilevel"/>
    <w:tmpl w:val="17B845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05E272C"/>
    <w:multiLevelType w:val="multilevel"/>
    <w:tmpl w:val="DC1E2846"/>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08C6877"/>
    <w:multiLevelType w:val="multilevel"/>
    <w:tmpl w:val="DC0E9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55E58A8"/>
    <w:multiLevelType w:val="multilevel"/>
    <w:tmpl w:val="C05295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D126205"/>
    <w:multiLevelType w:val="multilevel"/>
    <w:tmpl w:val="6A000D6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5"/>
  </w:num>
  <w:num w:numId="2">
    <w:abstractNumId w:val="12"/>
  </w:num>
  <w:num w:numId="3">
    <w:abstractNumId w:val="16"/>
  </w:num>
  <w:num w:numId="4">
    <w:abstractNumId w:val="8"/>
  </w:num>
  <w:num w:numId="5">
    <w:abstractNumId w:val="1"/>
  </w:num>
  <w:num w:numId="6">
    <w:abstractNumId w:val="6"/>
  </w:num>
  <w:num w:numId="7">
    <w:abstractNumId w:val="10"/>
  </w:num>
  <w:num w:numId="8">
    <w:abstractNumId w:val="7"/>
  </w:num>
  <w:num w:numId="9">
    <w:abstractNumId w:val="5"/>
  </w:num>
  <w:num w:numId="10">
    <w:abstractNumId w:val="17"/>
  </w:num>
  <w:num w:numId="11">
    <w:abstractNumId w:val="2"/>
  </w:num>
  <w:num w:numId="12">
    <w:abstractNumId w:val="0"/>
  </w:num>
  <w:num w:numId="13">
    <w:abstractNumId w:val="3"/>
  </w:num>
  <w:num w:numId="14">
    <w:abstractNumId w:val="9"/>
  </w:num>
  <w:num w:numId="15">
    <w:abstractNumId w:val="13"/>
  </w:num>
  <w:num w:numId="16">
    <w:abstractNumId w:val="4"/>
  </w:num>
  <w:num w:numId="17">
    <w:abstractNumId w:val="1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D96"/>
    <w:rsid w:val="0009051E"/>
    <w:rsid w:val="0011548F"/>
    <w:rsid w:val="001A2CEC"/>
    <w:rsid w:val="002256B1"/>
    <w:rsid w:val="005001C6"/>
    <w:rsid w:val="00526AE1"/>
    <w:rsid w:val="00551F92"/>
    <w:rsid w:val="006C39AF"/>
    <w:rsid w:val="0081321C"/>
    <w:rsid w:val="008A0D96"/>
    <w:rsid w:val="009E6F18"/>
    <w:rsid w:val="00A6310A"/>
    <w:rsid w:val="00A96633"/>
    <w:rsid w:val="00B62F3B"/>
    <w:rsid w:val="00B9014E"/>
    <w:rsid w:val="00BE311B"/>
    <w:rsid w:val="00C43897"/>
    <w:rsid w:val="00C5701D"/>
    <w:rsid w:val="00DB222D"/>
    <w:rsid w:val="00F2443A"/>
    <w:rsid w:val="00FA1D2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88263"/>
  <w15:docId w15:val="{F550600B-CE12-403B-9307-142657B4B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ES" w:eastAsia="es-A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240" w:after="0"/>
      <w:outlineLvl w:val="0"/>
    </w:pPr>
    <w:rPr>
      <w:color w:val="2F5496"/>
      <w:sz w:val="32"/>
      <w:szCs w:val="32"/>
    </w:rPr>
  </w:style>
  <w:style w:type="paragraph" w:styleId="Heading2">
    <w:name w:val="heading 2"/>
    <w:basedOn w:val="Normal"/>
    <w:next w:val="Normal"/>
    <w:pPr>
      <w:keepNext/>
      <w:keepLines/>
      <w:spacing w:before="40" w:after="0"/>
      <w:outlineLvl w:val="1"/>
    </w:pPr>
    <w:rPr>
      <w:b/>
      <w:color w:val="2F5496"/>
      <w:sz w:val="26"/>
      <w:szCs w:val="26"/>
    </w:rPr>
  </w:style>
  <w:style w:type="paragraph" w:styleId="Heading3">
    <w:name w:val="heading 3"/>
    <w:basedOn w:val="Normal"/>
    <w:next w:val="Normal"/>
    <w:pPr>
      <w:keepNext/>
      <w:keepLines/>
      <w:spacing w:before="40" w:after="0"/>
      <w:outlineLvl w:val="2"/>
    </w:pPr>
    <w:rPr>
      <w:color w:val="1F3863"/>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spacing w:after="0" w:line="240" w:lineRule="auto"/>
      <w:contextualSpacing/>
    </w:pPr>
    <w:rPr>
      <w:sz w:val="56"/>
      <w:szCs w:val="5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631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10A"/>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A6310A"/>
    <w:rPr>
      <w:b/>
      <w:bCs/>
    </w:rPr>
  </w:style>
  <w:style w:type="character" w:customStyle="1" w:styleId="CommentSubjectChar">
    <w:name w:val="Comment Subject Char"/>
    <w:basedOn w:val="CommentTextChar"/>
    <w:link w:val="CommentSubject"/>
    <w:uiPriority w:val="99"/>
    <w:semiHidden/>
    <w:rsid w:val="00A6310A"/>
    <w:rPr>
      <w:b/>
      <w:bCs/>
      <w:sz w:val="20"/>
      <w:szCs w:val="20"/>
    </w:rPr>
  </w:style>
  <w:style w:type="paragraph" w:styleId="TOC1">
    <w:name w:val="toc 1"/>
    <w:basedOn w:val="Normal"/>
    <w:next w:val="Normal"/>
    <w:autoRedefine/>
    <w:uiPriority w:val="39"/>
    <w:unhideWhenUsed/>
    <w:rsid w:val="009E6F18"/>
    <w:pPr>
      <w:spacing w:after="100"/>
    </w:pPr>
  </w:style>
  <w:style w:type="paragraph" w:styleId="TOC2">
    <w:name w:val="toc 2"/>
    <w:basedOn w:val="Normal"/>
    <w:next w:val="Normal"/>
    <w:autoRedefine/>
    <w:uiPriority w:val="39"/>
    <w:unhideWhenUsed/>
    <w:rsid w:val="009E6F18"/>
    <w:pPr>
      <w:spacing w:after="100"/>
      <w:ind w:left="220"/>
    </w:pPr>
  </w:style>
  <w:style w:type="paragraph" w:styleId="TOC3">
    <w:name w:val="toc 3"/>
    <w:basedOn w:val="Normal"/>
    <w:next w:val="Normal"/>
    <w:autoRedefine/>
    <w:uiPriority w:val="39"/>
    <w:unhideWhenUsed/>
    <w:rsid w:val="009E6F18"/>
    <w:pPr>
      <w:spacing w:after="100"/>
      <w:ind w:left="440"/>
    </w:pPr>
  </w:style>
  <w:style w:type="character" w:styleId="Hyperlink">
    <w:name w:val="Hyperlink"/>
    <w:basedOn w:val="DefaultParagraphFont"/>
    <w:uiPriority w:val="99"/>
    <w:unhideWhenUsed/>
    <w:rsid w:val="009E6F18"/>
    <w:rPr>
      <w:color w:val="0000FF" w:themeColor="hyperlink"/>
      <w:u w:val="single"/>
    </w:rPr>
  </w:style>
  <w:style w:type="paragraph" w:styleId="ListParagraph">
    <w:name w:val="List Paragraph"/>
    <w:basedOn w:val="Normal"/>
    <w:uiPriority w:val="34"/>
    <w:qFormat/>
    <w:rsid w:val="006C39AF"/>
    <w:pPr>
      <w:ind w:left="720"/>
      <w:contextualSpacing/>
    </w:pPr>
  </w:style>
  <w:style w:type="paragraph" w:styleId="Header">
    <w:name w:val="header"/>
    <w:basedOn w:val="Normal"/>
    <w:link w:val="HeaderChar"/>
    <w:uiPriority w:val="99"/>
    <w:unhideWhenUsed/>
    <w:rsid w:val="00B9014E"/>
    <w:pPr>
      <w:tabs>
        <w:tab w:val="center" w:pos="4419"/>
        <w:tab w:val="right" w:pos="8838"/>
      </w:tabs>
      <w:spacing w:after="0" w:line="240" w:lineRule="auto"/>
    </w:pPr>
  </w:style>
  <w:style w:type="character" w:customStyle="1" w:styleId="HeaderChar">
    <w:name w:val="Header Char"/>
    <w:basedOn w:val="DefaultParagraphFont"/>
    <w:link w:val="Header"/>
    <w:uiPriority w:val="99"/>
    <w:rsid w:val="00B9014E"/>
  </w:style>
  <w:style w:type="paragraph" w:styleId="Footer">
    <w:name w:val="footer"/>
    <w:basedOn w:val="Normal"/>
    <w:link w:val="FooterChar"/>
    <w:uiPriority w:val="99"/>
    <w:unhideWhenUsed/>
    <w:rsid w:val="00B9014E"/>
    <w:pPr>
      <w:tabs>
        <w:tab w:val="center" w:pos="4419"/>
        <w:tab w:val="right" w:pos="8838"/>
      </w:tabs>
      <w:spacing w:after="0" w:line="240" w:lineRule="auto"/>
    </w:pPr>
  </w:style>
  <w:style w:type="character" w:customStyle="1" w:styleId="FooterChar">
    <w:name w:val="Footer Char"/>
    <w:basedOn w:val="DefaultParagraphFont"/>
    <w:link w:val="Footer"/>
    <w:uiPriority w:val="99"/>
    <w:rsid w:val="00B9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edocs.unep.org/bitstream/handle/20.500.11822/22238/UNEPLAC-IC.2017-4%20Esp.pdf?sequence=4&amp;isAllowed=y" TargetMode="External"/><Relationship Id="rId3" Type="http://schemas.openxmlformats.org/officeDocument/2006/relationships/hyperlink" Target="http://www.who.int/quantifying_ehimpacts/publications/preventing-disease/en/" TargetMode="External"/><Relationship Id="rId7" Type="http://schemas.openxmlformats.org/officeDocument/2006/relationships/hyperlink" Target="http://simarcc.ambiente.gob.ar/mapa-riesgo" TargetMode="External"/><Relationship Id="rId2" Type="http://schemas.openxmlformats.org/officeDocument/2006/relationships/hyperlink" Target="https://papersmart.unon.org/resolution/uploads/k1708350s.pdf" TargetMode="External"/><Relationship Id="rId1" Type="http://schemas.openxmlformats.org/officeDocument/2006/relationships/hyperlink" Target="https://unfccc.int/es/news/la-asamblea-de-la-onu-para-el-medio-ambiente-aborda-la-amenaza-mundial-de-la-contaminacion" TargetMode="External"/><Relationship Id="rId6" Type="http://schemas.openxmlformats.org/officeDocument/2006/relationships/hyperlink" Target="https://about.bnef.com/electric-vehicle-outlook/" TargetMode="External"/><Relationship Id="rId5" Type="http://schemas.openxmlformats.org/officeDocument/2006/relationships/hyperlink" Target="https://www.bbvaresearch.com/wp-content/uploads/2017/07/Urbanization-in-Latin-America-BBVA-Research.pdf" TargetMode="External"/><Relationship Id="rId4" Type="http://schemas.openxmlformats.org/officeDocument/2006/relationships/hyperlink" Target="http://breathelife2030.org/el-problema/?lang=e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0AE5D-793B-4DF1-B17C-2328306A1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18</Pages>
  <Words>7521</Words>
  <Characters>41366</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Pita</dc:creator>
  <cp:lastModifiedBy>Shaherah Cumberbatch</cp:lastModifiedBy>
  <cp:revision>7</cp:revision>
  <dcterms:created xsi:type="dcterms:W3CDTF">2018-09-28T18:21:00Z</dcterms:created>
  <dcterms:modified xsi:type="dcterms:W3CDTF">2018-09-28T18:37:00Z</dcterms:modified>
</cp:coreProperties>
</file>