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73C" w:rsidRPr="00F27173" w:rsidRDefault="002B2414">
      <w:pPr>
        <w:pStyle w:val="FrontPage1"/>
        <w:rPr>
          <w:lang w:val="es-UY"/>
        </w:rPr>
      </w:pPr>
      <w:bookmarkStart w:id="0" w:name="_GoBack"/>
      <w:bookmarkEnd w:id="0"/>
      <w:r>
        <w:rPr>
          <w:lang w:val="es"/>
        </w:rPr>
        <w:t>[Nombre de ministerio o institución responsable de este informe]</w:t>
      </w:r>
    </w:p>
    <w:p w:rsidR="0065773C" w:rsidRPr="00F27173" w:rsidRDefault="002B2414">
      <w:pPr>
        <w:pStyle w:val="FrontPage2"/>
        <w:rPr>
          <w:lang w:val="es-UY"/>
        </w:rPr>
      </w:pPr>
      <w:r>
        <w:rPr>
          <w:lang w:val="es"/>
        </w:rPr>
        <w:t>INVENTARIO NACIONAL DE EMISIONES DE MERCURIO EN [PAÍS]</w:t>
      </w:r>
    </w:p>
    <w:p w:rsidR="0065773C" w:rsidRPr="00F27173" w:rsidRDefault="002B2414">
      <w:pPr>
        <w:pStyle w:val="FrontPage1"/>
        <w:rPr>
          <w:lang w:val="es-UY"/>
        </w:rPr>
      </w:pPr>
      <w:r>
        <w:rPr>
          <w:lang w:val="es"/>
        </w:rPr>
        <w:t>[Subtítulo opcional; por ejemplo "Borrador"]</w:t>
      </w:r>
    </w:p>
    <w:p w:rsidR="0065773C" w:rsidRPr="00F27173" w:rsidRDefault="002B2414">
      <w:pPr>
        <w:pStyle w:val="FrontPage3"/>
        <w:rPr>
          <w:lang w:val="es-UY"/>
        </w:rPr>
      </w:pPr>
      <w:r>
        <w:rPr>
          <w:lang w:val="es"/>
        </w:rPr>
        <w:t>[Año de finalización]</w:t>
      </w:r>
    </w:p>
    <w:p w:rsidR="0065773C" w:rsidRPr="00F27173" w:rsidRDefault="0065773C">
      <w:pPr>
        <w:pStyle w:val="FrontPageImage"/>
        <w:spacing w:before="851"/>
        <w:rPr>
          <w:lang w:val="es-UY"/>
        </w:rPr>
      </w:pPr>
    </w:p>
    <w:p w:rsidR="0065773C" w:rsidRPr="00F27173" w:rsidRDefault="0065773C">
      <w:pPr>
        <w:pStyle w:val="FrontPageImage"/>
        <w:rPr>
          <w:lang w:val="es-UY"/>
        </w:rPr>
        <w:sectPr w:rsidR="0065773C" w:rsidRPr="00F27173">
          <w:type w:val="oddPage"/>
          <w:pgSz w:w="11907" w:h="16840" w:code="9"/>
          <w:pgMar w:top="2268" w:right="4820" w:bottom="851" w:left="1418" w:header="1219" w:footer="369" w:gutter="0"/>
          <w:cols w:space="708"/>
        </w:sectPr>
      </w:pPr>
    </w:p>
    <w:p w:rsidR="0065773C" w:rsidRPr="00F27173" w:rsidRDefault="0065773C">
      <w:pPr>
        <w:pStyle w:val="COWIAddress"/>
        <w:framePr w:wrap="around"/>
        <w:rPr>
          <w:lang w:val="es-UY"/>
        </w:rPr>
      </w:pPr>
    </w:p>
    <w:p w:rsidR="0065773C" w:rsidRPr="00F27173" w:rsidRDefault="002B2414">
      <w:pPr>
        <w:pStyle w:val="CowiTitle"/>
        <w:rPr>
          <w:lang w:val="es-UY"/>
        </w:rPr>
      </w:pPr>
      <w:r>
        <w:rPr>
          <w:lang w:val="es"/>
        </w:rPr>
        <w:t>INVENTARIO DE EMISIONES DE MERCURIO EN [PAÍS]</w:t>
      </w:r>
    </w:p>
    <w:p w:rsidR="0065773C" w:rsidRPr="00F27173" w:rsidRDefault="002B2414">
      <w:pPr>
        <w:pStyle w:val="FrontPage1"/>
        <w:rPr>
          <w:lang w:val="es-UY"/>
        </w:rPr>
      </w:pPr>
      <w:r>
        <w:rPr>
          <w:lang w:val="es"/>
        </w:rPr>
        <w:t>[Subtítulo opcional; por ejemplo "Borrador"]</w:t>
      </w:r>
    </w:p>
    <w:p w:rsidR="0065773C" w:rsidRPr="00F27173" w:rsidRDefault="002B2414">
      <w:pPr>
        <w:pStyle w:val="HeaderFirstLogo"/>
        <w:framePr w:wrap="around"/>
        <w:rPr>
          <w:lang w:val="es-UY"/>
        </w:rPr>
      </w:pPr>
      <w:r>
        <w:rPr>
          <w:lang w:val="es"/>
        </w:rPr>
        <w:t xml:space="preserve"> </w:t>
      </w:r>
    </w:p>
    <w:p w:rsidR="0065773C" w:rsidRPr="00F27173" w:rsidRDefault="002B2414">
      <w:pPr>
        <w:pStyle w:val="CowiApprover"/>
        <w:framePr w:wrap="around"/>
        <w:rPr>
          <w:lang w:val="es-UY"/>
        </w:rPr>
      </w:pPr>
      <w:r>
        <w:rPr>
          <w:lang w:val="es"/>
        </w:rPr>
        <w:tab/>
      </w:r>
    </w:p>
    <w:p w:rsidR="0065773C" w:rsidRPr="00F27173" w:rsidRDefault="002B2414">
      <w:pPr>
        <w:pStyle w:val="BodyText"/>
        <w:rPr>
          <w:lang w:val="es-UY"/>
        </w:rPr>
      </w:pPr>
      <w:r>
        <w:rPr>
          <w:lang w:val="es"/>
        </w:rPr>
        <w:t>[Copiar debajo la tabla del paso 1 de la hoja de cálculo de nivel de inventario 1]</w:t>
      </w:r>
    </w:p>
    <w:tbl>
      <w:tblPr>
        <w:tblW w:w="8429" w:type="dxa"/>
        <w:tblInd w:w="-1256" w:type="dxa"/>
        <w:tblCellMar>
          <w:left w:w="70" w:type="dxa"/>
          <w:right w:w="70" w:type="dxa"/>
        </w:tblCellMar>
        <w:tblLook w:val="00A0" w:firstRow="1" w:lastRow="0" w:firstColumn="1" w:lastColumn="0" w:noHBand="0" w:noVBand="0"/>
      </w:tblPr>
      <w:tblGrid>
        <w:gridCol w:w="2602"/>
        <w:gridCol w:w="5827"/>
      </w:tblGrid>
      <w:tr w:rsidR="0065773C" w:rsidRPr="00F27173">
        <w:trPr>
          <w:trHeight w:val="255"/>
        </w:trPr>
        <w:tc>
          <w:tcPr>
            <w:tcW w:w="8429" w:type="dxa"/>
            <w:gridSpan w:val="2"/>
            <w:tcBorders>
              <w:top w:val="single" w:sz="4" w:space="0" w:color="auto"/>
              <w:left w:val="single" w:sz="4" w:space="0" w:color="auto"/>
              <w:bottom w:val="single" w:sz="4" w:space="0" w:color="auto"/>
              <w:right w:val="single" w:sz="4" w:space="0" w:color="auto"/>
            </w:tcBorders>
            <w:vAlign w:val="bottom"/>
          </w:tcPr>
          <w:p w:rsidR="0065773C" w:rsidRPr="00F27173" w:rsidRDefault="002B2414">
            <w:pPr>
              <w:spacing w:line="240" w:lineRule="auto"/>
              <w:rPr>
                <w:rFonts w:ascii="Arial" w:hAnsi="Arial" w:cs="Arial"/>
                <w:b/>
                <w:bCs/>
                <w:sz w:val="20"/>
                <w:lang w:val="es-UY"/>
              </w:rPr>
            </w:pPr>
            <w:r>
              <w:rPr>
                <w:rFonts w:ascii="Arial" w:hAnsi="Arial" w:cs="Arial"/>
                <w:b/>
                <w:bCs/>
                <w:sz w:val="20"/>
                <w:lang w:val="es"/>
              </w:rPr>
              <w:t>Punto de contacto responsable de este inventario</w:t>
            </w:r>
          </w:p>
          <w:p w:rsidR="0065773C" w:rsidRPr="00F27173" w:rsidRDefault="002B2414">
            <w:pPr>
              <w:spacing w:line="240" w:lineRule="auto"/>
              <w:rPr>
                <w:rFonts w:ascii="Arial" w:hAnsi="Arial" w:cs="Arial"/>
                <w:b/>
                <w:bCs/>
                <w:sz w:val="20"/>
                <w:lang w:val="es-UY"/>
              </w:rPr>
            </w:pPr>
            <w:r>
              <w:rPr>
                <w:rFonts w:ascii="Arial" w:hAnsi="Arial" w:cs="Arial"/>
                <w:b/>
                <w:bCs/>
                <w:sz w:val="20"/>
                <w:lang w:val="es"/>
              </w:rPr>
              <w:t> </w:t>
            </w:r>
          </w:p>
        </w:tc>
      </w:tr>
      <w:tr w:rsidR="0065773C" w:rsidRPr="00F27173">
        <w:trPr>
          <w:trHeight w:val="255"/>
        </w:trPr>
        <w:tc>
          <w:tcPr>
            <w:tcW w:w="2602"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Nombre completo de la institución</w:t>
            </w:r>
          </w:p>
        </w:tc>
        <w:tc>
          <w:tcPr>
            <w:tcW w:w="5827" w:type="dxa"/>
            <w:tcBorders>
              <w:top w:val="nil"/>
              <w:left w:val="nil"/>
              <w:bottom w:val="single" w:sz="4" w:space="0" w:color="auto"/>
              <w:right w:val="single" w:sz="4" w:space="0" w:color="auto"/>
            </w:tcBorders>
            <w:noWrap/>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 </w:t>
            </w:r>
          </w:p>
        </w:tc>
      </w:tr>
      <w:tr w:rsidR="0065773C">
        <w:trPr>
          <w:trHeight w:val="255"/>
        </w:trPr>
        <w:tc>
          <w:tcPr>
            <w:tcW w:w="2602" w:type="dxa"/>
            <w:tcBorders>
              <w:top w:val="nil"/>
              <w:left w:val="single" w:sz="4" w:space="0" w:color="auto"/>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Persona de contacto</w:t>
            </w:r>
          </w:p>
        </w:tc>
        <w:tc>
          <w:tcPr>
            <w:tcW w:w="5827" w:type="dxa"/>
            <w:tcBorders>
              <w:top w:val="nil"/>
              <w:left w:val="nil"/>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 </w:t>
            </w:r>
          </w:p>
        </w:tc>
      </w:tr>
      <w:tr w:rsidR="0065773C">
        <w:trPr>
          <w:trHeight w:val="255"/>
        </w:trPr>
        <w:tc>
          <w:tcPr>
            <w:tcW w:w="2602" w:type="dxa"/>
            <w:tcBorders>
              <w:top w:val="nil"/>
              <w:left w:val="single" w:sz="4" w:space="0" w:color="auto"/>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Dirección de correo electrónico</w:t>
            </w:r>
          </w:p>
        </w:tc>
        <w:tc>
          <w:tcPr>
            <w:tcW w:w="5827" w:type="dxa"/>
            <w:tcBorders>
              <w:top w:val="nil"/>
              <w:left w:val="nil"/>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 </w:t>
            </w:r>
          </w:p>
        </w:tc>
      </w:tr>
      <w:tr w:rsidR="0065773C">
        <w:trPr>
          <w:trHeight w:val="255"/>
        </w:trPr>
        <w:tc>
          <w:tcPr>
            <w:tcW w:w="2602" w:type="dxa"/>
            <w:tcBorders>
              <w:top w:val="nil"/>
              <w:left w:val="single" w:sz="4" w:space="0" w:color="auto"/>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Número de teléfono</w:t>
            </w:r>
          </w:p>
        </w:tc>
        <w:tc>
          <w:tcPr>
            <w:tcW w:w="5827" w:type="dxa"/>
            <w:tcBorders>
              <w:top w:val="nil"/>
              <w:left w:val="nil"/>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 </w:t>
            </w:r>
          </w:p>
        </w:tc>
      </w:tr>
      <w:tr w:rsidR="0065773C">
        <w:trPr>
          <w:trHeight w:val="255"/>
        </w:trPr>
        <w:tc>
          <w:tcPr>
            <w:tcW w:w="2602" w:type="dxa"/>
            <w:tcBorders>
              <w:top w:val="nil"/>
              <w:left w:val="single" w:sz="4" w:space="0" w:color="auto"/>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Número de fax</w:t>
            </w:r>
          </w:p>
        </w:tc>
        <w:tc>
          <w:tcPr>
            <w:tcW w:w="5827" w:type="dxa"/>
            <w:tcBorders>
              <w:top w:val="nil"/>
              <w:left w:val="nil"/>
              <w:bottom w:val="single" w:sz="4" w:space="0" w:color="auto"/>
              <w:right w:val="single" w:sz="4" w:space="0" w:color="auto"/>
            </w:tcBorders>
            <w:vAlign w:val="bottom"/>
          </w:tcPr>
          <w:p w:rsidR="0065773C" w:rsidRDefault="002B2414">
            <w:pPr>
              <w:spacing w:line="240" w:lineRule="auto"/>
              <w:rPr>
                <w:rFonts w:ascii="Arial" w:hAnsi="Arial" w:cs="Arial"/>
                <w:sz w:val="20"/>
              </w:rPr>
            </w:pPr>
            <w:r>
              <w:rPr>
                <w:rFonts w:ascii="Arial" w:hAnsi="Arial" w:cs="Arial"/>
                <w:sz w:val="20"/>
                <w:lang w:val="es"/>
              </w:rPr>
              <w:t> </w:t>
            </w:r>
          </w:p>
        </w:tc>
      </w:tr>
      <w:tr w:rsidR="0065773C" w:rsidRPr="00F27173">
        <w:trPr>
          <w:trHeight w:val="255"/>
        </w:trPr>
        <w:tc>
          <w:tcPr>
            <w:tcW w:w="2602" w:type="dxa"/>
            <w:tcBorders>
              <w:top w:val="nil"/>
              <w:left w:val="single" w:sz="4" w:space="0" w:color="auto"/>
              <w:bottom w:val="single" w:sz="4" w:space="0" w:color="auto"/>
              <w:right w:val="single" w:sz="4" w:space="0" w:color="auto"/>
            </w:tcBorders>
            <w:noWrap/>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Sitio web de la institución</w:t>
            </w:r>
          </w:p>
        </w:tc>
        <w:tc>
          <w:tcPr>
            <w:tcW w:w="5827" w:type="dxa"/>
            <w:tcBorders>
              <w:top w:val="nil"/>
              <w:left w:val="nil"/>
              <w:bottom w:val="single" w:sz="4" w:space="0" w:color="auto"/>
              <w:right w:val="single" w:sz="4" w:space="0" w:color="auto"/>
            </w:tcBorders>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 </w:t>
            </w:r>
          </w:p>
        </w:tc>
      </w:tr>
      <w:tr w:rsidR="0065773C" w:rsidRPr="00F27173">
        <w:trPr>
          <w:trHeight w:val="255"/>
        </w:trPr>
        <w:tc>
          <w:tcPr>
            <w:tcW w:w="2602" w:type="dxa"/>
            <w:tcBorders>
              <w:top w:val="single" w:sz="4" w:space="0" w:color="auto"/>
              <w:left w:val="single" w:sz="4" w:space="0" w:color="auto"/>
              <w:bottom w:val="single" w:sz="4" w:space="0" w:color="auto"/>
              <w:right w:val="single" w:sz="4" w:space="0" w:color="auto"/>
            </w:tcBorders>
            <w:noWrap/>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Fecha de emisión del informe</w:t>
            </w:r>
          </w:p>
        </w:tc>
        <w:tc>
          <w:tcPr>
            <w:tcW w:w="5827" w:type="dxa"/>
            <w:tcBorders>
              <w:top w:val="single" w:sz="4" w:space="0" w:color="auto"/>
              <w:left w:val="nil"/>
              <w:bottom w:val="single" w:sz="4" w:space="0" w:color="auto"/>
              <w:right w:val="single" w:sz="4" w:space="0" w:color="auto"/>
            </w:tcBorders>
            <w:vAlign w:val="bottom"/>
          </w:tcPr>
          <w:p w:rsidR="0065773C" w:rsidRPr="00F27173" w:rsidRDefault="0065773C">
            <w:pPr>
              <w:spacing w:line="240" w:lineRule="auto"/>
              <w:rPr>
                <w:rFonts w:ascii="Arial" w:hAnsi="Arial" w:cs="Arial"/>
                <w:sz w:val="20"/>
                <w:lang w:val="es-UY"/>
              </w:rPr>
            </w:pPr>
          </w:p>
        </w:tc>
      </w:tr>
    </w:tbl>
    <w:p w:rsidR="0065773C" w:rsidRPr="00F27173" w:rsidRDefault="0065773C">
      <w:pPr>
        <w:pStyle w:val="BodyText"/>
        <w:rPr>
          <w:lang w:val="es-UY"/>
        </w:rPr>
      </w:pPr>
    </w:p>
    <w:p w:rsidR="0065773C" w:rsidRPr="00F27173" w:rsidRDefault="002B2414">
      <w:pPr>
        <w:pStyle w:val="BodyText"/>
        <w:rPr>
          <w:lang w:val="es-UY"/>
        </w:rPr>
        <w:sectPr w:rsidR="0065773C" w:rsidRPr="00F27173">
          <w:pgSz w:w="11907" w:h="16840" w:code="9"/>
          <w:pgMar w:top="4876" w:right="2552" w:bottom="1134" w:left="3686" w:header="1219" w:footer="369" w:gutter="0"/>
          <w:pgNumType w:start="0"/>
          <w:cols w:space="708"/>
        </w:sectPr>
      </w:pPr>
      <w:r>
        <w:rPr>
          <w:lang w:val="es"/>
        </w:rPr>
        <w:t xml:space="preserve">Este inventario fue realizado de conformidad con el kit de herramientas para la identificación y cuantificación de las emisiones de mercurio de PNUMA, </w:t>
      </w:r>
      <w:r w:rsidR="00F27173">
        <w:rPr>
          <w:lang w:val="es"/>
        </w:rPr>
        <w:t>n</w:t>
      </w:r>
      <w:r>
        <w:rPr>
          <w:lang w:val="es"/>
        </w:rPr>
        <w:t>ivel de inventario 1 (versión 1.02, abril de 2013, o más reciente).</w:t>
      </w:r>
    </w:p>
    <w:p w:rsidR="0065773C" w:rsidRPr="00682F6E" w:rsidRDefault="00F27173">
      <w:pPr>
        <w:pStyle w:val="ContentsPage"/>
        <w:rPr>
          <w:lang w:val="en-US"/>
        </w:rPr>
      </w:pPr>
      <w:r w:rsidRPr="00682F6E">
        <w:rPr>
          <w:bCs/>
          <w:lang w:val="en-US"/>
        </w:rPr>
        <w:lastRenderedPageBreak/>
        <w:t>Índice</w:t>
      </w:r>
    </w:p>
    <w:p w:rsidR="005F2CB3" w:rsidRPr="003761DB" w:rsidRDefault="002B2414">
      <w:pPr>
        <w:pStyle w:val="TOC1"/>
        <w:rPr>
          <w:rFonts w:ascii="Calibri" w:hAnsi="Calibri" w:cs="Times New Roman"/>
          <w:b w:val="0"/>
          <w:noProof/>
          <w:sz w:val="22"/>
          <w:szCs w:val="22"/>
          <w:lang w:val="es-UY" w:eastAsia="es-UY"/>
        </w:rPr>
      </w:pPr>
      <w:r>
        <w:rPr>
          <w:bCs/>
          <w:lang w:val="es"/>
        </w:rPr>
        <w:fldChar w:fldCharType="begin"/>
      </w:r>
      <w:r w:rsidRPr="005F2CB3">
        <w:rPr>
          <w:lang w:val="es-UY"/>
        </w:rPr>
        <w:instrText xml:space="preserve"> TOC \o "1-2" </w:instrText>
      </w:r>
      <w:r>
        <w:fldChar w:fldCharType="separate"/>
      </w:r>
      <w:r w:rsidR="005F2CB3" w:rsidRPr="005F2CB3">
        <w:rPr>
          <w:rFonts w:cs="Times New Roman"/>
          <w:noProof/>
          <w:lang w:val="es-UY"/>
        </w:rPr>
        <w:t>1</w:t>
      </w:r>
      <w:r w:rsidR="005F2CB3" w:rsidRPr="003761DB">
        <w:rPr>
          <w:rFonts w:ascii="Calibri" w:hAnsi="Calibri" w:cs="Times New Roman"/>
          <w:b w:val="0"/>
          <w:noProof/>
          <w:sz w:val="22"/>
          <w:szCs w:val="22"/>
          <w:lang w:val="es-UY" w:eastAsia="es-UY"/>
        </w:rPr>
        <w:tab/>
      </w:r>
      <w:r w:rsidR="005F2CB3" w:rsidRPr="00F87647">
        <w:rPr>
          <w:bCs/>
          <w:noProof/>
          <w:lang w:val="es"/>
        </w:rPr>
        <w:t>Resumen ejecutivo</w:t>
      </w:r>
      <w:r w:rsidR="005F2CB3" w:rsidRPr="005F2CB3">
        <w:rPr>
          <w:noProof/>
          <w:lang w:val="es-UY"/>
        </w:rPr>
        <w:tab/>
      </w:r>
      <w:r w:rsidR="005F2CB3">
        <w:rPr>
          <w:noProof/>
        </w:rPr>
        <w:fldChar w:fldCharType="begin"/>
      </w:r>
      <w:r w:rsidR="005F2CB3" w:rsidRPr="005F2CB3">
        <w:rPr>
          <w:noProof/>
          <w:lang w:val="es-UY"/>
        </w:rPr>
        <w:instrText xml:space="preserve"> PAGEREF _Toc436014292 \h </w:instrText>
      </w:r>
      <w:r w:rsidR="005F2CB3">
        <w:rPr>
          <w:noProof/>
        </w:rPr>
      </w:r>
      <w:r w:rsidR="005F2CB3">
        <w:rPr>
          <w:noProof/>
        </w:rPr>
        <w:fldChar w:fldCharType="separate"/>
      </w:r>
      <w:r w:rsidR="005F2CB3" w:rsidRPr="005F2CB3">
        <w:rPr>
          <w:noProof/>
          <w:lang w:val="es-UY"/>
        </w:rPr>
        <w:t>3</w:t>
      </w:r>
      <w:r w:rsidR="005F2CB3">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2</w:t>
      </w:r>
      <w:r w:rsidRPr="003761DB">
        <w:rPr>
          <w:rFonts w:ascii="Calibri" w:hAnsi="Calibri" w:cs="Times New Roman"/>
          <w:b w:val="0"/>
          <w:noProof/>
          <w:sz w:val="22"/>
          <w:szCs w:val="22"/>
          <w:lang w:val="es-UY" w:eastAsia="es-UY"/>
        </w:rPr>
        <w:tab/>
      </w:r>
      <w:r w:rsidRPr="00F87647">
        <w:rPr>
          <w:bCs/>
          <w:noProof/>
          <w:lang w:val="es"/>
        </w:rPr>
        <w:t>Tipos de fuentes de emisión de mercurio presentes</w:t>
      </w:r>
      <w:r w:rsidRPr="005F2CB3">
        <w:rPr>
          <w:noProof/>
          <w:lang w:val="es-UY"/>
        </w:rPr>
        <w:tab/>
      </w:r>
      <w:r>
        <w:rPr>
          <w:noProof/>
        </w:rPr>
        <w:fldChar w:fldCharType="begin"/>
      </w:r>
      <w:r w:rsidRPr="005F2CB3">
        <w:rPr>
          <w:noProof/>
          <w:lang w:val="es-UY"/>
        </w:rPr>
        <w:instrText xml:space="preserve"> PAGEREF _Toc436014293 \h </w:instrText>
      </w:r>
      <w:r>
        <w:rPr>
          <w:noProof/>
        </w:rPr>
      </w:r>
      <w:r>
        <w:rPr>
          <w:noProof/>
        </w:rPr>
        <w:fldChar w:fldCharType="separate"/>
      </w:r>
      <w:r w:rsidRPr="005F2CB3">
        <w:rPr>
          <w:noProof/>
          <w:lang w:val="es-UY"/>
        </w:rPr>
        <w:t>7</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3</w:t>
      </w:r>
      <w:r w:rsidRPr="003761DB">
        <w:rPr>
          <w:rFonts w:ascii="Calibri" w:hAnsi="Calibri" w:cs="Times New Roman"/>
          <w:b w:val="0"/>
          <w:noProof/>
          <w:sz w:val="22"/>
          <w:szCs w:val="22"/>
          <w:lang w:val="es-UY" w:eastAsia="es-UY"/>
        </w:rPr>
        <w:tab/>
      </w:r>
      <w:r w:rsidRPr="00F87647">
        <w:rPr>
          <w:bCs/>
          <w:noProof/>
          <w:lang w:val="es"/>
        </w:rPr>
        <w:t>Resumen de aportes de mercurio a la sociedad</w:t>
      </w:r>
      <w:r w:rsidRPr="005F2CB3">
        <w:rPr>
          <w:noProof/>
          <w:lang w:val="es-UY"/>
        </w:rPr>
        <w:tab/>
      </w:r>
      <w:r>
        <w:rPr>
          <w:noProof/>
        </w:rPr>
        <w:fldChar w:fldCharType="begin"/>
      </w:r>
      <w:r w:rsidRPr="005F2CB3">
        <w:rPr>
          <w:noProof/>
          <w:lang w:val="es-UY"/>
        </w:rPr>
        <w:instrText xml:space="preserve"> PAGEREF _Toc436014294 \h </w:instrText>
      </w:r>
      <w:r>
        <w:rPr>
          <w:noProof/>
        </w:rPr>
      </w:r>
      <w:r>
        <w:rPr>
          <w:noProof/>
        </w:rPr>
        <w:fldChar w:fldCharType="separate"/>
      </w:r>
      <w:r w:rsidRPr="005F2CB3">
        <w:rPr>
          <w:noProof/>
          <w:lang w:val="es-UY"/>
        </w:rPr>
        <w:t>10</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5F2CB3">
        <w:rPr>
          <w:rFonts w:cs="Times New Roman"/>
          <w:noProof/>
          <w:lang w:val="es-UY"/>
        </w:rPr>
        <w:t>4</w:t>
      </w:r>
      <w:r w:rsidRPr="003761DB">
        <w:rPr>
          <w:rFonts w:ascii="Calibri" w:hAnsi="Calibri" w:cs="Times New Roman"/>
          <w:b w:val="0"/>
          <w:noProof/>
          <w:sz w:val="22"/>
          <w:szCs w:val="22"/>
          <w:lang w:val="es-UY" w:eastAsia="es-UY"/>
        </w:rPr>
        <w:tab/>
      </w:r>
      <w:r w:rsidRPr="00F87647">
        <w:rPr>
          <w:bCs/>
          <w:noProof/>
          <w:lang w:val="es"/>
        </w:rPr>
        <w:t>Resumen de emisiones de mercurio</w:t>
      </w:r>
      <w:r w:rsidRPr="005F2CB3">
        <w:rPr>
          <w:noProof/>
          <w:lang w:val="es-UY"/>
        </w:rPr>
        <w:tab/>
      </w:r>
      <w:r>
        <w:rPr>
          <w:noProof/>
        </w:rPr>
        <w:fldChar w:fldCharType="begin"/>
      </w:r>
      <w:r w:rsidRPr="005F2CB3">
        <w:rPr>
          <w:noProof/>
          <w:lang w:val="es-UY"/>
        </w:rPr>
        <w:instrText xml:space="preserve"> PAGEREF _Toc436014295 \h </w:instrText>
      </w:r>
      <w:r>
        <w:rPr>
          <w:noProof/>
        </w:rPr>
      </w:r>
      <w:r>
        <w:rPr>
          <w:noProof/>
        </w:rPr>
        <w:fldChar w:fldCharType="separate"/>
      </w:r>
      <w:r w:rsidRPr="005F2CB3">
        <w:rPr>
          <w:noProof/>
          <w:lang w:val="es-UY"/>
        </w:rPr>
        <w:t>13</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5</w:t>
      </w:r>
      <w:r w:rsidRPr="003761DB">
        <w:rPr>
          <w:rFonts w:ascii="Calibri" w:hAnsi="Calibri" w:cs="Times New Roman"/>
          <w:b w:val="0"/>
          <w:noProof/>
          <w:sz w:val="22"/>
          <w:szCs w:val="22"/>
          <w:lang w:val="es-UY" w:eastAsia="es-UY"/>
        </w:rPr>
        <w:tab/>
      </w:r>
      <w:r w:rsidRPr="00F87647">
        <w:rPr>
          <w:bCs/>
          <w:noProof/>
          <w:lang w:val="es"/>
        </w:rPr>
        <w:t>Datos e inventario sobre consumo de energía y producción de combustible</w:t>
      </w:r>
      <w:r w:rsidRPr="005F2CB3">
        <w:rPr>
          <w:noProof/>
          <w:lang w:val="es-UY"/>
        </w:rPr>
        <w:tab/>
      </w:r>
      <w:r>
        <w:rPr>
          <w:noProof/>
        </w:rPr>
        <w:fldChar w:fldCharType="begin"/>
      </w:r>
      <w:r w:rsidRPr="005F2CB3">
        <w:rPr>
          <w:noProof/>
          <w:lang w:val="es-UY"/>
        </w:rPr>
        <w:instrText xml:space="preserve"> PAGEREF _Toc436014296 \h </w:instrText>
      </w:r>
      <w:r>
        <w:rPr>
          <w:noProof/>
        </w:rPr>
      </w:r>
      <w:r>
        <w:rPr>
          <w:noProof/>
        </w:rPr>
        <w:fldChar w:fldCharType="separate"/>
      </w:r>
      <w:r w:rsidRPr="005F2CB3">
        <w:rPr>
          <w:noProof/>
          <w:lang w:val="es-UY"/>
        </w:rPr>
        <w:t>18</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5.1</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_Toc436014297 \h </w:instrText>
      </w:r>
      <w:r>
        <w:rPr>
          <w:noProof/>
        </w:rPr>
      </w:r>
      <w:r>
        <w:rPr>
          <w:noProof/>
        </w:rPr>
        <w:fldChar w:fldCharType="separate"/>
      </w:r>
      <w:r w:rsidRPr="005F2CB3">
        <w:rPr>
          <w:noProof/>
          <w:lang w:val="es-UY"/>
        </w:rPr>
        <w:t>18</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5.2</w:t>
      </w:r>
      <w:r w:rsidRPr="003761DB">
        <w:rPr>
          <w:rFonts w:ascii="Calibri" w:hAnsi="Calibri" w:cs="Times New Roman"/>
          <w:noProof/>
          <w:sz w:val="22"/>
          <w:szCs w:val="22"/>
          <w:lang w:val="es-UY" w:eastAsia="es-UY"/>
        </w:rPr>
        <w:tab/>
      </w:r>
      <w:r w:rsidRPr="00F87647">
        <w:rPr>
          <w:bCs/>
          <w:noProof/>
          <w:lang w:val="es"/>
        </w:rPr>
        <w:t>[Nombre de la subcategoría 2, etc.]</w:t>
      </w:r>
      <w:r w:rsidRPr="005F2CB3">
        <w:rPr>
          <w:noProof/>
          <w:lang w:val="es-UY"/>
        </w:rPr>
        <w:tab/>
      </w:r>
      <w:r>
        <w:rPr>
          <w:noProof/>
        </w:rPr>
        <w:fldChar w:fldCharType="begin"/>
      </w:r>
      <w:r w:rsidRPr="005F2CB3">
        <w:rPr>
          <w:noProof/>
          <w:lang w:val="es-UY"/>
        </w:rPr>
        <w:instrText xml:space="preserve"> PAGEREF _Toc436014298 \h </w:instrText>
      </w:r>
      <w:r>
        <w:rPr>
          <w:noProof/>
        </w:rPr>
      </w:r>
      <w:r>
        <w:rPr>
          <w:noProof/>
        </w:rPr>
        <w:fldChar w:fldCharType="separate"/>
      </w:r>
      <w:r w:rsidRPr="005F2CB3">
        <w:rPr>
          <w:noProof/>
          <w:lang w:val="es-UY"/>
        </w:rPr>
        <w:t>18</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6</w:t>
      </w:r>
      <w:r w:rsidRPr="003761DB">
        <w:rPr>
          <w:rFonts w:ascii="Calibri" w:hAnsi="Calibri" w:cs="Times New Roman"/>
          <w:b w:val="0"/>
          <w:noProof/>
          <w:sz w:val="22"/>
          <w:szCs w:val="22"/>
          <w:lang w:val="es-UY" w:eastAsia="es-UY"/>
        </w:rPr>
        <w:tab/>
      </w:r>
      <w:r w:rsidRPr="00F87647">
        <w:rPr>
          <w:bCs/>
          <w:noProof/>
          <w:lang w:val="es"/>
        </w:rPr>
        <w:t>Datos e inventario sobre producción local de metales y materias primas</w:t>
      </w:r>
      <w:r w:rsidRPr="005F2CB3">
        <w:rPr>
          <w:noProof/>
          <w:lang w:val="es-UY"/>
        </w:rPr>
        <w:tab/>
      </w:r>
      <w:r>
        <w:rPr>
          <w:noProof/>
        </w:rPr>
        <w:fldChar w:fldCharType="begin"/>
      </w:r>
      <w:r w:rsidRPr="005F2CB3">
        <w:rPr>
          <w:noProof/>
          <w:lang w:val="es-UY"/>
        </w:rPr>
        <w:instrText xml:space="preserve"> PAGEREF _Toc436014299 \h </w:instrText>
      </w:r>
      <w:r>
        <w:rPr>
          <w:noProof/>
        </w:rPr>
      </w:r>
      <w:r>
        <w:rPr>
          <w:noProof/>
        </w:rPr>
        <w:fldChar w:fldCharType="separate"/>
      </w:r>
      <w:r w:rsidRPr="005F2CB3">
        <w:rPr>
          <w:noProof/>
          <w:lang w:val="es-UY"/>
        </w:rPr>
        <w:t>19</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6.1</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_Toc436014300 \h </w:instrText>
      </w:r>
      <w:r>
        <w:rPr>
          <w:noProof/>
        </w:rPr>
      </w:r>
      <w:r>
        <w:rPr>
          <w:noProof/>
        </w:rPr>
        <w:fldChar w:fldCharType="separate"/>
      </w:r>
      <w:r w:rsidRPr="005F2CB3">
        <w:rPr>
          <w:noProof/>
          <w:lang w:val="es-UY"/>
        </w:rPr>
        <w:t>19</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6.2</w:t>
      </w:r>
      <w:r w:rsidRPr="003761DB">
        <w:rPr>
          <w:rFonts w:ascii="Calibri" w:hAnsi="Calibri" w:cs="Times New Roman"/>
          <w:noProof/>
          <w:sz w:val="22"/>
          <w:szCs w:val="22"/>
          <w:lang w:val="es-UY" w:eastAsia="es-UY"/>
        </w:rPr>
        <w:tab/>
      </w:r>
      <w:r w:rsidRPr="00F87647">
        <w:rPr>
          <w:bCs/>
          <w:noProof/>
          <w:lang w:val="es"/>
        </w:rPr>
        <w:t>[Nombre de la subcategoría 2, etc.]</w:t>
      </w:r>
      <w:r w:rsidRPr="005F2CB3">
        <w:rPr>
          <w:noProof/>
          <w:lang w:val="es-UY"/>
        </w:rPr>
        <w:tab/>
      </w:r>
      <w:r>
        <w:rPr>
          <w:noProof/>
        </w:rPr>
        <w:fldChar w:fldCharType="begin"/>
      </w:r>
      <w:r w:rsidRPr="005F2CB3">
        <w:rPr>
          <w:noProof/>
          <w:lang w:val="es-UY"/>
        </w:rPr>
        <w:instrText xml:space="preserve"> PAGEREF _Toc436014301 \h </w:instrText>
      </w:r>
      <w:r>
        <w:rPr>
          <w:noProof/>
        </w:rPr>
      </w:r>
      <w:r>
        <w:rPr>
          <w:noProof/>
        </w:rPr>
        <w:fldChar w:fldCharType="separate"/>
      </w:r>
      <w:r w:rsidRPr="005F2CB3">
        <w:rPr>
          <w:noProof/>
          <w:lang w:val="es-UY"/>
        </w:rPr>
        <w:t>19</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7</w:t>
      </w:r>
      <w:r w:rsidRPr="003761DB">
        <w:rPr>
          <w:rFonts w:ascii="Calibri" w:hAnsi="Calibri" w:cs="Times New Roman"/>
          <w:b w:val="0"/>
          <w:noProof/>
          <w:sz w:val="22"/>
          <w:szCs w:val="22"/>
          <w:lang w:val="es-UY" w:eastAsia="es-UY"/>
        </w:rPr>
        <w:tab/>
      </w:r>
      <w:r w:rsidRPr="00F87647">
        <w:rPr>
          <w:bCs/>
          <w:noProof/>
          <w:lang w:val="es"/>
        </w:rPr>
        <w:t>Datos e inventario sobre producción y procesamiento locales con utilización deliberada de mercurio</w:t>
      </w:r>
      <w:r w:rsidRPr="005F2CB3">
        <w:rPr>
          <w:noProof/>
          <w:lang w:val="es-UY"/>
        </w:rPr>
        <w:tab/>
      </w:r>
      <w:r>
        <w:rPr>
          <w:noProof/>
        </w:rPr>
        <w:fldChar w:fldCharType="begin"/>
      </w:r>
      <w:r w:rsidRPr="005F2CB3">
        <w:rPr>
          <w:noProof/>
          <w:lang w:val="es-UY"/>
        </w:rPr>
        <w:instrText xml:space="preserve"> PAGEREF _Toc436014302 \h </w:instrText>
      </w:r>
      <w:r>
        <w:rPr>
          <w:noProof/>
        </w:rPr>
      </w:r>
      <w:r>
        <w:rPr>
          <w:noProof/>
        </w:rPr>
        <w:fldChar w:fldCharType="separate"/>
      </w:r>
      <w:r w:rsidRPr="005F2CB3">
        <w:rPr>
          <w:noProof/>
          <w:lang w:val="es-UY"/>
        </w:rPr>
        <w:t>20</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7.1</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_Toc436014303 \h </w:instrText>
      </w:r>
      <w:r>
        <w:rPr>
          <w:noProof/>
        </w:rPr>
      </w:r>
      <w:r>
        <w:rPr>
          <w:noProof/>
        </w:rPr>
        <w:fldChar w:fldCharType="separate"/>
      </w:r>
      <w:r w:rsidRPr="005F2CB3">
        <w:rPr>
          <w:noProof/>
          <w:lang w:val="es-UY"/>
        </w:rPr>
        <w:t>20</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7.2</w:t>
      </w:r>
      <w:r w:rsidRPr="003761DB">
        <w:rPr>
          <w:rFonts w:ascii="Calibri" w:hAnsi="Calibri" w:cs="Times New Roman"/>
          <w:noProof/>
          <w:sz w:val="22"/>
          <w:szCs w:val="22"/>
          <w:lang w:val="es-UY" w:eastAsia="es-UY"/>
        </w:rPr>
        <w:tab/>
      </w:r>
      <w:r w:rsidRPr="00F87647">
        <w:rPr>
          <w:bCs/>
          <w:noProof/>
          <w:lang w:val="es"/>
        </w:rPr>
        <w:t>[Nombre de la subcategoría 2, etc.]</w:t>
      </w:r>
      <w:r w:rsidRPr="005F2CB3">
        <w:rPr>
          <w:noProof/>
          <w:lang w:val="es-UY"/>
        </w:rPr>
        <w:tab/>
      </w:r>
      <w:r>
        <w:rPr>
          <w:noProof/>
        </w:rPr>
        <w:fldChar w:fldCharType="begin"/>
      </w:r>
      <w:r w:rsidRPr="005F2CB3">
        <w:rPr>
          <w:noProof/>
          <w:lang w:val="es-UY"/>
        </w:rPr>
        <w:instrText xml:space="preserve"> PAGEREF _Toc436014304 \h </w:instrText>
      </w:r>
      <w:r>
        <w:rPr>
          <w:noProof/>
        </w:rPr>
      </w:r>
      <w:r>
        <w:rPr>
          <w:noProof/>
        </w:rPr>
        <w:fldChar w:fldCharType="separate"/>
      </w:r>
      <w:r w:rsidRPr="005F2CB3">
        <w:rPr>
          <w:noProof/>
          <w:lang w:val="es-UY"/>
        </w:rPr>
        <w:t>20</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8</w:t>
      </w:r>
      <w:r w:rsidRPr="003761DB">
        <w:rPr>
          <w:rFonts w:ascii="Calibri" w:hAnsi="Calibri" w:cs="Times New Roman"/>
          <w:b w:val="0"/>
          <w:noProof/>
          <w:sz w:val="22"/>
          <w:szCs w:val="22"/>
          <w:lang w:val="es-UY" w:eastAsia="es-UY"/>
        </w:rPr>
        <w:tab/>
      </w:r>
      <w:r w:rsidRPr="00F87647">
        <w:rPr>
          <w:bCs/>
          <w:noProof/>
          <w:lang w:val="es"/>
        </w:rPr>
        <w:t>Datos e inventario sobre el manejo de desechos y reciclado</w:t>
      </w:r>
      <w:r w:rsidRPr="005F2CB3">
        <w:rPr>
          <w:noProof/>
          <w:lang w:val="es-UY"/>
        </w:rPr>
        <w:tab/>
      </w:r>
      <w:r>
        <w:rPr>
          <w:noProof/>
        </w:rPr>
        <w:fldChar w:fldCharType="begin"/>
      </w:r>
      <w:r w:rsidRPr="005F2CB3">
        <w:rPr>
          <w:noProof/>
          <w:lang w:val="es-UY"/>
        </w:rPr>
        <w:instrText xml:space="preserve"> PAGEREF _Toc436014305 \h </w:instrText>
      </w:r>
      <w:r>
        <w:rPr>
          <w:noProof/>
        </w:rPr>
      </w:r>
      <w:r>
        <w:rPr>
          <w:noProof/>
        </w:rPr>
        <w:fldChar w:fldCharType="separate"/>
      </w:r>
      <w:r w:rsidRPr="005F2CB3">
        <w:rPr>
          <w:noProof/>
          <w:lang w:val="es-UY"/>
        </w:rPr>
        <w:t>21</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8.1</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_Toc436014306 \h </w:instrText>
      </w:r>
      <w:r>
        <w:rPr>
          <w:noProof/>
        </w:rPr>
      </w:r>
      <w:r>
        <w:rPr>
          <w:noProof/>
        </w:rPr>
        <w:fldChar w:fldCharType="separate"/>
      </w:r>
      <w:r w:rsidRPr="005F2CB3">
        <w:rPr>
          <w:noProof/>
          <w:lang w:val="es-UY"/>
        </w:rPr>
        <w:t>21</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8.2</w:t>
      </w:r>
      <w:r w:rsidRPr="003761DB">
        <w:rPr>
          <w:rFonts w:ascii="Calibri" w:hAnsi="Calibri" w:cs="Times New Roman"/>
          <w:noProof/>
          <w:sz w:val="22"/>
          <w:szCs w:val="22"/>
          <w:lang w:val="es-UY" w:eastAsia="es-UY"/>
        </w:rPr>
        <w:tab/>
      </w:r>
      <w:r w:rsidRPr="00F87647">
        <w:rPr>
          <w:bCs/>
          <w:noProof/>
          <w:lang w:val="es"/>
        </w:rPr>
        <w:t xml:space="preserve">[Nombre de la subcategoría 2, </w:t>
      </w:r>
      <w:r w:rsidRPr="00F87647">
        <w:rPr>
          <w:bCs/>
          <w:noProof/>
          <w:u w:val="single"/>
          <w:lang w:val="es"/>
        </w:rPr>
        <w:t>etc</w:t>
      </w:r>
      <w:r w:rsidRPr="00F87647">
        <w:rPr>
          <w:bCs/>
          <w:noProof/>
          <w:lang w:val="es"/>
        </w:rPr>
        <w:t>. (insertar más secciones)]</w:t>
      </w:r>
      <w:r w:rsidRPr="005F2CB3">
        <w:rPr>
          <w:noProof/>
          <w:lang w:val="es-UY"/>
        </w:rPr>
        <w:tab/>
      </w:r>
      <w:r>
        <w:rPr>
          <w:noProof/>
        </w:rPr>
        <w:fldChar w:fldCharType="begin"/>
      </w:r>
      <w:r w:rsidRPr="005F2CB3">
        <w:rPr>
          <w:noProof/>
          <w:lang w:val="es-UY"/>
        </w:rPr>
        <w:instrText xml:space="preserve"> PAGEREF _Toc436014307 \h </w:instrText>
      </w:r>
      <w:r>
        <w:rPr>
          <w:noProof/>
        </w:rPr>
      </w:r>
      <w:r>
        <w:rPr>
          <w:noProof/>
        </w:rPr>
        <w:fldChar w:fldCharType="separate"/>
      </w:r>
      <w:r w:rsidRPr="005F2CB3">
        <w:rPr>
          <w:noProof/>
          <w:lang w:val="es-UY"/>
        </w:rPr>
        <w:t>21</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8.3</w:t>
      </w:r>
      <w:r w:rsidRPr="003761DB">
        <w:rPr>
          <w:rFonts w:ascii="Calibri" w:hAnsi="Calibri" w:cs="Times New Roman"/>
          <w:noProof/>
          <w:sz w:val="22"/>
          <w:szCs w:val="22"/>
          <w:lang w:val="es-UY" w:eastAsia="es-UY"/>
        </w:rPr>
        <w:tab/>
      </w:r>
      <w:r w:rsidRPr="00F87647">
        <w:rPr>
          <w:bCs/>
          <w:noProof/>
          <w:lang w:val="es"/>
        </w:rPr>
        <w:t>Prueba de factores predeterminados de desechos y aguas residuales</w:t>
      </w:r>
      <w:r w:rsidRPr="005F2CB3">
        <w:rPr>
          <w:noProof/>
          <w:lang w:val="es-UY"/>
        </w:rPr>
        <w:tab/>
      </w:r>
      <w:r>
        <w:rPr>
          <w:noProof/>
        </w:rPr>
        <w:fldChar w:fldCharType="begin"/>
      </w:r>
      <w:r w:rsidRPr="005F2CB3">
        <w:rPr>
          <w:noProof/>
          <w:lang w:val="es-UY"/>
        </w:rPr>
        <w:instrText xml:space="preserve"> PAGEREF _Toc436014308 \h </w:instrText>
      </w:r>
      <w:r>
        <w:rPr>
          <w:noProof/>
        </w:rPr>
      </w:r>
      <w:r>
        <w:rPr>
          <w:noProof/>
        </w:rPr>
        <w:fldChar w:fldCharType="separate"/>
      </w:r>
      <w:r w:rsidRPr="005F2CB3">
        <w:rPr>
          <w:noProof/>
          <w:lang w:val="es-UY"/>
        </w:rPr>
        <w:t>21</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lastRenderedPageBreak/>
        <w:t>9</w:t>
      </w:r>
      <w:r w:rsidRPr="003761DB">
        <w:rPr>
          <w:rFonts w:ascii="Calibri" w:hAnsi="Calibri" w:cs="Times New Roman"/>
          <w:b w:val="0"/>
          <w:noProof/>
          <w:sz w:val="22"/>
          <w:szCs w:val="22"/>
          <w:lang w:val="es-UY" w:eastAsia="es-UY"/>
        </w:rPr>
        <w:tab/>
      </w:r>
      <w:r w:rsidRPr="00F87647">
        <w:rPr>
          <w:bCs/>
          <w:noProof/>
          <w:lang w:val="es"/>
        </w:rPr>
        <w:t>Datos e inventario sobre consumo general de mercurio en productos, como mercurio metálico y sustancias que contienen mercurio</w:t>
      </w:r>
      <w:r w:rsidRPr="005F2CB3">
        <w:rPr>
          <w:noProof/>
          <w:lang w:val="es-UY"/>
        </w:rPr>
        <w:tab/>
      </w:r>
      <w:r>
        <w:rPr>
          <w:noProof/>
        </w:rPr>
        <w:fldChar w:fldCharType="begin"/>
      </w:r>
      <w:r w:rsidRPr="005F2CB3">
        <w:rPr>
          <w:noProof/>
          <w:lang w:val="es-UY"/>
        </w:rPr>
        <w:instrText xml:space="preserve"> PAGEREF _Toc436014309 \h </w:instrText>
      </w:r>
      <w:r>
        <w:rPr>
          <w:noProof/>
        </w:rPr>
      </w:r>
      <w:r>
        <w:rPr>
          <w:noProof/>
        </w:rPr>
        <w:fldChar w:fldCharType="separate"/>
      </w:r>
      <w:r w:rsidRPr="005F2CB3">
        <w:rPr>
          <w:noProof/>
          <w:lang w:val="es-UY"/>
        </w:rPr>
        <w:t>23</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9.1</w:t>
      </w:r>
      <w:r w:rsidRPr="003761DB">
        <w:rPr>
          <w:rFonts w:ascii="Calibri" w:hAnsi="Calibri" w:cs="Times New Roman"/>
          <w:noProof/>
          <w:sz w:val="22"/>
          <w:szCs w:val="22"/>
          <w:lang w:val="es-UY" w:eastAsia="es-UY"/>
        </w:rPr>
        <w:tab/>
      </w:r>
      <w:r w:rsidRPr="00F87647">
        <w:rPr>
          <w:bCs/>
          <w:noProof/>
          <w:lang w:val="es"/>
        </w:rPr>
        <w:t>Antecedentes generales</w:t>
      </w:r>
      <w:r w:rsidRPr="005F2CB3">
        <w:rPr>
          <w:noProof/>
          <w:lang w:val="es-UY"/>
        </w:rPr>
        <w:tab/>
      </w:r>
      <w:r>
        <w:rPr>
          <w:noProof/>
        </w:rPr>
        <w:fldChar w:fldCharType="begin"/>
      </w:r>
      <w:r w:rsidRPr="005F2CB3">
        <w:rPr>
          <w:noProof/>
          <w:lang w:val="es-UY"/>
        </w:rPr>
        <w:instrText xml:space="preserve"> PAGEREF _Toc436014310 \h </w:instrText>
      </w:r>
      <w:r>
        <w:rPr>
          <w:noProof/>
        </w:rPr>
      </w:r>
      <w:r>
        <w:rPr>
          <w:noProof/>
        </w:rPr>
        <w:fldChar w:fldCharType="separate"/>
      </w:r>
      <w:r w:rsidRPr="005F2CB3">
        <w:rPr>
          <w:noProof/>
          <w:lang w:val="es-UY"/>
        </w:rPr>
        <w:t>23</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9.2</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_Toc436014311 \h </w:instrText>
      </w:r>
      <w:r>
        <w:rPr>
          <w:noProof/>
        </w:rPr>
      </w:r>
      <w:r>
        <w:rPr>
          <w:noProof/>
        </w:rPr>
        <w:fldChar w:fldCharType="separate"/>
      </w:r>
      <w:r w:rsidRPr="005F2CB3">
        <w:rPr>
          <w:noProof/>
          <w:lang w:val="es-UY"/>
        </w:rPr>
        <w:t>24</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9.3</w:t>
      </w:r>
      <w:r w:rsidRPr="003761DB">
        <w:rPr>
          <w:rFonts w:ascii="Calibri" w:hAnsi="Calibri" w:cs="Times New Roman"/>
          <w:noProof/>
          <w:sz w:val="22"/>
          <w:szCs w:val="22"/>
          <w:lang w:val="es-UY" w:eastAsia="es-UY"/>
        </w:rPr>
        <w:tab/>
      </w:r>
      <w:r w:rsidRPr="00F87647">
        <w:rPr>
          <w:bCs/>
          <w:noProof/>
          <w:lang w:val="es"/>
        </w:rPr>
        <w:t>[Nombre de la subcategoría 2, etc.]</w:t>
      </w:r>
      <w:r w:rsidRPr="005F2CB3">
        <w:rPr>
          <w:noProof/>
          <w:lang w:val="es-UY"/>
        </w:rPr>
        <w:tab/>
      </w:r>
      <w:r>
        <w:rPr>
          <w:noProof/>
        </w:rPr>
        <w:fldChar w:fldCharType="begin"/>
      </w:r>
      <w:r w:rsidRPr="005F2CB3">
        <w:rPr>
          <w:noProof/>
          <w:lang w:val="es-UY"/>
        </w:rPr>
        <w:instrText xml:space="preserve"> PAGEREF _Toc436014312 \h </w:instrText>
      </w:r>
      <w:r>
        <w:rPr>
          <w:noProof/>
        </w:rPr>
      </w:r>
      <w:r>
        <w:rPr>
          <w:noProof/>
        </w:rPr>
        <w:fldChar w:fldCharType="separate"/>
      </w:r>
      <w:r w:rsidRPr="005F2CB3">
        <w:rPr>
          <w:noProof/>
          <w:lang w:val="es-UY"/>
        </w:rPr>
        <w:t>24</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rFonts w:cs="Times New Roman"/>
          <w:noProof/>
          <w:lang w:val="es-UY"/>
        </w:rPr>
        <w:t>10</w:t>
      </w:r>
      <w:r w:rsidRPr="003761DB">
        <w:rPr>
          <w:rFonts w:ascii="Calibri" w:hAnsi="Calibri" w:cs="Times New Roman"/>
          <w:b w:val="0"/>
          <w:noProof/>
          <w:sz w:val="22"/>
          <w:szCs w:val="22"/>
          <w:lang w:val="es-UY" w:eastAsia="es-UY"/>
        </w:rPr>
        <w:tab/>
      </w:r>
      <w:r w:rsidRPr="00F87647">
        <w:rPr>
          <w:bCs/>
          <w:noProof/>
          <w:lang w:val="es"/>
        </w:rPr>
        <w:t>Datos e inventario sobre crematorios y cementerios</w:t>
      </w:r>
      <w:r w:rsidRPr="005F2CB3">
        <w:rPr>
          <w:noProof/>
          <w:lang w:val="es-UY"/>
        </w:rPr>
        <w:tab/>
      </w:r>
      <w:r>
        <w:rPr>
          <w:noProof/>
        </w:rPr>
        <w:fldChar w:fldCharType="begin"/>
      </w:r>
      <w:r w:rsidRPr="005F2CB3">
        <w:rPr>
          <w:noProof/>
          <w:lang w:val="es-UY"/>
        </w:rPr>
        <w:instrText xml:space="preserve"> PAGEREF _Toc436014313 \h </w:instrText>
      </w:r>
      <w:r>
        <w:rPr>
          <w:noProof/>
        </w:rPr>
      </w:r>
      <w:r>
        <w:rPr>
          <w:noProof/>
        </w:rPr>
        <w:fldChar w:fldCharType="separate"/>
      </w:r>
      <w:r w:rsidRPr="005F2CB3">
        <w:rPr>
          <w:noProof/>
          <w:lang w:val="es-UY"/>
        </w:rPr>
        <w:t>25</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5F2CB3">
        <w:rPr>
          <w:rFonts w:cs="Times New Roman"/>
          <w:noProof/>
          <w:lang w:val="es-UY"/>
        </w:rPr>
        <w:t>10.1</w:t>
      </w:r>
      <w:r w:rsidRPr="003761DB">
        <w:rPr>
          <w:rFonts w:ascii="Calibri" w:hAnsi="Calibri" w:cs="Times New Roman"/>
          <w:noProof/>
          <w:sz w:val="22"/>
          <w:szCs w:val="22"/>
          <w:lang w:val="es-UY" w:eastAsia="es-UY"/>
        </w:rPr>
        <w:tab/>
      </w:r>
      <w:r w:rsidRPr="00F87647">
        <w:rPr>
          <w:bCs/>
          <w:noProof/>
          <w:lang w:val="es"/>
        </w:rPr>
        <w:t>[Nombre de la subcategoría 1]</w:t>
      </w:r>
      <w:r w:rsidRPr="005F2CB3">
        <w:rPr>
          <w:noProof/>
          <w:lang w:val="es-UY"/>
        </w:rPr>
        <w:tab/>
      </w:r>
      <w:r>
        <w:rPr>
          <w:noProof/>
        </w:rPr>
        <w:fldChar w:fldCharType="begin"/>
      </w:r>
      <w:r w:rsidRPr="005F2CB3">
        <w:rPr>
          <w:noProof/>
          <w:lang w:val="es-UY"/>
        </w:rPr>
        <w:instrText xml:space="preserve"> PAGEREF _Toc436014314 \h </w:instrText>
      </w:r>
      <w:r>
        <w:rPr>
          <w:noProof/>
        </w:rPr>
      </w:r>
      <w:r>
        <w:rPr>
          <w:noProof/>
        </w:rPr>
        <w:fldChar w:fldCharType="separate"/>
      </w:r>
      <w:r w:rsidRPr="005F2CB3">
        <w:rPr>
          <w:noProof/>
          <w:lang w:val="es-UY"/>
        </w:rPr>
        <w:t>25</w:t>
      </w:r>
      <w:r>
        <w:rPr>
          <w:noProof/>
        </w:rPr>
        <w:fldChar w:fldCharType="end"/>
      </w:r>
    </w:p>
    <w:p w:rsidR="005F2CB3" w:rsidRPr="003761DB" w:rsidRDefault="005F2CB3">
      <w:pPr>
        <w:pStyle w:val="TOC2"/>
        <w:rPr>
          <w:rFonts w:ascii="Calibri" w:hAnsi="Calibri" w:cs="Times New Roman"/>
          <w:noProof/>
          <w:sz w:val="22"/>
          <w:szCs w:val="22"/>
          <w:lang w:val="es-UY" w:eastAsia="es-UY"/>
        </w:rPr>
      </w:pPr>
      <w:r w:rsidRPr="00F87647">
        <w:rPr>
          <w:rFonts w:cs="Times New Roman"/>
          <w:noProof/>
          <w:lang w:val="es-UY"/>
        </w:rPr>
        <w:t>10.2</w:t>
      </w:r>
      <w:r w:rsidRPr="003761DB">
        <w:rPr>
          <w:rFonts w:ascii="Calibri" w:hAnsi="Calibri" w:cs="Times New Roman"/>
          <w:noProof/>
          <w:sz w:val="22"/>
          <w:szCs w:val="22"/>
          <w:lang w:val="es-UY" w:eastAsia="es-UY"/>
        </w:rPr>
        <w:tab/>
      </w:r>
      <w:r w:rsidRPr="00F87647">
        <w:rPr>
          <w:bCs/>
          <w:noProof/>
          <w:lang w:val="es"/>
        </w:rPr>
        <w:t>[Nombre de la subcategoría 2, etc.]</w:t>
      </w:r>
      <w:r w:rsidRPr="005F2CB3">
        <w:rPr>
          <w:noProof/>
          <w:lang w:val="es-UY"/>
        </w:rPr>
        <w:tab/>
      </w:r>
      <w:r>
        <w:rPr>
          <w:noProof/>
        </w:rPr>
        <w:fldChar w:fldCharType="begin"/>
      </w:r>
      <w:r w:rsidRPr="005F2CB3">
        <w:rPr>
          <w:noProof/>
          <w:lang w:val="es-UY"/>
        </w:rPr>
        <w:instrText xml:space="preserve"> PAGEREF _Toc436014315 \h </w:instrText>
      </w:r>
      <w:r>
        <w:rPr>
          <w:noProof/>
        </w:rPr>
      </w:r>
      <w:r>
        <w:rPr>
          <w:noProof/>
        </w:rPr>
        <w:fldChar w:fldCharType="separate"/>
      </w:r>
      <w:r w:rsidRPr="005F2CB3">
        <w:rPr>
          <w:noProof/>
          <w:lang w:val="es-UY"/>
        </w:rPr>
        <w:t>25</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bCs/>
          <w:noProof/>
          <w:lang w:val="es"/>
        </w:rPr>
        <w:t>Referencias</w:t>
      </w:r>
      <w:r w:rsidRPr="005F2CB3">
        <w:rPr>
          <w:noProof/>
          <w:lang w:val="es-UY"/>
        </w:rPr>
        <w:tab/>
      </w:r>
      <w:r>
        <w:rPr>
          <w:noProof/>
        </w:rPr>
        <w:fldChar w:fldCharType="begin"/>
      </w:r>
      <w:r w:rsidRPr="005F2CB3">
        <w:rPr>
          <w:noProof/>
          <w:lang w:val="es-UY"/>
        </w:rPr>
        <w:instrText xml:space="preserve"> PAGEREF _Toc436014316 \h </w:instrText>
      </w:r>
      <w:r>
        <w:rPr>
          <w:noProof/>
        </w:rPr>
      </w:r>
      <w:r>
        <w:rPr>
          <w:noProof/>
        </w:rPr>
        <w:fldChar w:fldCharType="separate"/>
      </w:r>
      <w:r w:rsidRPr="005F2CB3">
        <w:rPr>
          <w:noProof/>
          <w:lang w:val="es-UY"/>
        </w:rPr>
        <w:t>26</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bCs/>
          <w:noProof/>
          <w:lang w:val="es"/>
        </w:rPr>
        <w:t>Apéndice 1 - Hoja de cálculo para nivel de inventario 1</w:t>
      </w:r>
      <w:r w:rsidRPr="005F2CB3">
        <w:rPr>
          <w:noProof/>
          <w:lang w:val="es-UY"/>
        </w:rPr>
        <w:tab/>
      </w:r>
      <w:r>
        <w:rPr>
          <w:noProof/>
        </w:rPr>
        <w:fldChar w:fldCharType="begin"/>
      </w:r>
      <w:r w:rsidRPr="005F2CB3">
        <w:rPr>
          <w:noProof/>
          <w:lang w:val="es-UY"/>
        </w:rPr>
        <w:instrText xml:space="preserve"> PAGEREF _Toc436014317 \h </w:instrText>
      </w:r>
      <w:r>
        <w:rPr>
          <w:noProof/>
        </w:rPr>
      </w:r>
      <w:r>
        <w:rPr>
          <w:noProof/>
        </w:rPr>
        <w:fldChar w:fldCharType="separate"/>
      </w:r>
      <w:r w:rsidRPr="005F2CB3">
        <w:rPr>
          <w:noProof/>
          <w:lang w:val="es-UY"/>
        </w:rPr>
        <w:t>27</w:t>
      </w:r>
      <w:r>
        <w:rPr>
          <w:noProof/>
        </w:rPr>
        <w:fldChar w:fldCharType="end"/>
      </w:r>
    </w:p>
    <w:p w:rsidR="005F2CB3" w:rsidRPr="003761DB" w:rsidRDefault="005F2CB3">
      <w:pPr>
        <w:pStyle w:val="TOC1"/>
        <w:rPr>
          <w:rFonts w:ascii="Calibri" w:hAnsi="Calibri" w:cs="Times New Roman"/>
          <w:b w:val="0"/>
          <w:noProof/>
          <w:sz w:val="22"/>
          <w:szCs w:val="22"/>
          <w:lang w:val="es-UY" w:eastAsia="es-UY"/>
        </w:rPr>
      </w:pPr>
      <w:r w:rsidRPr="00F87647">
        <w:rPr>
          <w:bCs/>
          <w:noProof/>
          <w:lang w:val="es"/>
        </w:rPr>
        <w:t>Apéndice 2 - Hojas de cálculo para nivel de inventario 2 (si corresponde)</w:t>
      </w:r>
      <w:r w:rsidRPr="005F2CB3">
        <w:rPr>
          <w:noProof/>
          <w:lang w:val="es-UY"/>
        </w:rPr>
        <w:tab/>
      </w:r>
      <w:r>
        <w:rPr>
          <w:noProof/>
        </w:rPr>
        <w:fldChar w:fldCharType="begin"/>
      </w:r>
      <w:r w:rsidRPr="005F2CB3">
        <w:rPr>
          <w:noProof/>
          <w:lang w:val="es-UY"/>
        </w:rPr>
        <w:instrText xml:space="preserve"> PAGEREF _Toc436014318 \h </w:instrText>
      </w:r>
      <w:r>
        <w:rPr>
          <w:noProof/>
        </w:rPr>
      </w:r>
      <w:r>
        <w:rPr>
          <w:noProof/>
        </w:rPr>
        <w:fldChar w:fldCharType="separate"/>
      </w:r>
      <w:r w:rsidRPr="005F2CB3">
        <w:rPr>
          <w:noProof/>
          <w:lang w:val="es-UY"/>
        </w:rPr>
        <w:t>28</w:t>
      </w:r>
      <w:r>
        <w:rPr>
          <w:noProof/>
        </w:rPr>
        <w:fldChar w:fldCharType="end"/>
      </w:r>
    </w:p>
    <w:p w:rsidR="0065773C" w:rsidRPr="005F2CB3" w:rsidRDefault="002B2414">
      <w:pPr>
        <w:pStyle w:val="BodyTextNoSpace"/>
        <w:rPr>
          <w:lang w:val="es-UY"/>
        </w:rPr>
      </w:pPr>
      <w:r>
        <w:fldChar w:fldCharType="end"/>
      </w:r>
    </w:p>
    <w:p w:rsidR="0065773C" w:rsidRPr="005F2CB3" w:rsidRDefault="0065773C">
      <w:pPr>
        <w:pStyle w:val="BodyTextNoSpace"/>
        <w:rPr>
          <w:lang w:val="es-UY"/>
        </w:rPr>
      </w:pPr>
    </w:p>
    <w:p w:rsidR="0065773C" w:rsidRDefault="002B2414">
      <w:pPr>
        <w:pStyle w:val="Heading1"/>
      </w:pPr>
      <w:bookmarkStart w:id="1" w:name="_Toc436014292"/>
      <w:r>
        <w:rPr>
          <w:bCs/>
          <w:lang w:val="es"/>
        </w:rPr>
        <w:lastRenderedPageBreak/>
        <w:t>Resumen ejecutivo</w:t>
      </w:r>
      <w:bookmarkEnd w:id="1"/>
    </w:p>
    <w:p w:rsidR="0065773C" w:rsidRPr="00F27173" w:rsidRDefault="002B2414">
      <w:pPr>
        <w:pStyle w:val="BodyText"/>
        <w:rPr>
          <w:i/>
          <w:lang w:val="es-UY"/>
        </w:rPr>
      </w:pPr>
      <w:r>
        <w:rPr>
          <w:i/>
          <w:iCs/>
          <w:lang w:val="es"/>
        </w:rPr>
        <w:t>[Esta sección presenta un resumen muy abreviado de los resultados principales]</w:t>
      </w:r>
    </w:p>
    <w:p w:rsidR="0065773C" w:rsidRPr="00F27173" w:rsidRDefault="002B2414">
      <w:pPr>
        <w:pStyle w:val="Heading4"/>
        <w:rPr>
          <w:lang w:val="es-UY"/>
        </w:rPr>
      </w:pPr>
      <w:r>
        <w:rPr>
          <w:bCs/>
          <w:lang w:val="es"/>
        </w:rPr>
        <w:t>Introducción</w:t>
      </w:r>
    </w:p>
    <w:p w:rsidR="0065773C" w:rsidRPr="00F27173" w:rsidRDefault="002B2414">
      <w:pPr>
        <w:pStyle w:val="BodyText"/>
        <w:rPr>
          <w:i/>
          <w:lang w:val="es-UY"/>
        </w:rPr>
      </w:pPr>
      <w:r>
        <w:rPr>
          <w:i/>
          <w:iCs/>
          <w:lang w:val="es"/>
        </w:rPr>
        <w:t>[Autor</w:t>
      </w:r>
      <w:r w:rsidR="00935308">
        <w:rPr>
          <w:i/>
          <w:iCs/>
          <w:lang w:val="es"/>
        </w:rPr>
        <w:t>, fecha y motivo del inventario</w:t>
      </w:r>
      <w:r>
        <w:rPr>
          <w:i/>
          <w:iCs/>
          <w:lang w:val="es"/>
        </w:rPr>
        <w:t>]</w:t>
      </w:r>
    </w:p>
    <w:p w:rsidR="0065773C" w:rsidRPr="00F27173" w:rsidRDefault="002B2414">
      <w:pPr>
        <w:pStyle w:val="BodyText"/>
        <w:rPr>
          <w:lang w:val="es-UY"/>
        </w:rPr>
      </w:pPr>
      <w:r>
        <w:rPr>
          <w:lang w:val="es"/>
        </w:rPr>
        <w:t xml:space="preserve">Este inventario fue realizado en </w:t>
      </w:r>
      <w:r>
        <w:rPr>
          <w:i/>
          <w:iCs/>
          <w:lang w:val="es"/>
        </w:rPr>
        <w:t>[indicar el año]</w:t>
      </w:r>
      <w:r>
        <w:rPr>
          <w:lang w:val="es"/>
        </w:rPr>
        <w:t xml:space="preserve">. Para la elaboración de este inventario se utilizaron los datos del año </w:t>
      </w:r>
      <w:r>
        <w:rPr>
          <w:i/>
          <w:iCs/>
          <w:lang w:val="es"/>
        </w:rPr>
        <w:t>[escribir el año]</w:t>
      </w:r>
      <w:r>
        <w:rPr>
          <w:lang w:val="es"/>
        </w:rPr>
        <w:t xml:space="preserve">, </w:t>
      </w:r>
      <w:r w:rsidR="00935308">
        <w:rPr>
          <w:lang w:val="es"/>
        </w:rPr>
        <w:t>cuando estuvieron disponibles</w:t>
      </w:r>
      <w:r>
        <w:rPr>
          <w:lang w:val="es"/>
        </w:rPr>
        <w:t>. Para algunos tipos de datos, no se contó con los datos correspondientes a este año. Para todos los datos aportados, se indica el año correspondiente en las secciones pertinentes del presente informe.</w:t>
      </w:r>
    </w:p>
    <w:p w:rsidR="0065773C" w:rsidRPr="00F27173" w:rsidRDefault="002B2414">
      <w:pPr>
        <w:pStyle w:val="BodyText"/>
        <w:rPr>
          <w:lang w:val="es-UY"/>
        </w:rPr>
      </w:pPr>
      <w:r>
        <w:rPr>
          <w:lang w:val="es"/>
        </w:rPr>
        <w:t>Para realizar este inventario sobre las emisiones de mercurio se utilizó el kit de herramientas para la identificación y cuantificación de las emisiones de merc</w:t>
      </w:r>
      <w:r w:rsidR="00075691">
        <w:rPr>
          <w:lang w:val="es"/>
        </w:rPr>
        <w:t>urio facilitado por la división de productos</w:t>
      </w:r>
      <w:r>
        <w:rPr>
          <w:lang w:val="es"/>
        </w:rPr>
        <w:t xml:space="preserve"> químicos del Programa de Naciones Unidas para el Medio Ambiente (PNUMA </w:t>
      </w:r>
      <w:r w:rsidR="00075691">
        <w:rPr>
          <w:lang w:val="es"/>
        </w:rPr>
        <w:t>Productos Químicos</w:t>
      </w:r>
      <w:r>
        <w:rPr>
          <w:lang w:val="es"/>
        </w:rPr>
        <w:t xml:space="preserve">) El kit de herramientas está disponible en el sitio web de PNUMA </w:t>
      </w:r>
      <w:r w:rsidR="00075691">
        <w:rPr>
          <w:lang w:val="es"/>
        </w:rPr>
        <w:t>Productos Químicos</w:t>
      </w:r>
      <w:r>
        <w:rPr>
          <w:lang w:val="es"/>
        </w:rPr>
        <w:t>:</w:t>
      </w:r>
    </w:p>
    <w:p w:rsidR="0065773C" w:rsidRPr="00F27173" w:rsidRDefault="0088174A">
      <w:pPr>
        <w:pStyle w:val="BodyText"/>
        <w:rPr>
          <w:lang w:val="es-UY"/>
        </w:rPr>
      </w:pPr>
      <w:hyperlink r:id="rId7" w:history="1">
        <w:r w:rsidR="00DB58F8">
          <w:rPr>
            <w:rStyle w:val="Hyperlink"/>
            <w:lang w:val="es"/>
          </w:rPr>
          <w:t>http://www.unep.org/hazardoussubstances/Mercury/MercuryPublications/GuidanceTrainingMaterialToolkits/MercuryToolkit/tabid/4566/language/en-US/Default.aspx</w:t>
        </w:r>
      </w:hyperlink>
    </w:p>
    <w:p w:rsidR="0065773C" w:rsidRPr="00F27173" w:rsidRDefault="002B2414">
      <w:pPr>
        <w:pStyle w:val="BodyText"/>
        <w:rPr>
          <w:lang w:val="es-UY"/>
        </w:rPr>
      </w:pPr>
      <w:r>
        <w:rPr>
          <w:lang w:val="es"/>
        </w:rPr>
        <w:t xml:space="preserve">Este inventario fue elaborado en el nivel de inventario 1 del kit de herramientas. </w:t>
      </w:r>
      <w:r w:rsidR="00075691">
        <w:rPr>
          <w:lang w:val="es"/>
        </w:rPr>
        <w:t>Este último se</w:t>
      </w:r>
      <w:r>
        <w:rPr>
          <w:lang w:val="es"/>
        </w:rPr>
        <w:t xml:space="preserve"> basa en los balances de masa para cada tipo de fuente de emisiones de mercurio. El nivel de inventario 1 funciona con factores predeterminados utilizados en el cálculo de los aportes de mercurio a la sociedad y de las emisiones, los llamados factores predeterminados de distribución de entrada y salida. Estos factores se obtuvieron a partir de los datos sobre las entradas y emisiones de mercurio provenientes de los tipos de fuentes de mercurio pertinentes disponibles en la bibliografía y otras fuentes de información pertinentes.</w:t>
      </w:r>
    </w:p>
    <w:p w:rsidR="0065773C" w:rsidRPr="00F27173" w:rsidRDefault="002B2414">
      <w:pPr>
        <w:pStyle w:val="BodyText"/>
        <w:rPr>
          <w:lang w:val="es-UY"/>
        </w:rPr>
      </w:pPr>
      <w:r>
        <w:rPr>
          <w:lang w:val="es"/>
        </w:rPr>
        <w:t>[[</w:t>
      </w:r>
      <w:r>
        <w:rPr>
          <w:i/>
          <w:iCs/>
          <w:lang w:val="es"/>
        </w:rPr>
        <w:t>Suprimir si no corresponde</w:t>
      </w:r>
      <w:r>
        <w:rPr>
          <w:lang w:val="es"/>
        </w:rPr>
        <w:t>] Para las siguientes subcategorías de fuentes de mercurio, sin embargo, las estimaciones sobre las entradas y emisiones se basaron en el nivel de inventario 2 más detallado del kit de herramientas, en el que la estimación fue realizada en un nivel más detallado:</w:t>
      </w:r>
    </w:p>
    <w:p w:rsidR="0065773C" w:rsidRPr="00F27173" w:rsidRDefault="002B2414">
      <w:pPr>
        <w:pStyle w:val="BodyText"/>
        <w:rPr>
          <w:lang w:val="es-UY"/>
        </w:rPr>
      </w:pPr>
      <w:r>
        <w:rPr>
          <w:lang w:val="es"/>
        </w:rPr>
        <w:lastRenderedPageBreak/>
        <w:t>[</w:t>
      </w:r>
      <w:r>
        <w:rPr>
          <w:i/>
          <w:iCs/>
          <w:lang w:val="es"/>
        </w:rPr>
        <w:t>Enumerar las subcategorías de fuentes para las cuales se realizó el inventario en el nivel de inventario 2</w:t>
      </w:r>
      <w:r>
        <w:rPr>
          <w:lang w:val="es"/>
        </w:rPr>
        <w:t>]</w:t>
      </w:r>
    </w:p>
    <w:p w:rsidR="0065773C" w:rsidRPr="00F27173" w:rsidRDefault="002B2414">
      <w:pPr>
        <w:pStyle w:val="BodyText"/>
        <w:rPr>
          <w:lang w:val="es-UY"/>
        </w:rPr>
      </w:pPr>
      <w:r>
        <w:rPr>
          <w:lang w:val="es"/>
        </w:rPr>
        <w:t>Ver una descripción más detallada de estas estimaciones en las secciones pertinentes de tipos de fuentes.</w:t>
      </w:r>
    </w:p>
    <w:p w:rsidR="0065773C" w:rsidRPr="00F27173" w:rsidRDefault="002B2414">
      <w:pPr>
        <w:pStyle w:val="Heading4"/>
        <w:rPr>
          <w:lang w:val="es-UY"/>
        </w:rPr>
      </w:pPr>
      <w:r>
        <w:rPr>
          <w:bCs/>
          <w:lang w:val="es"/>
        </w:rPr>
        <w:t>Resultados y análisis</w:t>
      </w:r>
    </w:p>
    <w:p w:rsidR="0065773C" w:rsidRPr="00F27173" w:rsidRDefault="002B2414">
      <w:pPr>
        <w:pStyle w:val="BodyText"/>
        <w:rPr>
          <w:lang w:val="es-UY"/>
        </w:rPr>
      </w:pPr>
      <w:r>
        <w:rPr>
          <w:lang w:val="es"/>
        </w:rPr>
        <w:t>En la [Figura 1.1 - 1.x y en la] Tabla 1.1 a continuación se presentan los resultados totales para los principales grupos de fuentes de emisión de mercurio.</w:t>
      </w:r>
    </w:p>
    <w:p w:rsidR="0065773C" w:rsidRPr="00F27173" w:rsidRDefault="00075691">
      <w:pPr>
        <w:pStyle w:val="BodyText"/>
        <w:rPr>
          <w:i/>
          <w:lang w:val="es-UY"/>
        </w:rPr>
      </w:pPr>
      <w:r>
        <w:rPr>
          <w:i/>
          <w:iCs/>
          <w:lang w:val="es"/>
        </w:rPr>
        <w:t>[Si se desea, insertar las gráficas</w:t>
      </w:r>
      <w:r w:rsidR="002B2414">
        <w:rPr>
          <w:i/>
          <w:iCs/>
          <w:lang w:val="es"/>
        </w:rPr>
        <w:t xml:space="preserve"> estándar de la hoja de cálculo con las notas pertinentes de la página de cálculo de </w:t>
      </w:r>
      <w:r>
        <w:rPr>
          <w:i/>
          <w:iCs/>
          <w:lang w:val="es"/>
        </w:rPr>
        <w:t>las gráficas</w:t>
      </w:r>
      <w:r w:rsidR="002B2414">
        <w:rPr>
          <w:i/>
          <w:iCs/>
          <w:lang w:val="es"/>
        </w:rPr>
        <w:t>.</w:t>
      </w:r>
      <w:r w:rsidR="002B2414">
        <w:rPr>
          <w:lang w:val="es"/>
        </w:rPr>
        <w:t xml:space="preserve"> </w:t>
      </w:r>
      <w:r w:rsidR="002B2414">
        <w:rPr>
          <w:i/>
          <w:iCs/>
          <w:lang w:val="es"/>
        </w:rPr>
        <w:t>Recuerde introducir las leyendas de las figuras numeradas que explican el contenido de las figuras].</w:t>
      </w:r>
    </w:p>
    <w:p w:rsidR="0065773C" w:rsidRPr="00F27173" w:rsidRDefault="002B2414">
      <w:pPr>
        <w:pStyle w:val="BodyText"/>
        <w:rPr>
          <w:i/>
          <w:lang w:val="es-UY"/>
        </w:rPr>
      </w:pPr>
      <w:r>
        <w:rPr>
          <w:lang w:val="es"/>
        </w:rPr>
        <w:t xml:space="preserve"> </w:t>
      </w:r>
      <w:r>
        <w:rPr>
          <w:i/>
          <w:iCs/>
          <w:lang w:val="es"/>
        </w:rPr>
        <w:t xml:space="preserve">[Copiar las celdas de la tabla en la página de la hoja de cálculo "Nivel 1 </w:t>
      </w:r>
      <w:r w:rsidR="00075691">
        <w:rPr>
          <w:i/>
          <w:iCs/>
          <w:lang w:val="es"/>
        </w:rPr>
        <w:t>–</w:t>
      </w:r>
      <w:r>
        <w:rPr>
          <w:i/>
          <w:iCs/>
          <w:lang w:val="es"/>
        </w:rPr>
        <w:t xml:space="preserve"> Resumen</w:t>
      </w:r>
      <w:r w:rsidR="00075691">
        <w:rPr>
          <w:i/>
          <w:iCs/>
          <w:lang w:val="es"/>
        </w:rPr>
        <w:t xml:space="preserve"> e</w:t>
      </w:r>
      <w:r>
        <w:rPr>
          <w:i/>
          <w:iCs/>
          <w:lang w:val="es"/>
        </w:rPr>
        <w:t>jec.</w:t>
      </w:r>
      <w:r w:rsidR="00075691">
        <w:rPr>
          <w:i/>
          <w:iCs/>
          <w:lang w:val="es"/>
        </w:rPr>
        <w:t>"</w:t>
      </w:r>
      <w:r>
        <w:rPr>
          <w:i/>
          <w:iCs/>
          <w:lang w:val="es"/>
        </w:rPr>
        <w:t xml:space="preserve"> en la tabla de abajo]</w:t>
      </w:r>
      <w:bookmarkStart w:id="2" w:name="RANGE!A2:A21"/>
      <w:bookmarkEnd w:id="2"/>
    </w:p>
    <w:p w:rsidR="0065773C" w:rsidRPr="00F27173" w:rsidRDefault="002B2414">
      <w:pPr>
        <w:pStyle w:val="Caption"/>
        <w:keepNext/>
        <w:keepLines/>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1</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noProof/>
          <w:lang w:val="es"/>
        </w:rPr>
        <w:fldChar w:fldCharType="end"/>
      </w:r>
      <w:r>
        <w:rPr>
          <w:iCs/>
          <w:lang w:val="es"/>
        </w:rPr>
        <w:tab/>
        <w:t>Resumen de resultados del inventario de mercurio</w:t>
      </w:r>
    </w:p>
    <w:tbl>
      <w:tblPr>
        <w:tblW w:w="10243" w:type="dxa"/>
        <w:tblInd w:w="-2733" w:type="dxa"/>
        <w:tblCellMar>
          <w:left w:w="70" w:type="dxa"/>
          <w:right w:w="70" w:type="dxa"/>
        </w:tblCellMar>
        <w:tblLook w:val="00A0" w:firstRow="1" w:lastRow="0" w:firstColumn="1" w:lastColumn="0" w:noHBand="0" w:noVBand="0"/>
      </w:tblPr>
      <w:tblGrid>
        <w:gridCol w:w="1563"/>
        <w:gridCol w:w="803"/>
        <w:gridCol w:w="935"/>
        <w:gridCol w:w="937"/>
        <w:gridCol w:w="856"/>
        <w:gridCol w:w="1026"/>
        <w:gridCol w:w="804"/>
        <w:gridCol w:w="1715"/>
        <w:gridCol w:w="824"/>
        <w:gridCol w:w="810"/>
      </w:tblGrid>
      <w:tr w:rsidR="0065773C" w:rsidTr="00075691">
        <w:trPr>
          <w:trHeight w:val="255"/>
        </w:trPr>
        <w:tc>
          <w:tcPr>
            <w:tcW w:w="1539" w:type="dxa"/>
            <w:tcBorders>
              <w:top w:val="single" w:sz="4" w:space="0" w:color="auto"/>
              <w:left w:val="single" w:sz="4" w:space="0" w:color="auto"/>
              <w:bottom w:val="single" w:sz="4" w:space="0" w:color="auto"/>
              <w:right w:val="single" w:sz="4" w:space="0" w:color="auto"/>
            </w:tcBorders>
            <w:shd w:val="clear" w:color="000000" w:fill="FFFFCC"/>
            <w:vAlign w:val="bottom"/>
          </w:tcPr>
          <w:p w:rsidR="0065773C" w:rsidRPr="00075691" w:rsidRDefault="002B2414">
            <w:pPr>
              <w:spacing w:line="240" w:lineRule="auto"/>
              <w:rPr>
                <w:rFonts w:ascii="Arial" w:hAnsi="Arial" w:cs="Arial"/>
                <w:sz w:val="14"/>
                <w:szCs w:val="14"/>
              </w:rPr>
            </w:pPr>
            <w:r w:rsidRPr="00075691">
              <w:rPr>
                <w:rFonts w:ascii="Arial" w:hAnsi="Arial" w:cs="Arial"/>
                <w:sz w:val="14"/>
                <w:szCs w:val="14"/>
                <w:lang w:val="es"/>
              </w:rPr>
              <w:t>Categoría de la fuente</w:t>
            </w:r>
          </w:p>
        </w:tc>
        <w:tc>
          <w:tcPr>
            <w:tcW w:w="803" w:type="dxa"/>
            <w:vMerge w:val="restart"/>
            <w:tcBorders>
              <w:top w:val="single" w:sz="4" w:space="0" w:color="auto"/>
              <w:left w:val="single" w:sz="4" w:space="0" w:color="auto"/>
              <w:bottom w:val="single" w:sz="4" w:space="0" w:color="000000"/>
              <w:right w:val="single" w:sz="4" w:space="0" w:color="auto"/>
            </w:tcBorders>
            <w:shd w:val="clear" w:color="000000" w:fill="FFFFCC"/>
          </w:tcPr>
          <w:p w:rsidR="0065773C" w:rsidRPr="00075691" w:rsidRDefault="002B2414">
            <w:pPr>
              <w:spacing w:line="240" w:lineRule="auto"/>
              <w:jc w:val="center"/>
              <w:rPr>
                <w:rFonts w:ascii="Arial" w:hAnsi="Arial" w:cs="Arial"/>
                <w:sz w:val="14"/>
                <w:szCs w:val="14"/>
                <w:lang w:val="es-UY"/>
              </w:rPr>
            </w:pPr>
            <w:r w:rsidRPr="00075691">
              <w:rPr>
                <w:rFonts w:ascii="Arial" w:hAnsi="Arial" w:cs="Arial"/>
                <w:sz w:val="14"/>
                <w:szCs w:val="14"/>
                <w:lang w:val="es"/>
              </w:rPr>
              <w:t>Entrada estimada de Hg, kg Hg/a</w:t>
            </w:r>
          </w:p>
        </w:tc>
        <w:tc>
          <w:tcPr>
            <w:tcW w:w="7097" w:type="dxa"/>
            <w:gridSpan w:val="7"/>
            <w:tcBorders>
              <w:top w:val="single" w:sz="4" w:space="0" w:color="auto"/>
              <w:left w:val="nil"/>
              <w:bottom w:val="single" w:sz="4" w:space="0" w:color="auto"/>
              <w:right w:val="single" w:sz="4" w:space="0" w:color="000000"/>
            </w:tcBorders>
            <w:shd w:val="clear" w:color="000000" w:fill="FFFFCC"/>
          </w:tcPr>
          <w:p w:rsidR="0065773C" w:rsidRPr="00075691" w:rsidRDefault="002B2414">
            <w:pPr>
              <w:spacing w:line="240" w:lineRule="auto"/>
              <w:jc w:val="center"/>
              <w:rPr>
                <w:rFonts w:ascii="Arial" w:hAnsi="Arial" w:cs="Arial"/>
                <w:sz w:val="14"/>
                <w:szCs w:val="14"/>
                <w:lang w:val="es-UY"/>
              </w:rPr>
            </w:pPr>
            <w:r w:rsidRPr="00075691">
              <w:rPr>
                <w:rFonts w:ascii="Arial" w:hAnsi="Arial" w:cs="Arial"/>
                <w:sz w:val="14"/>
                <w:szCs w:val="14"/>
                <w:lang w:val="es"/>
              </w:rPr>
              <w:t>Emisiones estimadas de Hg, estimaciones estándar, kg Hg/a</w:t>
            </w:r>
          </w:p>
        </w:tc>
        <w:tc>
          <w:tcPr>
            <w:tcW w:w="804" w:type="dxa"/>
            <w:vMerge w:val="restart"/>
            <w:tcBorders>
              <w:top w:val="single" w:sz="4" w:space="0" w:color="auto"/>
              <w:left w:val="single" w:sz="4" w:space="0" w:color="auto"/>
              <w:bottom w:val="single" w:sz="4" w:space="0" w:color="000000"/>
              <w:right w:val="single" w:sz="4" w:space="0" w:color="auto"/>
            </w:tcBorders>
            <w:shd w:val="clear" w:color="000000" w:fill="FFFFCC"/>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Porcentaje de emisiones totales *3*4</w:t>
            </w:r>
          </w:p>
        </w:tc>
      </w:tr>
      <w:tr w:rsidR="0065773C" w:rsidTr="00075691">
        <w:trPr>
          <w:trHeight w:val="1020"/>
        </w:trPr>
        <w:tc>
          <w:tcPr>
            <w:tcW w:w="1539" w:type="dxa"/>
            <w:tcBorders>
              <w:top w:val="nil"/>
              <w:left w:val="single" w:sz="4" w:space="0" w:color="auto"/>
              <w:bottom w:val="nil"/>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803" w:type="dxa"/>
            <w:vMerge/>
            <w:tcBorders>
              <w:top w:val="single" w:sz="4" w:space="0" w:color="auto"/>
              <w:left w:val="single" w:sz="4" w:space="0" w:color="auto"/>
              <w:bottom w:val="single" w:sz="4" w:space="0" w:color="000000"/>
              <w:right w:val="single" w:sz="4" w:space="0" w:color="auto"/>
            </w:tcBorders>
            <w:vAlign w:val="center"/>
          </w:tcPr>
          <w:p w:rsidR="0065773C" w:rsidRDefault="0065773C">
            <w:pPr>
              <w:spacing w:line="240" w:lineRule="auto"/>
              <w:rPr>
                <w:rFonts w:ascii="Arial" w:hAnsi="Arial" w:cs="Arial"/>
                <w:sz w:val="16"/>
                <w:szCs w:val="16"/>
              </w:rPr>
            </w:pPr>
          </w:p>
        </w:tc>
        <w:tc>
          <w:tcPr>
            <w:tcW w:w="935" w:type="dxa"/>
            <w:tcBorders>
              <w:top w:val="nil"/>
              <w:left w:val="nil"/>
              <w:bottom w:val="single" w:sz="4" w:space="0" w:color="auto"/>
              <w:right w:val="single" w:sz="4" w:space="0" w:color="auto"/>
            </w:tcBorders>
            <w:shd w:val="clear" w:color="000000" w:fill="FFFFCC"/>
            <w:noWrap/>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Aire</w:t>
            </w:r>
          </w:p>
        </w:tc>
        <w:tc>
          <w:tcPr>
            <w:tcW w:w="937" w:type="dxa"/>
            <w:tcBorders>
              <w:top w:val="nil"/>
              <w:left w:val="nil"/>
              <w:bottom w:val="single" w:sz="4" w:space="0" w:color="auto"/>
              <w:right w:val="single" w:sz="4" w:space="0" w:color="auto"/>
            </w:tcBorders>
            <w:shd w:val="clear" w:color="000000" w:fill="FFFFCC"/>
            <w:noWrap/>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Agua</w:t>
            </w:r>
          </w:p>
        </w:tc>
        <w:tc>
          <w:tcPr>
            <w:tcW w:w="856" w:type="dxa"/>
            <w:tcBorders>
              <w:top w:val="nil"/>
              <w:left w:val="nil"/>
              <w:bottom w:val="single" w:sz="4" w:space="0" w:color="auto"/>
              <w:right w:val="single" w:sz="4" w:space="0" w:color="auto"/>
            </w:tcBorders>
            <w:shd w:val="clear" w:color="000000" w:fill="FFFFCC"/>
            <w:noWrap/>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Tierra</w:t>
            </w:r>
          </w:p>
        </w:tc>
        <w:tc>
          <w:tcPr>
            <w:tcW w:w="1026" w:type="dxa"/>
            <w:tcBorders>
              <w:top w:val="nil"/>
              <w:left w:val="nil"/>
              <w:bottom w:val="single" w:sz="4" w:space="0" w:color="auto"/>
              <w:right w:val="single" w:sz="4" w:space="0" w:color="auto"/>
            </w:tcBorders>
            <w:shd w:val="clear" w:color="000000" w:fill="FFFFCC"/>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Subproductos e impurezas</w:t>
            </w:r>
          </w:p>
        </w:tc>
        <w:tc>
          <w:tcPr>
            <w:tcW w:w="804" w:type="dxa"/>
            <w:tcBorders>
              <w:top w:val="nil"/>
              <w:left w:val="nil"/>
              <w:bottom w:val="single" w:sz="4" w:space="0" w:color="auto"/>
              <w:right w:val="single" w:sz="4" w:space="0" w:color="auto"/>
            </w:tcBorders>
            <w:shd w:val="clear" w:color="000000" w:fill="FFFFCC"/>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Desechos generales</w:t>
            </w:r>
          </w:p>
        </w:tc>
        <w:tc>
          <w:tcPr>
            <w:tcW w:w="1715" w:type="dxa"/>
            <w:tcBorders>
              <w:top w:val="nil"/>
              <w:left w:val="nil"/>
              <w:bottom w:val="single" w:sz="4" w:space="0" w:color="auto"/>
              <w:right w:val="single" w:sz="4" w:space="0" w:color="auto"/>
            </w:tcBorders>
            <w:shd w:val="clear" w:color="000000" w:fill="FFFFCC"/>
            <w:vAlign w:val="bottom"/>
          </w:tcPr>
          <w:p w:rsidR="0065773C" w:rsidRPr="00075691" w:rsidRDefault="002B2414">
            <w:pPr>
              <w:spacing w:line="240" w:lineRule="auto"/>
              <w:jc w:val="center"/>
              <w:rPr>
                <w:rFonts w:ascii="Arial" w:hAnsi="Arial" w:cs="Arial"/>
                <w:sz w:val="14"/>
                <w:szCs w:val="14"/>
                <w:lang w:val="es-UY"/>
              </w:rPr>
            </w:pPr>
            <w:r w:rsidRPr="00075691">
              <w:rPr>
                <w:rFonts w:ascii="Arial" w:hAnsi="Arial" w:cs="Arial"/>
                <w:sz w:val="14"/>
                <w:szCs w:val="14"/>
                <w:lang w:val="es"/>
              </w:rPr>
              <w:t>Tratamiento/eliminación de desechos específico del sector</w:t>
            </w:r>
          </w:p>
        </w:tc>
        <w:tc>
          <w:tcPr>
            <w:tcW w:w="824" w:type="dxa"/>
            <w:tcBorders>
              <w:top w:val="nil"/>
              <w:left w:val="nil"/>
              <w:bottom w:val="single" w:sz="4" w:space="0" w:color="auto"/>
              <w:right w:val="single" w:sz="4" w:space="0" w:color="auto"/>
            </w:tcBorders>
            <w:shd w:val="clear" w:color="000000" w:fill="FFFFCC"/>
            <w:vAlign w:val="bottom"/>
          </w:tcPr>
          <w:p w:rsidR="0065773C" w:rsidRPr="00075691" w:rsidRDefault="002B2414">
            <w:pPr>
              <w:spacing w:line="240" w:lineRule="auto"/>
              <w:jc w:val="center"/>
              <w:rPr>
                <w:rFonts w:ascii="Arial" w:hAnsi="Arial" w:cs="Arial"/>
                <w:sz w:val="14"/>
                <w:szCs w:val="14"/>
              </w:rPr>
            </w:pPr>
            <w:r w:rsidRPr="00075691">
              <w:rPr>
                <w:rFonts w:ascii="Arial" w:hAnsi="Arial" w:cs="Arial"/>
                <w:sz w:val="14"/>
                <w:szCs w:val="14"/>
                <w:lang w:val="es"/>
              </w:rPr>
              <w:t>Emisiones totales *3*4*5</w:t>
            </w:r>
          </w:p>
        </w:tc>
        <w:tc>
          <w:tcPr>
            <w:tcW w:w="804" w:type="dxa"/>
            <w:vMerge/>
            <w:tcBorders>
              <w:top w:val="single" w:sz="4" w:space="0" w:color="auto"/>
              <w:left w:val="single" w:sz="4" w:space="0" w:color="auto"/>
              <w:bottom w:val="single" w:sz="4" w:space="0" w:color="000000"/>
              <w:right w:val="single" w:sz="4" w:space="0" w:color="auto"/>
            </w:tcBorders>
            <w:vAlign w:val="center"/>
          </w:tcPr>
          <w:p w:rsidR="0065773C" w:rsidRDefault="0065773C">
            <w:pPr>
              <w:spacing w:line="240" w:lineRule="auto"/>
              <w:rPr>
                <w:rFonts w:ascii="Arial" w:hAnsi="Arial" w:cs="Arial"/>
                <w:sz w:val="16"/>
                <w:szCs w:val="16"/>
              </w:rPr>
            </w:pPr>
          </w:p>
        </w:tc>
      </w:tr>
      <w:tr w:rsidR="0065773C" w:rsidRPr="00F27173" w:rsidTr="00075691">
        <w:trPr>
          <w:trHeight w:val="255"/>
        </w:trPr>
        <w:tc>
          <w:tcPr>
            <w:tcW w:w="1539" w:type="dxa"/>
            <w:tcBorders>
              <w:top w:val="single" w:sz="4" w:space="0" w:color="auto"/>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 de carbón y otros usos de carbón</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rsidP="00075691">
            <w:pPr>
              <w:tabs>
                <w:tab w:val="right" w:pos="7371"/>
              </w:tabs>
              <w:spacing w:line="240" w:lineRule="auto"/>
              <w:ind w:left="-2268" w:right="851"/>
              <w:rPr>
                <w:rFonts w:ascii="Arial" w:hAnsi="Arial" w:cs="Arial"/>
                <w:sz w:val="16"/>
                <w:szCs w:val="16"/>
                <w:lang w:val="es-UY"/>
              </w:rPr>
            </w:pPr>
            <w:r>
              <w:rPr>
                <w:rFonts w:ascii="Arial" w:hAnsi="Arial" w:cs="Arial"/>
                <w:sz w:val="16"/>
                <w:szCs w:val="16"/>
                <w:lang w:val="es"/>
              </w:rPr>
              <w:t xml:space="preserve">                                                               Combustión de otros fósiles y </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petróleo y gas</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510"/>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primaria de metales (excepto producción de oro mediante amalgamación)</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aleación de mercurio</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otros materiales</w:t>
            </w:r>
          </w:p>
        </w:tc>
        <w:tc>
          <w:tcPr>
            <w:tcW w:w="803"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7"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5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02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71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24"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cloro-álcali con celdas de mercurio</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Otra producción de productos químicos y polímeros</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productos con contenido de mercurio*1</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rsidP="00075691">
            <w:pPr>
              <w:spacing w:line="240" w:lineRule="auto"/>
              <w:rPr>
                <w:rFonts w:ascii="Arial" w:hAnsi="Arial" w:cs="Arial"/>
                <w:sz w:val="16"/>
                <w:szCs w:val="16"/>
                <w:lang w:val="es-UY"/>
              </w:rPr>
            </w:pPr>
            <w:r>
              <w:rPr>
                <w:rFonts w:ascii="Arial" w:hAnsi="Arial" w:cs="Arial"/>
                <w:sz w:val="16"/>
                <w:szCs w:val="16"/>
                <w:lang w:val="es"/>
              </w:rPr>
              <w:t xml:space="preserve">Aplicación, uso y eliminación de </w:t>
            </w:r>
            <w:r w:rsidR="00075691">
              <w:rPr>
                <w:rFonts w:ascii="Arial" w:hAnsi="Arial" w:cs="Arial"/>
                <w:sz w:val="16"/>
                <w:szCs w:val="16"/>
                <w:lang w:val="es"/>
              </w:rPr>
              <w:t>empastes</w:t>
            </w:r>
            <w:r>
              <w:rPr>
                <w:rFonts w:ascii="Arial" w:hAnsi="Arial" w:cs="Arial"/>
                <w:sz w:val="16"/>
                <w:szCs w:val="16"/>
                <w:lang w:val="es"/>
              </w:rPr>
              <w:t xml:space="preserve"> para amalgamas dentales</w:t>
            </w:r>
          </w:p>
        </w:tc>
        <w:tc>
          <w:tcPr>
            <w:tcW w:w="803"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Uso y eliminación de otros productos</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metales reciclados</w:t>
            </w:r>
          </w:p>
        </w:tc>
        <w:tc>
          <w:tcPr>
            <w:tcW w:w="803"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7"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5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02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71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24"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lastRenderedPageBreak/>
              <w:t>Incineración de desechos y quema de desechos al aire libre*2</w:t>
            </w:r>
          </w:p>
        </w:tc>
        <w:tc>
          <w:tcPr>
            <w:tcW w:w="803"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Depósito de desechos*2</w:t>
            </w:r>
          </w:p>
        </w:tc>
        <w:tc>
          <w:tcPr>
            <w:tcW w:w="803"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935"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937"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56"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1026"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1715"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24" w:type="dxa"/>
            <w:tcBorders>
              <w:top w:val="nil"/>
              <w:left w:val="nil"/>
              <w:bottom w:val="single" w:sz="4" w:space="0" w:color="auto"/>
              <w:right w:val="single" w:sz="4" w:space="0" w:color="auto"/>
            </w:tcBorders>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Vertido informal de desechos generales *2*3</w:t>
            </w:r>
          </w:p>
        </w:tc>
        <w:tc>
          <w:tcPr>
            <w:tcW w:w="803"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Sistema/tratamiento de aguas residuales *4</w:t>
            </w:r>
          </w:p>
        </w:tc>
        <w:tc>
          <w:tcPr>
            <w:tcW w:w="803"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935"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937"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56"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1026"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1715" w:type="dxa"/>
            <w:tcBorders>
              <w:top w:val="nil"/>
              <w:left w:val="nil"/>
              <w:bottom w:val="single" w:sz="4" w:space="0" w:color="auto"/>
              <w:right w:val="single" w:sz="4" w:space="0" w:color="auto"/>
            </w:tcBorders>
            <w:noWrap/>
            <w:vAlign w:val="bottom"/>
          </w:tcPr>
          <w:p w:rsidR="0065773C" w:rsidRPr="00F27173" w:rsidRDefault="0065773C">
            <w:pPr>
              <w:spacing w:line="240" w:lineRule="auto"/>
              <w:jc w:val="right"/>
              <w:rPr>
                <w:rFonts w:ascii="Arial" w:hAnsi="Arial" w:cs="Arial"/>
                <w:sz w:val="16"/>
                <w:szCs w:val="16"/>
                <w:lang w:val="es-UY"/>
              </w:rPr>
            </w:pPr>
          </w:p>
        </w:tc>
        <w:tc>
          <w:tcPr>
            <w:tcW w:w="82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c>
          <w:tcPr>
            <w:tcW w:w="804"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right"/>
              <w:rPr>
                <w:rFonts w:ascii="Arial" w:hAnsi="Arial" w:cs="Arial"/>
                <w:sz w:val="16"/>
                <w:szCs w:val="16"/>
                <w:lang w:val="es-UY"/>
              </w:rPr>
            </w:pPr>
          </w:p>
        </w:tc>
      </w:tr>
      <w:tr w:rsidR="0065773C" w:rsidTr="00075691">
        <w:trPr>
          <w:trHeight w:val="255"/>
        </w:trPr>
        <w:tc>
          <w:tcPr>
            <w:tcW w:w="1539"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Crematorios y cementerios</w:t>
            </w:r>
          </w:p>
        </w:tc>
        <w:tc>
          <w:tcPr>
            <w:tcW w:w="803"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937"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5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026"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171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2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c>
          <w:tcPr>
            <w:tcW w:w="804"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right"/>
              <w:rPr>
                <w:rFonts w:ascii="Arial" w:hAnsi="Arial" w:cs="Arial"/>
                <w:sz w:val="16"/>
                <w:szCs w:val="16"/>
              </w:rPr>
            </w:pPr>
          </w:p>
        </w:tc>
      </w:tr>
      <w:tr w:rsidR="0065773C" w:rsidTr="00075691">
        <w:trPr>
          <w:trHeight w:val="255"/>
        </w:trPr>
        <w:tc>
          <w:tcPr>
            <w:tcW w:w="1539"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TOTALES (redondeados) *1*2*3*4*5</w:t>
            </w:r>
          </w:p>
        </w:tc>
        <w:tc>
          <w:tcPr>
            <w:tcW w:w="803"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93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937"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856"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1026"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804"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171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824"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c>
          <w:tcPr>
            <w:tcW w:w="804"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b/>
                <w:bCs/>
                <w:sz w:val="16"/>
                <w:szCs w:val="16"/>
              </w:rPr>
            </w:pPr>
          </w:p>
        </w:tc>
      </w:tr>
    </w:tbl>
    <w:p w:rsidR="0065773C" w:rsidRPr="00F27173" w:rsidRDefault="00075691">
      <w:pPr>
        <w:pStyle w:val="BodyText"/>
        <w:rPr>
          <w:sz w:val="18"/>
          <w:szCs w:val="18"/>
          <w:lang w:val="es-UY"/>
        </w:rPr>
      </w:pPr>
      <w:r>
        <w:rPr>
          <w:sz w:val="18"/>
          <w:szCs w:val="18"/>
          <w:lang w:val="es"/>
        </w:rPr>
        <w:t>Notas de</w:t>
      </w:r>
      <w:r w:rsidR="002B2414">
        <w:rPr>
          <w:sz w:val="18"/>
          <w:szCs w:val="18"/>
          <w:lang w:val="es"/>
        </w:rPr>
        <w:t xml:space="preserve"> la tabla anterior:</w:t>
      </w:r>
      <w:r w:rsidR="002B2414">
        <w:rPr>
          <w:lang w:val="es"/>
        </w:rPr>
        <w:t xml:space="preserve"> </w:t>
      </w:r>
      <w:r w:rsidR="002B2414">
        <w:rPr>
          <w:sz w:val="18"/>
          <w:szCs w:val="18"/>
          <w:lang w:val="es"/>
        </w:rPr>
        <w:t xml:space="preserve">*1 Para evitar el conteo doble de mercurio en los productos elaborados localmente y vendidos en el mercado local (incluidos el petróleo y gas), solo se incluyen en el TOTAL de entradas las emisiones de mercurio </w:t>
      </w:r>
      <w:r>
        <w:rPr>
          <w:sz w:val="18"/>
          <w:szCs w:val="18"/>
          <w:lang w:val="es"/>
        </w:rPr>
        <w:t>que resultan</w:t>
      </w:r>
      <w:r w:rsidR="002B2414">
        <w:rPr>
          <w:sz w:val="18"/>
          <w:szCs w:val="18"/>
          <w:lang w:val="es"/>
        </w:rPr>
        <w:t xml:space="preserve"> de </w:t>
      </w:r>
      <w:r>
        <w:rPr>
          <w:sz w:val="18"/>
          <w:szCs w:val="18"/>
          <w:lang w:val="es"/>
        </w:rPr>
        <w:t xml:space="preserve">la </w:t>
      </w:r>
      <w:r w:rsidR="002B2414">
        <w:rPr>
          <w:sz w:val="18"/>
          <w:szCs w:val="18"/>
          <w:lang w:val="es"/>
        </w:rPr>
        <w:t>producción. *2: Para evitar el conteo doble de las entradas de mercurio provenientes de desechos y productos en el TOTAL de entradas, solo se incluye el 10</w:t>
      </w:r>
      <w:r>
        <w:rPr>
          <w:sz w:val="18"/>
          <w:szCs w:val="18"/>
          <w:lang w:val="es"/>
        </w:rPr>
        <w:t> </w:t>
      </w:r>
      <w:r w:rsidR="002B2414">
        <w:rPr>
          <w:sz w:val="18"/>
          <w:szCs w:val="18"/>
          <w:lang w:val="es"/>
        </w:rPr>
        <w:t>% del aporte de mercurio a la incineración de desechos, depósito de desechos y vertido informal. Este 10</w:t>
      </w:r>
      <w:r>
        <w:rPr>
          <w:sz w:val="18"/>
          <w:szCs w:val="18"/>
          <w:lang w:val="es"/>
        </w:rPr>
        <w:t> </w:t>
      </w:r>
      <w:r w:rsidR="002B2414">
        <w:rPr>
          <w:sz w:val="18"/>
          <w:szCs w:val="18"/>
          <w:lang w:val="es"/>
        </w:rPr>
        <w:t xml:space="preserve">% representa aproximadamente el aporte de mercurio a los desechos provenientes de materiales que no fueron cuantificados en forma individual en el nivel de inventario 1 del kit de herramientas. *3: Las cantidades estimadas incluyen el mercurio en productos que también ha sido contabilizado bajo cada categoría de productos. Para evitar el conteo doble, se ha sustraído automáticamente de los TOTALES la emisión hacia la tierra proveniente del vertido informal de desechos generales. *4: La entrada y emisión estimadas al agua incluyen las cantidades de mercurio que también han sido contabilizadas bajo cada categoría de fuente. Para evitar el conteo doble, se han sustraído automáticamente de los TOTALES, la entrada y emisión al agua proveniente del sistema y tratamiento de aguas residuales. *5: Las entradas totales no necesariamente son iguales a las salidas totales debido a las correcciones por conteo doble (ver notas </w:t>
      </w:r>
      <w:r>
        <w:rPr>
          <w:sz w:val="18"/>
          <w:szCs w:val="18"/>
          <w:lang w:val="es"/>
        </w:rPr>
        <w:t>*</w:t>
      </w:r>
      <w:r w:rsidR="002B2414">
        <w:rPr>
          <w:sz w:val="18"/>
          <w:szCs w:val="18"/>
          <w:lang w:val="es"/>
        </w:rPr>
        <w:t>1</w:t>
      </w:r>
      <w:r>
        <w:rPr>
          <w:sz w:val="18"/>
          <w:szCs w:val="18"/>
          <w:lang w:val="es"/>
        </w:rPr>
        <w:t xml:space="preserve"> a *</w:t>
      </w:r>
      <w:r w:rsidR="002B2414">
        <w:rPr>
          <w:sz w:val="18"/>
          <w:szCs w:val="18"/>
          <w:lang w:val="es"/>
        </w:rPr>
        <w:t xml:space="preserve">3) y porque algo de mercurio está incluido en la categoría productos/mercurio metálico que no se venden en el mismo país ni el mismo año. </w:t>
      </w:r>
    </w:p>
    <w:p w:rsidR="0065773C" w:rsidRPr="00F27173" w:rsidRDefault="002B2414">
      <w:pPr>
        <w:pStyle w:val="BodyText"/>
        <w:rPr>
          <w:lang w:val="es-UY"/>
        </w:rPr>
      </w:pPr>
      <w:r>
        <w:rPr>
          <w:lang w:val="es"/>
        </w:rPr>
        <w:t>Como se muestra en la tabla [y en las figuras], los siguientes grupos de fuentes contribuyen con las mayores entradas de mercurio: [</w:t>
      </w:r>
      <w:r>
        <w:rPr>
          <w:i/>
          <w:iCs/>
          <w:lang w:val="es"/>
        </w:rPr>
        <w:t>grupos principales, excepto las categorías de desechos y aguas residuales</w:t>
      </w:r>
      <w:r>
        <w:rPr>
          <w:lang w:val="es"/>
        </w:rPr>
        <w:t>].</w:t>
      </w:r>
    </w:p>
    <w:p w:rsidR="0065773C" w:rsidRPr="00F27173" w:rsidRDefault="002B2414">
      <w:pPr>
        <w:pStyle w:val="BodyText"/>
        <w:rPr>
          <w:lang w:val="es-UY"/>
        </w:rPr>
      </w:pPr>
      <w:r>
        <w:rPr>
          <w:lang w:val="es"/>
        </w:rPr>
        <w:t>Las subcategorías de emisión de mercurio individuales que contribuyen a las entradas de mercurio más altas fueron [</w:t>
      </w:r>
      <w:r>
        <w:rPr>
          <w:i/>
          <w:iCs/>
          <w:lang w:val="es"/>
        </w:rPr>
        <w:t>enumerar las subcategorías con las entradas individuales de mercurio más altas, excepto las categorías desechos y aguas residuales</w:t>
      </w:r>
      <w:r>
        <w:rPr>
          <w:lang w:val="es"/>
        </w:rPr>
        <w:t>].</w:t>
      </w:r>
    </w:p>
    <w:p w:rsidR="0065773C" w:rsidRPr="00F27173" w:rsidRDefault="002B2414">
      <w:pPr>
        <w:pStyle w:val="BodyText"/>
        <w:rPr>
          <w:lang w:val="es-UY"/>
        </w:rPr>
      </w:pPr>
      <w:r>
        <w:rPr>
          <w:lang w:val="es"/>
        </w:rPr>
        <w:t xml:space="preserve">Las subcategorías de liberación de mercurio individuales que contribuyen con </w:t>
      </w:r>
      <w:r w:rsidR="00075691">
        <w:rPr>
          <w:lang w:val="es"/>
        </w:rPr>
        <w:t>las emisiones</w:t>
      </w:r>
      <w:r>
        <w:rPr>
          <w:lang w:val="es"/>
        </w:rPr>
        <w:t xml:space="preserve"> de mercurio más alta</w:t>
      </w:r>
      <w:r w:rsidR="00075691">
        <w:rPr>
          <w:lang w:val="es"/>
        </w:rPr>
        <w:t>s</w:t>
      </w:r>
      <w:r>
        <w:rPr>
          <w:lang w:val="es"/>
        </w:rPr>
        <w:t xml:space="preserve"> a la atmósfera fueron [</w:t>
      </w:r>
      <w:r>
        <w:rPr>
          <w:i/>
          <w:iCs/>
          <w:lang w:val="es"/>
        </w:rPr>
        <w:t>enumerar las subcategorías con las emisiones individuales de mercurio más altas al aire, incluidas las categorías desechos y aguas residuales</w:t>
      </w:r>
      <w:r>
        <w:rPr>
          <w:lang w:val="es"/>
        </w:rPr>
        <w:t>].</w:t>
      </w:r>
    </w:p>
    <w:p w:rsidR="0065773C" w:rsidRPr="00F27173" w:rsidRDefault="002B2414">
      <w:pPr>
        <w:pStyle w:val="BodyText"/>
        <w:rPr>
          <w:lang w:val="es-UY"/>
        </w:rPr>
      </w:pPr>
      <w:r>
        <w:rPr>
          <w:lang w:val="es"/>
        </w:rPr>
        <w:t xml:space="preserve">El origen del mercurio en los desechos y aguas residuales producidos en el país es el mercurio en productos y materiales. Por lo tanto, las fracciones de desechos y aguas residuales no representan los aportes de mercurio originales a la sociedad (excepto los desechos importados). Sin embargo, los desechos y aguas residuales pueden representar flujos de mercurio sustanciales a través de la sociedad. Los siguientes son los flujos de mercurio más importantes </w:t>
      </w:r>
      <w:r>
        <w:rPr>
          <w:lang w:val="es"/>
        </w:rPr>
        <w:lastRenderedPageBreak/>
        <w:t>encontrados en los desechos y aguas residuales: [</w:t>
      </w:r>
      <w:r>
        <w:rPr>
          <w:i/>
          <w:iCs/>
          <w:lang w:val="es"/>
        </w:rPr>
        <w:t>Enumerar las categorías de fuentes de desechos y aguas residuales con las cantidades de "entrada" de mercurio más importantes</w:t>
      </w:r>
      <w:r>
        <w:rPr>
          <w:lang w:val="es"/>
        </w:rPr>
        <w:t>].</w:t>
      </w:r>
    </w:p>
    <w:p w:rsidR="006354BC" w:rsidRPr="00F27173" w:rsidRDefault="006354BC">
      <w:pPr>
        <w:pStyle w:val="BodyText"/>
        <w:rPr>
          <w:lang w:val="es-UY"/>
        </w:rPr>
      </w:pPr>
      <w:r>
        <w:rPr>
          <w:lang w:val="es"/>
        </w:rPr>
        <w:t>[</w:t>
      </w:r>
      <w:r>
        <w:rPr>
          <w:i/>
          <w:iCs/>
          <w:lang w:val="es"/>
        </w:rPr>
        <w:t xml:space="preserve">Si se utilizan factores de entrada predeterminados para desechos y aguas residuales </w:t>
      </w:r>
      <w:r>
        <w:rPr>
          <w:i/>
          <w:iCs/>
          <w:u w:val="single"/>
          <w:lang w:val="es"/>
        </w:rPr>
        <w:t>y si la prueba de entradas calculadas de mercurio a los desechos generales es positiva</w:t>
      </w:r>
      <w:r>
        <w:rPr>
          <w:lang w:val="es"/>
        </w:rPr>
        <w:t xml:space="preserve"> </w:t>
      </w:r>
      <w:r>
        <w:rPr>
          <w:i/>
          <w:iCs/>
          <w:lang w:val="es"/>
        </w:rPr>
        <w:t xml:space="preserve">(ver la sección </w:t>
      </w:r>
      <w:r w:rsidRPr="006A55DD">
        <w:rPr>
          <w:iCs/>
          <w:lang w:val="es"/>
        </w:rPr>
        <w:t>desechos</w:t>
      </w:r>
      <w:r>
        <w:rPr>
          <w:i/>
          <w:iCs/>
          <w:lang w:val="es"/>
        </w:rPr>
        <w:t xml:space="preserve"> en esta plantilla), conservar el siguiente texto de resumen aquí y eliminar los paréntesis rectos:</w:t>
      </w:r>
      <w:r w:rsidR="006A55DD">
        <w:rPr>
          <w:iCs/>
          <w:lang w:val="es"/>
        </w:rPr>
        <w:t>]</w:t>
      </w:r>
      <w:r>
        <w:rPr>
          <w:lang w:val="es"/>
        </w:rPr>
        <w:t xml:space="preserve"> En este inventario, se utilizaron los factores de entrada predeterminados para la estimación de las emisiones de mercurio provenientes del tratamiento de los desechos y aguas residuales </w:t>
      </w:r>
      <w:r>
        <w:rPr>
          <w:i/>
          <w:iCs/>
          <w:lang w:val="es"/>
        </w:rPr>
        <w:t>[conservar las que correspondan]</w:t>
      </w:r>
      <w:r>
        <w:rPr>
          <w:lang w:val="es"/>
        </w:rPr>
        <w:t xml:space="preserve">. Los factores predeterminados están basados en los datos encontrados en la bibliografía sobre el contenido de mercurio en los desechos y aguas residuales, y solo se encontró información sobre los países desarrollados. Los cálculos realizados indican que los factores de entrada predeterminados para los desechos generales y aguas residuales </w:t>
      </w:r>
      <w:r>
        <w:rPr>
          <w:i/>
          <w:iCs/>
          <w:lang w:val="es"/>
        </w:rPr>
        <w:t>[conservar los pertinentes]</w:t>
      </w:r>
      <w:r>
        <w:rPr>
          <w:lang w:val="es"/>
        </w:rPr>
        <w:t xml:space="preserve"> pueden sobrestimar las emisiones de mercurio a partir de estas fuentes (ver la sección correspondiente a los datos sobre desechos de este informe). Esto puede ser una prioridad en el trabajo de seguimiento, en la medida de lo posible].</w:t>
      </w:r>
    </w:p>
    <w:p w:rsidR="0065773C" w:rsidRPr="00F27173" w:rsidRDefault="002B2414">
      <w:pPr>
        <w:pStyle w:val="BodyText"/>
        <w:rPr>
          <w:lang w:val="es-UY"/>
        </w:rPr>
      </w:pPr>
      <w:r>
        <w:rPr>
          <w:lang w:val="es"/>
        </w:rPr>
        <w:t>En las siguientes secciones del informe se presentan detalladamente las entradas y emisiones de mercurio para todos los tipos de fuentes de emisión de mercurio presentes en el país.</w:t>
      </w:r>
    </w:p>
    <w:p w:rsidR="0065773C" w:rsidRPr="00F27173" w:rsidRDefault="002B2414">
      <w:pPr>
        <w:pStyle w:val="BodyText"/>
        <w:rPr>
          <w:lang w:val="es-UY"/>
        </w:rPr>
      </w:pPr>
      <w:r>
        <w:rPr>
          <w:lang w:val="es"/>
        </w:rPr>
        <w:t>Las hojas de cálculo del kit de herramientas utilizadas en la elaboración de este inventario se publican junto con este informe, o pueden entregarse a solicitud.</w:t>
      </w:r>
    </w:p>
    <w:p w:rsidR="0065773C" w:rsidRPr="00F27173" w:rsidRDefault="002B2414">
      <w:pPr>
        <w:pStyle w:val="Heading4"/>
        <w:rPr>
          <w:lang w:val="es-UY"/>
        </w:rPr>
      </w:pPr>
      <w:r>
        <w:rPr>
          <w:bCs/>
          <w:lang w:val="es"/>
        </w:rPr>
        <w:t>Vacíos de información</w:t>
      </w:r>
    </w:p>
    <w:p w:rsidR="0065773C" w:rsidRPr="00F27173" w:rsidRDefault="002B2414">
      <w:pPr>
        <w:pStyle w:val="BodyText"/>
        <w:rPr>
          <w:i/>
          <w:lang w:val="es-UY"/>
        </w:rPr>
      </w:pPr>
      <w:r>
        <w:rPr>
          <w:lang w:val="es"/>
        </w:rPr>
        <w:t xml:space="preserve">Los vacíos de información más importantes son los siguientes: </w:t>
      </w:r>
      <w:r>
        <w:rPr>
          <w:i/>
          <w:iCs/>
          <w:lang w:val="es"/>
        </w:rPr>
        <w:t>[Enumerar los vacíos de información más importantes identificados en las secciones de fuentes]</w:t>
      </w:r>
    </w:p>
    <w:p w:rsidR="0065773C" w:rsidRPr="00F27173" w:rsidRDefault="002B2414">
      <w:pPr>
        <w:pStyle w:val="BodyText"/>
        <w:rPr>
          <w:i/>
          <w:lang w:val="es-UY"/>
        </w:rPr>
      </w:pPr>
      <w:r>
        <w:rPr>
          <w:lang w:val="es"/>
        </w:rPr>
        <w:t>Principales prioridades par</w:t>
      </w:r>
      <w:r w:rsidR="006A55DD">
        <w:rPr>
          <w:lang w:val="es"/>
        </w:rPr>
        <w:t>a una evaluación más a fondo [</w:t>
      </w:r>
      <w:r>
        <w:rPr>
          <w:lang w:val="es"/>
        </w:rPr>
        <w:t xml:space="preserve">o acciones]: </w:t>
      </w:r>
      <w:r>
        <w:rPr>
          <w:i/>
          <w:iCs/>
          <w:lang w:val="es"/>
        </w:rPr>
        <w:t>[Enumerar y analizar las recomendaciones para una evaluación de seguimiento u otras acciones]</w:t>
      </w:r>
    </w:p>
    <w:p w:rsidR="0065773C" w:rsidRPr="00F27173" w:rsidRDefault="0065773C">
      <w:pPr>
        <w:pStyle w:val="BodyText"/>
        <w:rPr>
          <w:lang w:val="es-UY"/>
        </w:rPr>
      </w:pPr>
    </w:p>
    <w:p w:rsidR="0065773C" w:rsidRPr="00F27173" w:rsidRDefault="002B2414">
      <w:pPr>
        <w:pStyle w:val="Heading1"/>
        <w:rPr>
          <w:lang w:val="es-UY"/>
        </w:rPr>
      </w:pPr>
      <w:bookmarkStart w:id="3" w:name="_Toc436014293"/>
      <w:r>
        <w:rPr>
          <w:bCs/>
          <w:lang w:val="es"/>
        </w:rPr>
        <w:lastRenderedPageBreak/>
        <w:t>Tipos de fuentes de emisión de mercurio presentes</w:t>
      </w:r>
      <w:bookmarkEnd w:id="3"/>
    </w:p>
    <w:p w:rsidR="0065773C" w:rsidRPr="00F27173" w:rsidRDefault="002B2414">
      <w:pPr>
        <w:pStyle w:val="BodyText"/>
        <w:rPr>
          <w:lang w:val="es-UY"/>
        </w:rPr>
      </w:pPr>
      <w:r>
        <w:rPr>
          <w:lang w:val="es"/>
        </w:rPr>
        <w:t>La Tabla 2-1 muestra las fuentes de emisión de mercurio identificadas como presentes o ausentes en el país. En la evaluación cuantitativa solo se incluyen los tipos de fuente identificados como presentes.</w:t>
      </w:r>
    </w:p>
    <w:p w:rsidR="0065773C" w:rsidRPr="00F27173" w:rsidRDefault="002B2414">
      <w:pPr>
        <w:pStyle w:val="BodyText"/>
        <w:rPr>
          <w:lang w:val="es-UY"/>
        </w:rPr>
      </w:pPr>
      <w:r>
        <w:rPr>
          <w:lang w:val="es"/>
        </w:rPr>
        <w:t>Sin embargo, debe destacarse que los tipos de fuentes de emisión de merc</w:t>
      </w:r>
      <w:r w:rsidR="006A55DD">
        <w:rPr>
          <w:lang w:val="es"/>
        </w:rPr>
        <w:t>urio presumiblemente menores presentados en la T</w:t>
      </w:r>
      <w:r>
        <w:rPr>
          <w:lang w:val="es"/>
        </w:rPr>
        <w:t>abla 2-2 no se incluyeron en el trabajo detallado de identificación y cuantificación de fuentes. No obstante, estos pueden estar presentes en algunos países.</w:t>
      </w:r>
    </w:p>
    <w:p w:rsidR="0065773C" w:rsidRPr="00F27173" w:rsidRDefault="002B2414">
      <w:pPr>
        <w:pStyle w:val="BodyText"/>
        <w:rPr>
          <w:i/>
          <w:lang w:val="es-UY"/>
        </w:rPr>
      </w:pPr>
      <w:r>
        <w:rPr>
          <w:lang w:val="es"/>
        </w:rPr>
        <w:t xml:space="preserve"> </w:t>
      </w:r>
      <w:r>
        <w:rPr>
          <w:i/>
          <w:iCs/>
          <w:lang w:val="es"/>
        </w:rPr>
        <w:t>[Copiar las celdas de la tabla en la página de la hoja de cálculo "Nivel 1 - Fuentes de Hg identificadas" en esta ubicación.</w:t>
      </w:r>
      <w:r>
        <w:rPr>
          <w:lang w:val="es"/>
        </w:rPr>
        <w:t xml:space="preserve"> </w:t>
      </w:r>
      <w:r w:rsidR="006A55DD">
        <w:rPr>
          <w:i/>
          <w:iCs/>
          <w:lang w:val="es"/>
        </w:rPr>
        <w:t>En esta tabla</w:t>
      </w:r>
      <w:r>
        <w:rPr>
          <w:i/>
          <w:iCs/>
          <w:lang w:val="es"/>
        </w:rPr>
        <w:t xml:space="preserve"> deben mostrarse todas las subcategorías, independientemente de su presencia o no, o de su calidad de indeterminadas, ya que el objetivo fundamental de esta tabla es mostrar el estado de presencia así como indicar las necesidades de una mayor investigación].</w:t>
      </w:r>
    </w:p>
    <w:p w:rsidR="0065773C" w:rsidRPr="00F27173" w:rsidRDefault="002B2414">
      <w:pPr>
        <w:pStyle w:val="Caption"/>
        <w:rPr>
          <w:i w:val="0"/>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2</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noProof/>
          <w:lang w:val="es"/>
        </w:rPr>
        <w:fldChar w:fldCharType="end"/>
      </w:r>
      <w:r>
        <w:rPr>
          <w:iCs/>
          <w:lang w:val="es"/>
        </w:rPr>
        <w:tab/>
        <w:t>Identificación de las fuentes de emisión de mercurio en el país; fuentes presentes (S), ausentes (N), y posibles pero no identificadas como positivas (?). [Al dorso]</w:t>
      </w:r>
    </w:p>
    <w:p w:rsidR="0065773C" w:rsidRPr="00F27173" w:rsidRDefault="002B2414">
      <w:pPr>
        <w:spacing w:line="240" w:lineRule="auto"/>
        <w:rPr>
          <w:i/>
          <w:lang w:val="es-UY"/>
        </w:rPr>
      </w:pPr>
      <w:r>
        <w:rPr>
          <w:i/>
          <w:iCs/>
          <w:lang w:val="es"/>
        </w:rPr>
        <w:br w:type="page"/>
      </w:r>
    </w:p>
    <w:tbl>
      <w:tblPr>
        <w:tblW w:w="742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662"/>
        <w:gridCol w:w="1760"/>
      </w:tblGrid>
      <w:tr w:rsidR="0065773C">
        <w:trPr>
          <w:cantSplit/>
          <w:tblHeader/>
        </w:trPr>
        <w:tc>
          <w:tcPr>
            <w:tcW w:w="5662" w:type="dxa"/>
            <w:shd w:val="clear" w:color="000000" w:fill="FFFFCC"/>
            <w:noWrap/>
            <w:vAlign w:val="bottom"/>
          </w:tcPr>
          <w:p w:rsidR="0065773C" w:rsidRDefault="002B2414">
            <w:pPr>
              <w:spacing w:line="240" w:lineRule="auto"/>
              <w:rPr>
                <w:rFonts w:ascii="Arial" w:hAnsi="Arial" w:cs="Arial"/>
                <w:b/>
                <w:sz w:val="16"/>
                <w:szCs w:val="16"/>
              </w:rPr>
            </w:pPr>
            <w:r>
              <w:rPr>
                <w:rFonts w:ascii="Arial" w:hAnsi="Arial" w:cs="Arial"/>
                <w:b/>
                <w:bCs/>
                <w:sz w:val="16"/>
                <w:szCs w:val="16"/>
                <w:lang w:val="es"/>
              </w:rPr>
              <w:t>Categoría de la fuente</w:t>
            </w:r>
          </w:p>
        </w:tc>
        <w:tc>
          <w:tcPr>
            <w:tcW w:w="1760" w:type="dxa"/>
            <w:shd w:val="clear" w:color="000000" w:fill="FFFFCC"/>
            <w:noWrap/>
            <w:vAlign w:val="bottom"/>
          </w:tcPr>
          <w:p w:rsidR="0065773C" w:rsidRDefault="002B2414">
            <w:pPr>
              <w:spacing w:line="240" w:lineRule="auto"/>
              <w:jc w:val="center"/>
              <w:rPr>
                <w:rFonts w:ascii="Arial" w:hAnsi="Arial" w:cs="Arial"/>
                <w:b/>
                <w:bCs/>
                <w:sz w:val="16"/>
                <w:szCs w:val="16"/>
              </w:rPr>
            </w:pPr>
            <w:r>
              <w:rPr>
                <w:rFonts w:ascii="Arial" w:hAnsi="Arial" w:cs="Arial"/>
                <w:b/>
                <w:bCs/>
                <w:sz w:val="16"/>
                <w:szCs w:val="16"/>
                <w:lang w:val="es"/>
              </w:rPr>
              <w:t>¿Fuente presente?</w:t>
            </w:r>
          </w:p>
        </w:tc>
      </w:tr>
      <w:tr w:rsidR="0065773C">
        <w:trPr>
          <w:cantSplit/>
          <w:tblHeader/>
        </w:trPr>
        <w:tc>
          <w:tcPr>
            <w:tcW w:w="5662" w:type="dxa"/>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1760" w:type="dxa"/>
            <w:shd w:val="clear" w:color="000000" w:fill="FFFFCC"/>
            <w:noWrap/>
            <w:vAlign w:val="bottom"/>
          </w:tcPr>
          <w:p w:rsidR="0065773C" w:rsidRDefault="002B2414">
            <w:pPr>
              <w:spacing w:line="240" w:lineRule="auto"/>
              <w:jc w:val="center"/>
              <w:rPr>
                <w:rFonts w:ascii="Arial" w:hAnsi="Arial" w:cs="Arial"/>
                <w:b/>
                <w:bCs/>
                <w:sz w:val="16"/>
                <w:szCs w:val="16"/>
              </w:rPr>
            </w:pPr>
            <w:r>
              <w:rPr>
                <w:rFonts w:ascii="Arial" w:hAnsi="Arial" w:cs="Arial"/>
                <w:b/>
                <w:bCs/>
                <w:sz w:val="16"/>
                <w:szCs w:val="16"/>
                <w:lang w:val="es"/>
              </w:rPr>
              <w:t>S/N</w:t>
            </w:r>
            <w:r w:rsidR="006A55DD">
              <w:rPr>
                <w:rFonts w:ascii="Arial" w:hAnsi="Arial" w:cs="Arial"/>
                <w:b/>
                <w:bCs/>
                <w:sz w:val="16"/>
                <w:szCs w:val="16"/>
                <w:lang w:val="es"/>
              </w:rPr>
              <w:t>/</w:t>
            </w:r>
            <w:r>
              <w:rPr>
                <w:rFonts w:ascii="Arial" w:hAnsi="Arial" w:cs="Arial"/>
                <w:b/>
                <w:bCs/>
                <w:sz w:val="16"/>
                <w:szCs w:val="16"/>
                <w:lang w:val="es"/>
              </w:rPr>
              <w:t>?</w:t>
            </w: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Consumo de energía</w:t>
            </w:r>
          </w:p>
        </w:tc>
        <w:tc>
          <w:tcPr>
            <w:tcW w:w="1760" w:type="dxa"/>
            <w:shd w:val="clear" w:color="000000" w:fill="FFFFFF"/>
            <w:noWrap/>
            <w:vAlign w:val="bottom"/>
          </w:tcPr>
          <w:p w:rsidR="0065773C" w:rsidRDefault="002B2414">
            <w:pPr>
              <w:spacing w:line="240" w:lineRule="auto"/>
              <w:jc w:val="center"/>
              <w:rPr>
                <w:rFonts w:ascii="Arial" w:hAnsi="Arial" w:cs="Arial"/>
                <w:b/>
                <w:bCs/>
                <w:sz w:val="16"/>
                <w:szCs w:val="16"/>
              </w:rPr>
            </w:pPr>
            <w:r>
              <w:rPr>
                <w:rFonts w:ascii="Arial" w:hAnsi="Arial" w:cs="Arial"/>
                <w:b/>
                <w:bCs/>
                <w:sz w:val="16"/>
                <w:szCs w:val="16"/>
                <w:lang w:val="es"/>
              </w:rPr>
              <w:t> </w:t>
            </w: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 de carbón en grandes centrales eléctricas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Otros usos del carbón</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coque de petróleo y petróleo pesado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diesel, gasoil, petróleo, querosén</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Energía y producción de calor de biomasa</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Combustión de carbón vegetal</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combustible</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Extracción de petróleo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Refinación de petróleo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y procesamiento de gas natural</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primaria de metales</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y procesamiento inicial de mercurio (primario)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zinc a partir de concentrados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cobre a partir de concentrados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plomo a partir de concentrados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rsidP="00EC7B41">
            <w:pPr>
              <w:spacing w:line="240" w:lineRule="auto"/>
              <w:rPr>
                <w:rFonts w:ascii="Arial" w:hAnsi="Arial" w:cs="Arial"/>
                <w:sz w:val="16"/>
                <w:szCs w:val="16"/>
                <w:lang w:val="es-UY"/>
              </w:rPr>
            </w:pPr>
            <w:r>
              <w:rPr>
                <w:rFonts w:ascii="Arial" w:hAnsi="Arial" w:cs="Arial"/>
                <w:sz w:val="16"/>
                <w:szCs w:val="16"/>
                <w:lang w:val="es"/>
              </w:rPr>
              <w:t xml:space="preserve">Extracción de oro por métodos diferentes de la </w:t>
            </w:r>
            <w:r w:rsidR="00EC7B41">
              <w:rPr>
                <w:rFonts w:ascii="Arial" w:hAnsi="Arial" w:cs="Arial"/>
                <w:sz w:val="16"/>
                <w:szCs w:val="16"/>
                <w:lang w:val="es"/>
              </w:rPr>
              <w:t>amalgamación</w:t>
            </w:r>
            <w:r>
              <w:rPr>
                <w:rFonts w:ascii="Arial" w:hAnsi="Arial" w:cs="Arial"/>
                <w:sz w:val="16"/>
                <w:szCs w:val="16"/>
                <w:lang w:val="es"/>
              </w:rPr>
              <w:t xml:space="preserve">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alúmina a partir de bauxita (producción de aluminio)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primaria de metal ferroso (producción de hierro, acero)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sin uso de retortas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con uso de retortas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otros materiales</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cemento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pulpa y papel</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Producción de productos químicos y polímeros</w:t>
            </w:r>
          </w:p>
        </w:tc>
        <w:tc>
          <w:tcPr>
            <w:tcW w:w="1760" w:type="dxa"/>
            <w:shd w:val="clear" w:color="000000" w:fill="FFFFFF"/>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cloro-álcali con celdas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CVM con catalizador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acetaldehído con catalizador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Elaboración de productos con contenido de mercurio</w:t>
            </w:r>
          </w:p>
        </w:tc>
        <w:tc>
          <w:tcPr>
            <w:tcW w:w="1760" w:type="dxa"/>
            <w:shd w:val="clear" w:color="000000" w:fill="FFFFFF"/>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Termómetros de Hg (médicos, atmosféricos, de laboratorio, industriales, etc.)</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 (fluorescentes, compactas, otras: ver pauta)</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Manómetros e indicadores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Biocidas y pesticidas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Pinturas con mercurio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Uso y eliminación de productos con contenido de mercurio</w:t>
            </w:r>
          </w:p>
        </w:tc>
        <w:tc>
          <w:tcPr>
            <w:tcW w:w="1760" w:type="dxa"/>
            <w:shd w:val="clear" w:color="000000" w:fill="FFFFFF"/>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Empastes de amalgamas dentales (empastes de "plata")</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Termómetros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Poliuretano (PU, PUR) producido con catalizador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Pinturas con conservantes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Instrumentos médicos para medir la presión arterial (esfingomanómetros de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Otros manómetros e indicadores con mercurio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Productos químicos de laboratorio</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Otros equipos médicos y de laboratorio con mercurio </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metales reciclados</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mercurio reciclado ("producción secundaria")</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metales ferrosos reciclados (hierro y acero)</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Incineración de desechos</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Incineración de desechos municipales o generales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peligrosos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médicos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lodos residuales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Quema al aire libre de desechos (en vertederos y de manera informal)</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FF"/>
            <w:vAlign w:val="bottom"/>
          </w:tcPr>
          <w:p w:rsidR="0065773C" w:rsidRPr="00F27173" w:rsidRDefault="002B2414" w:rsidP="00EC7B41">
            <w:pPr>
              <w:spacing w:line="240" w:lineRule="auto"/>
              <w:rPr>
                <w:rFonts w:ascii="Arial" w:hAnsi="Arial" w:cs="Arial"/>
                <w:b/>
                <w:bCs/>
                <w:sz w:val="16"/>
                <w:szCs w:val="16"/>
                <w:lang w:val="es-UY"/>
              </w:rPr>
            </w:pPr>
            <w:r>
              <w:rPr>
                <w:rFonts w:ascii="Arial" w:hAnsi="Arial" w:cs="Arial"/>
                <w:b/>
                <w:bCs/>
                <w:sz w:val="16"/>
                <w:szCs w:val="16"/>
                <w:lang w:val="es"/>
              </w:rPr>
              <w:t xml:space="preserve">Eliminación o </w:t>
            </w:r>
            <w:r w:rsidR="00EC7B41">
              <w:rPr>
                <w:rFonts w:ascii="Arial" w:hAnsi="Arial" w:cs="Arial"/>
                <w:b/>
                <w:bCs/>
                <w:sz w:val="16"/>
                <w:szCs w:val="16"/>
                <w:lang w:val="es"/>
              </w:rPr>
              <w:t>vertido</w:t>
            </w:r>
            <w:r>
              <w:rPr>
                <w:rFonts w:ascii="Arial" w:hAnsi="Arial" w:cs="Arial"/>
                <w:b/>
                <w:bCs/>
                <w:sz w:val="16"/>
                <w:szCs w:val="16"/>
                <w:lang w:val="es"/>
              </w:rPr>
              <w:t xml:space="preserve"> de desechos y tratamiento de aguas residuales</w:t>
            </w:r>
          </w:p>
        </w:tc>
        <w:tc>
          <w:tcPr>
            <w:tcW w:w="1760" w:type="dxa"/>
            <w:shd w:val="clear" w:color="000000" w:fill="FFFFFF"/>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Vertederos o depósitos controlados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Vertido informal de desechos generales *1</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blHeader/>
        </w:trPr>
        <w:tc>
          <w:tcPr>
            <w:tcW w:w="5662"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Sistema/tratamiento de aguas residuales</w:t>
            </w:r>
          </w:p>
        </w:tc>
        <w:tc>
          <w:tcPr>
            <w:tcW w:w="1760" w:type="dxa"/>
            <w:shd w:val="clear" w:color="000000" w:fill="FFFFCC"/>
            <w:vAlign w:val="bottom"/>
          </w:tcPr>
          <w:p w:rsidR="0065773C" w:rsidRPr="00F27173" w:rsidRDefault="0065773C">
            <w:pPr>
              <w:spacing w:line="240" w:lineRule="auto"/>
              <w:jc w:val="center"/>
              <w:rPr>
                <w:rFonts w:ascii="Arial" w:hAnsi="Arial" w:cs="Arial"/>
                <w:sz w:val="16"/>
                <w:szCs w:val="16"/>
                <w:lang w:val="es-UY"/>
              </w:rPr>
            </w:pPr>
          </w:p>
        </w:tc>
      </w:tr>
      <w:tr w:rsidR="0065773C">
        <w:trPr>
          <w:cantSplit/>
          <w:tblHeader/>
        </w:trPr>
        <w:tc>
          <w:tcPr>
            <w:tcW w:w="5662"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Crematorios y cementerios</w:t>
            </w:r>
          </w:p>
        </w:tc>
        <w:tc>
          <w:tcPr>
            <w:tcW w:w="1760" w:type="dxa"/>
            <w:shd w:val="clear" w:color="000000" w:fill="FFFFFF"/>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 xml:space="preserve">Crematorios </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r w:rsidR="0065773C">
        <w:trPr>
          <w:cantSplit/>
          <w:tblHeader/>
        </w:trPr>
        <w:tc>
          <w:tcPr>
            <w:tcW w:w="5662"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lastRenderedPageBreak/>
              <w:t>Cementerios</w:t>
            </w:r>
          </w:p>
        </w:tc>
        <w:tc>
          <w:tcPr>
            <w:tcW w:w="1760" w:type="dxa"/>
            <w:shd w:val="clear" w:color="000000" w:fill="FFFFCC"/>
            <w:vAlign w:val="bottom"/>
          </w:tcPr>
          <w:p w:rsidR="0065773C" w:rsidRDefault="0065773C">
            <w:pPr>
              <w:spacing w:line="240" w:lineRule="auto"/>
              <w:jc w:val="center"/>
              <w:rPr>
                <w:rFonts w:ascii="Arial" w:hAnsi="Arial" w:cs="Arial"/>
                <w:sz w:val="16"/>
                <w:szCs w:val="16"/>
              </w:rPr>
            </w:pPr>
          </w:p>
        </w:tc>
      </w:tr>
    </w:tbl>
    <w:p w:rsidR="0065773C" w:rsidRPr="00F27173" w:rsidRDefault="002B2414">
      <w:pPr>
        <w:pStyle w:val="BodyText"/>
        <w:rPr>
          <w:i/>
          <w:lang w:val="es-UY"/>
        </w:rPr>
      </w:pPr>
      <w:r>
        <w:rPr>
          <w:i/>
          <w:iCs/>
          <w:lang w:val="es"/>
        </w:rPr>
        <w:t>[Copiar las celdas de la tabla de la página de la hoja de cálculo "Paso 8 - Fuentes varias de Hg" en esta ubicación.]</w:t>
      </w:r>
    </w:p>
    <w:p w:rsidR="0065773C" w:rsidRPr="00F27173" w:rsidRDefault="002B241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2</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2</w:t>
      </w:r>
      <w:r>
        <w:rPr>
          <w:iCs/>
          <w:noProof/>
          <w:lang w:val="es"/>
        </w:rPr>
        <w:fldChar w:fldCharType="end"/>
      </w:r>
      <w:r>
        <w:rPr>
          <w:iCs/>
          <w:lang w:val="es"/>
        </w:rPr>
        <w:tab/>
        <w:t>Diversas fuentes de mercurio potenciales no incluidas en el inventario cuantitativo, con indicación preliminar de la posible presencia en el país.</w:t>
      </w:r>
    </w:p>
    <w:tbl>
      <w:tblPr>
        <w:tblW w:w="7560" w:type="dxa"/>
        <w:tblInd w:w="65" w:type="dxa"/>
        <w:tblCellMar>
          <w:left w:w="70" w:type="dxa"/>
          <w:right w:w="70" w:type="dxa"/>
        </w:tblCellMar>
        <w:tblLook w:val="00A0" w:firstRow="1" w:lastRow="0" w:firstColumn="1" w:lastColumn="0" w:noHBand="0" w:noVBand="0"/>
      </w:tblPr>
      <w:tblGrid>
        <w:gridCol w:w="6620"/>
        <w:gridCol w:w="940"/>
      </w:tblGrid>
      <w:tr w:rsidR="0065773C">
        <w:trPr>
          <w:cantSplit/>
          <w:tblHeader/>
        </w:trPr>
        <w:tc>
          <w:tcPr>
            <w:tcW w:w="6620" w:type="dxa"/>
            <w:tcBorders>
              <w:top w:val="single" w:sz="4" w:space="0" w:color="auto"/>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sz w:val="16"/>
                <w:szCs w:val="16"/>
              </w:rPr>
            </w:pPr>
            <w:r>
              <w:rPr>
                <w:rFonts w:ascii="Arial" w:hAnsi="Arial" w:cs="Arial"/>
                <w:b/>
                <w:bCs/>
                <w:sz w:val="16"/>
                <w:szCs w:val="16"/>
                <w:lang w:val="es"/>
              </w:rPr>
              <w:t>Categoría de la fuente</w:t>
            </w:r>
          </w:p>
        </w:tc>
        <w:tc>
          <w:tcPr>
            <w:tcW w:w="940" w:type="dxa"/>
            <w:tcBorders>
              <w:top w:val="single" w:sz="4" w:space="0" w:color="auto"/>
              <w:left w:val="nil"/>
              <w:bottom w:val="single" w:sz="4" w:space="0" w:color="auto"/>
              <w:right w:val="single" w:sz="4" w:space="0" w:color="auto"/>
            </w:tcBorders>
            <w:shd w:val="clear" w:color="000000" w:fill="FFFFCC"/>
            <w:vAlign w:val="bottom"/>
          </w:tcPr>
          <w:p w:rsidR="0065773C" w:rsidRDefault="002B2414">
            <w:pPr>
              <w:spacing w:line="240" w:lineRule="auto"/>
              <w:jc w:val="center"/>
              <w:rPr>
                <w:rFonts w:ascii="Arial" w:hAnsi="Arial" w:cs="Arial"/>
                <w:b/>
                <w:sz w:val="16"/>
                <w:szCs w:val="16"/>
              </w:rPr>
            </w:pPr>
            <w:r>
              <w:rPr>
                <w:rFonts w:ascii="Arial" w:hAnsi="Arial" w:cs="Arial"/>
                <w:b/>
                <w:bCs/>
                <w:sz w:val="16"/>
                <w:szCs w:val="16"/>
                <w:lang w:val="es"/>
              </w:rPr>
              <w:t>¿Fuente presente?</w:t>
            </w:r>
          </w:p>
        </w:tc>
      </w:tr>
      <w:tr w:rsidR="0065773C">
        <w:trPr>
          <w:cantSplit/>
        </w:trPr>
        <w:tc>
          <w:tcPr>
            <w:tcW w:w="6620"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 </w:t>
            </w:r>
          </w:p>
        </w:tc>
        <w:tc>
          <w:tcPr>
            <w:tcW w:w="940" w:type="dxa"/>
            <w:tcBorders>
              <w:top w:val="nil"/>
              <w:left w:val="nil"/>
              <w:bottom w:val="nil"/>
              <w:right w:val="single" w:sz="4" w:space="0" w:color="auto"/>
            </w:tcBorders>
            <w:shd w:val="clear" w:color="000000" w:fill="FFFFCC"/>
            <w:noWrap/>
            <w:vAlign w:val="bottom"/>
          </w:tcPr>
          <w:p w:rsidR="0065773C" w:rsidRDefault="002B2414">
            <w:pPr>
              <w:spacing w:line="240" w:lineRule="auto"/>
              <w:jc w:val="center"/>
              <w:rPr>
                <w:rFonts w:ascii="Arial" w:hAnsi="Arial" w:cs="Arial"/>
                <w:b/>
                <w:bCs/>
                <w:sz w:val="16"/>
                <w:szCs w:val="16"/>
              </w:rPr>
            </w:pPr>
            <w:r>
              <w:rPr>
                <w:rFonts w:ascii="Arial" w:hAnsi="Arial" w:cs="Arial"/>
                <w:b/>
                <w:bCs/>
                <w:sz w:val="16"/>
                <w:szCs w:val="16"/>
                <w:lang w:val="es"/>
              </w:rPr>
              <w:t>S/N</w:t>
            </w:r>
            <w:r w:rsidR="00EC7B41">
              <w:rPr>
                <w:rFonts w:ascii="Arial" w:hAnsi="Arial" w:cs="Arial"/>
                <w:b/>
                <w:bCs/>
                <w:sz w:val="16"/>
                <w:szCs w:val="16"/>
                <w:lang w:val="es"/>
              </w:rPr>
              <w:t>/</w:t>
            </w:r>
            <w:r>
              <w:rPr>
                <w:rFonts w:ascii="Arial" w:hAnsi="Arial" w:cs="Arial"/>
                <w:b/>
                <w:bCs/>
                <w:sz w:val="16"/>
                <w:szCs w:val="16"/>
                <w:lang w:val="es"/>
              </w:rPr>
              <w:t>?</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Combustión de esquisto bituminoso</w:t>
            </w:r>
          </w:p>
        </w:tc>
        <w:tc>
          <w:tcPr>
            <w:tcW w:w="940" w:type="dxa"/>
            <w:tcBorders>
              <w:top w:val="single" w:sz="4" w:space="0" w:color="auto"/>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Combustión de turba</w:t>
            </w:r>
          </w:p>
        </w:tc>
        <w:tc>
          <w:tcPr>
            <w:tcW w:w="940" w:type="dxa"/>
            <w:tcBorders>
              <w:top w:val="nil"/>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energía geotérmica</w:t>
            </w:r>
          </w:p>
        </w:tc>
        <w:tc>
          <w:tcPr>
            <w:tcW w:w="940" w:type="dxa"/>
            <w:tcBorders>
              <w:top w:val="nil"/>
              <w:left w:val="single" w:sz="4" w:space="0" w:color="auto"/>
              <w:bottom w:val="single" w:sz="4" w:space="0" w:color="auto"/>
              <w:right w:val="single" w:sz="4" w:space="0" w:color="auto"/>
            </w:tcBorders>
            <w:vAlign w:val="bottom"/>
          </w:tcPr>
          <w:p w:rsidR="0065773C" w:rsidRDefault="0065773C">
            <w:pPr>
              <w:spacing w:line="240" w:lineRule="auto"/>
              <w:jc w:val="center"/>
              <w:rPr>
                <w:rFonts w:ascii="Arial" w:hAnsi="Arial" w:cs="Arial"/>
                <w:sz w:val="16"/>
                <w:szCs w:val="16"/>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otros metales reciclados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cal</w:t>
            </w:r>
          </w:p>
        </w:tc>
        <w:tc>
          <w:tcPr>
            <w:tcW w:w="940" w:type="dxa"/>
            <w:tcBorders>
              <w:top w:val="nil"/>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rsidP="00EC7B41">
            <w:pPr>
              <w:spacing w:line="240" w:lineRule="auto"/>
              <w:rPr>
                <w:rFonts w:ascii="Arial" w:hAnsi="Arial" w:cs="Arial"/>
                <w:sz w:val="16"/>
                <w:szCs w:val="16"/>
                <w:lang w:val="es-UY"/>
              </w:rPr>
            </w:pPr>
            <w:r>
              <w:rPr>
                <w:rFonts w:ascii="Arial" w:hAnsi="Arial" w:cs="Arial"/>
                <w:sz w:val="16"/>
                <w:szCs w:val="16"/>
                <w:lang w:val="es"/>
              </w:rPr>
              <w:t xml:space="preserve">Producción de conglomerados </w:t>
            </w:r>
            <w:r w:rsidR="00EC7B41">
              <w:rPr>
                <w:rFonts w:ascii="Arial" w:hAnsi="Arial" w:cs="Arial"/>
                <w:sz w:val="16"/>
                <w:szCs w:val="16"/>
                <w:lang w:val="es"/>
              </w:rPr>
              <w:t>de poco peso</w:t>
            </w:r>
            <w:r>
              <w:rPr>
                <w:rFonts w:ascii="Arial" w:hAnsi="Arial" w:cs="Arial"/>
                <w:sz w:val="16"/>
                <w:szCs w:val="16"/>
                <w:lang w:val="es"/>
              </w:rPr>
              <w:t xml:space="preserve"> (tuercas de arcilla cocida para uso en construcción)</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Cloruro e hidróxido de potasio producidos con tecnología de celdas de mercurio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poliuretano con catalizadores de mercurio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Recubrimiento de semillas con productos químicos con mercurio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Semiconductores de detección de infrarrojos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Tubos Bougie y Cantor (de uso médico)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Usos educativos</w:t>
            </w:r>
          </w:p>
        </w:tc>
        <w:tc>
          <w:tcPr>
            <w:tcW w:w="940" w:type="dxa"/>
            <w:tcBorders>
              <w:top w:val="nil"/>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Giroscopios con mercurio</w:t>
            </w:r>
          </w:p>
        </w:tc>
        <w:tc>
          <w:tcPr>
            <w:tcW w:w="940" w:type="dxa"/>
            <w:tcBorders>
              <w:top w:val="nil"/>
              <w:left w:val="single" w:sz="4" w:space="0" w:color="auto"/>
              <w:bottom w:val="single" w:sz="4" w:space="0" w:color="auto"/>
              <w:right w:val="single" w:sz="4" w:space="0" w:color="auto"/>
            </w:tcBorders>
            <w:vAlign w:val="bottom"/>
          </w:tcPr>
          <w:p w:rsidR="0065773C" w:rsidRDefault="0065773C">
            <w:pPr>
              <w:spacing w:line="240" w:lineRule="auto"/>
              <w:jc w:val="center"/>
              <w:rPr>
                <w:rFonts w:ascii="Arial" w:hAnsi="Arial" w:cs="Arial"/>
                <w:sz w:val="16"/>
                <w:szCs w:val="16"/>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Bombas de vacío con mercurio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usado en rituales religiosos (amuletos y otros usos)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usado en medicinas tradicionales (ayurvédica y otras) y en la medicina homeopática</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Uso de mercurio como refrigerante en ciertos sistemas de enfriamiento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Faros (rodamientos niveladores en luces de navegación marina)</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en grandes rodamientos de piezas mecánicas giratorias en, por ejemplo, plantas más antiguas de tratamiento de aguas residuales.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65773C">
            <w:pPr>
              <w:spacing w:line="240" w:lineRule="auto"/>
              <w:jc w:val="center"/>
              <w:rPr>
                <w:rFonts w:ascii="Arial" w:hAnsi="Arial" w:cs="Arial"/>
                <w:sz w:val="16"/>
                <w:szCs w:val="16"/>
                <w:lang w:val="es-UY"/>
              </w:rPr>
            </w:pP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Curtido</w:t>
            </w:r>
          </w:p>
        </w:tc>
        <w:tc>
          <w:tcPr>
            <w:tcW w:w="940" w:type="dxa"/>
            <w:tcBorders>
              <w:top w:val="nil"/>
              <w:left w:val="single" w:sz="4" w:space="0" w:color="auto"/>
              <w:bottom w:val="single" w:sz="4" w:space="0" w:color="auto"/>
              <w:right w:val="single" w:sz="4" w:space="0" w:color="auto"/>
            </w:tcBorders>
            <w:vAlign w:val="bottom"/>
          </w:tcPr>
          <w:p w:rsidR="0065773C" w:rsidRDefault="0065773C">
            <w:pPr>
              <w:spacing w:line="240" w:lineRule="auto"/>
              <w:jc w:val="center"/>
              <w:rPr>
                <w:rFonts w:ascii="Arial" w:hAnsi="Arial" w:cs="Arial"/>
                <w:sz w:val="16"/>
                <w:szCs w:val="16"/>
              </w:rPr>
            </w:pP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Pigmentos</w:t>
            </w:r>
          </w:p>
        </w:tc>
        <w:tc>
          <w:tcPr>
            <w:tcW w:w="940" w:type="dxa"/>
            <w:tcBorders>
              <w:top w:val="nil"/>
              <w:left w:val="single" w:sz="4" w:space="0" w:color="auto"/>
              <w:bottom w:val="single" w:sz="4" w:space="0" w:color="auto"/>
              <w:right w:val="single" w:sz="4" w:space="0" w:color="auto"/>
            </w:tcBorders>
            <w:vAlign w:val="bottom"/>
          </w:tcPr>
          <w:p w:rsidR="0065773C" w:rsidRDefault="0065773C">
            <w:pPr>
              <w:spacing w:line="240" w:lineRule="auto"/>
              <w:jc w:val="center"/>
              <w:rPr>
                <w:rFonts w:ascii="Arial" w:hAnsi="Arial" w:cs="Arial"/>
                <w:sz w:val="16"/>
                <w:szCs w:val="16"/>
              </w:rPr>
            </w:pP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Productos para dorar y grabar acero</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Ciertos tipos de papel para fotografías en color</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Amortiguadores del retroceso en rifles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rsidRPr="00F27173">
        <w:trPr>
          <w:cantSplit/>
        </w:trPr>
        <w:tc>
          <w:tcPr>
            <w:tcW w:w="6620" w:type="dxa"/>
            <w:tcBorders>
              <w:top w:val="nil"/>
              <w:left w:val="single" w:sz="4" w:space="0" w:color="auto"/>
              <w:bottom w:val="single" w:sz="4" w:space="0" w:color="auto"/>
              <w:right w:val="nil"/>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Explosivos (fulminato de mercurio, entre otros)</w:t>
            </w:r>
          </w:p>
        </w:tc>
        <w:tc>
          <w:tcPr>
            <w:tcW w:w="940" w:type="dxa"/>
            <w:tcBorders>
              <w:top w:val="nil"/>
              <w:left w:val="single" w:sz="4" w:space="0" w:color="auto"/>
              <w:bottom w:val="single" w:sz="4" w:space="0" w:color="auto"/>
              <w:right w:val="single" w:sz="4" w:space="0" w:color="auto"/>
            </w:tcBorders>
            <w:vAlign w:val="bottom"/>
          </w:tcPr>
          <w:p w:rsidR="0065773C" w:rsidRPr="00F27173"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Fuegos artificiales</w:t>
            </w:r>
          </w:p>
        </w:tc>
        <w:tc>
          <w:tcPr>
            <w:tcW w:w="940" w:type="dxa"/>
            <w:tcBorders>
              <w:top w:val="nil"/>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r w:rsidR="0065773C">
        <w:trPr>
          <w:cantSplit/>
        </w:trPr>
        <w:tc>
          <w:tcPr>
            <w:tcW w:w="6620" w:type="dxa"/>
            <w:tcBorders>
              <w:top w:val="nil"/>
              <w:left w:val="single" w:sz="4" w:space="0" w:color="auto"/>
              <w:bottom w:val="single" w:sz="4" w:space="0" w:color="auto"/>
              <w:right w:val="nil"/>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Juguetes de escritorio</w:t>
            </w:r>
          </w:p>
        </w:tc>
        <w:tc>
          <w:tcPr>
            <w:tcW w:w="940" w:type="dxa"/>
            <w:tcBorders>
              <w:top w:val="nil"/>
              <w:left w:val="single" w:sz="4" w:space="0" w:color="auto"/>
              <w:bottom w:val="single" w:sz="4" w:space="0" w:color="auto"/>
              <w:right w:val="single" w:sz="4" w:space="0" w:color="auto"/>
            </w:tcBorders>
            <w:vAlign w:val="bottom"/>
          </w:tcPr>
          <w:p w:rsidR="0065773C" w:rsidRDefault="002B2414">
            <w:pPr>
              <w:spacing w:line="240" w:lineRule="auto"/>
              <w:jc w:val="center"/>
              <w:rPr>
                <w:rFonts w:ascii="Arial" w:hAnsi="Arial" w:cs="Arial"/>
                <w:sz w:val="16"/>
                <w:szCs w:val="16"/>
              </w:rPr>
            </w:pPr>
            <w:r>
              <w:rPr>
                <w:rFonts w:ascii="Arial" w:hAnsi="Arial" w:cs="Arial"/>
                <w:sz w:val="16"/>
                <w:szCs w:val="16"/>
                <w:lang w:val="es"/>
              </w:rPr>
              <w:t> </w:t>
            </w:r>
          </w:p>
        </w:tc>
      </w:tr>
    </w:tbl>
    <w:p w:rsidR="0065773C" w:rsidRDefault="0065773C">
      <w:pPr>
        <w:pStyle w:val="BodyText"/>
      </w:pPr>
    </w:p>
    <w:p w:rsidR="0065773C" w:rsidRPr="00F27173" w:rsidRDefault="002B2414">
      <w:pPr>
        <w:pStyle w:val="Heading1"/>
        <w:rPr>
          <w:lang w:val="es-UY"/>
        </w:rPr>
      </w:pPr>
      <w:bookmarkStart w:id="4" w:name="_Toc436014294"/>
      <w:r>
        <w:rPr>
          <w:bCs/>
          <w:lang w:val="es"/>
        </w:rPr>
        <w:lastRenderedPageBreak/>
        <w:t>Resumen de aportes de mercurio a la sociedad</w:t>
      </w:r>
      <w:bookmarkEnd w:id="4"/>
    </w:p>
    <w:p w:rsidR="0065773C" w:rsidRPr="00F27173" w:rsidRDefault="002B2414">
      <w:pPr>
        <w:pStyle w:val="BodyText"/>
        <w:rPr>
          <w:lang w:val="es-UY"/>
        </w:rPr>
      </w:pPr>
      <w:r>
        <w:rPr>
          <w:lang w:val="es"/>
        </w:rPr>
        <w:t>Los aportes de mercurio a la sociedad deben interpretarse aquí como las cantidades de mercurio que están disponibles para emisiones potenciales a través de la actividad económica en el país. Esto incluye el mercurio utilizado deliberadamente en productos como termómetros, medidores de presión arterial, lámparas de luz fluorescente, etc. También incluye el mercurio movilizado a través de la extracción y uso de materias primas que contienen mercurio en trazas.</w:t>
      </w:r>
    </w:p>
    <w:p w:rsidR="0065773C" w:rsidRPr="00F27173" w:rsidRDefault="002B2414">
      <w:pPr>
        <w:pStyle w:val="BodyText"/>
        <w:rPr>
          <w:i/>
          <w:lang w:val="es-UY"/>
        </w:rPr>
      </w:pPr>
      <w:r>
        <w:rPr>
          <w:lang w:val="es"/>
        </w:rPr>
        <w:t xml:space="preserve"> </w:t>
      </w:r>
      <w:r>
        <w:rPr>
          <w:i/>
          <w:iCs/>
          <w:lang w:val="es"/>
        </w:rPr>
        <w:t>[Copiar la tabla de la página de la hoja de cálculo "Nivel 1 - Resumen de entradas de Hg" en esta ubicación.</w:t>
      </w:r>
      <w:r>
        <w:rPr>
          <w:lang w:val="es"/>
        </w:rPr>
        <w:t xml:space="preserve"> </w:t>
      </w:r>
      <w:r>
        <w:rPr>
          <w:i/>
          <w:iCs/>
          <w:lang w:val="es"/>
        </w:rPr>
        <w:t>En esta tabla, pueden suprimirse las líneas de subcategorías para las subcategorías marcadas como no presentes, pero no deben suprimirse las líneas con signos de interrogación ya que es importante tener en cuenta los resultados que faltan aquí].</w:t>
      </w:r>
    </w:p>
    <w:p w:rsidR="0065773C" w:rsidRPr="00F27173" w:rsidRDefault="002B241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3</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noProof/>
          <w:lang w:val="es"/>
        </w:rPr>
        <w:fldChar w:fldCharType="end"/>
      </w:r>
      <w:r>
        <w:rPr>
          <w:iCs/>
          <w:lang w:val="es"/>
        </w:rPr>
        <w:tab/>
        <w:t>Resumen de aportes de mercurio a la sociedad</w:t>
      </w:r>
    </w:p>
    <w:tbl>
      <w:tblPr>
        <w:tblW w:w="9733" w:type="dxa"/>
        <w:jc w:val="right"/>
        <w:tblCellMar>
          <w:left w:w="70" w:type="dxa"/>
          <w:right w:w="70" w:type="dxa"/>
        </w:tblCellMar>
        <w:tblLook w:val="00A0" w:firstRow="1" w:lastRow="0" w:firstColumn="1" w:lastColumn="0" w:noHBand="0" w:noVBand="0"/>
      </w:tblPr>
      <w:tblGrid>
        <w:gridCol w:w="4181"/>
        <w:gridCol w:w="1080"/>
        <w:gridCol w:w="834"/>
        <w:gridCol w:w="2789"/>
        <w:gridCol w:w="994"/>
      </w:tblGrid>
      <w:tr w:rsidR="0065773C" w:rsidRPr="00F27173">
        <w:trPr>
          <w:cantSplit/>
          <w:trHeight w:val="20"/>
          <w:tblHeader/>
          <w:jc w:val="right"/>
        </w:trPr>
        <w:tc>
          <w:tcPr>
            <w:tcW w:w="4181" w:type="dxa"/>
            <w:tcBorders>
              <w:top w:val="single" w:sz="4" w:space="0" w:color="auto"/>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sz w:val="16"/>
                <w:szCs w:val="16"/>
              </w:rPr>
            </w:pPr>
            <w:bookmarkStart w:id="5" w:name="RANGE!A2:D70"/>
            <w:bookmarkEnd w:id="5"/>
            <w:r>
              <w:rPr>
                <w:rFonts w:ascii="Arial" w:hAnsi="Arial" w:cs="Arial"/>
                <w:b/>
                <w:bCs/>
                <w:sz w:val="16"/>
                <w:szCs w:val="16"/>
                <w:lang w:val="es"/>
              </w:rPr>
              <w:t>Categoría de la fuente</w:t>
            </w:r>
          </w:p>
        </w:tc>
        <w:tc>
          <w:tcPr>
            <w:tcW w:w="1080" w:type="dxa"/>
            <w:tcBorders>
              <w:top w:val="single" w:sz="4" w:space="0" w:color="auto"/>
              <w:left w:val="nil"/>
              <w:bottom w:val="single" w:sz="4" w:space="0" w:color="auto"/>
              <w:right w:val="single" w:sz="4" w:space="0" w:color="auto"/>
            </w:tcBorders>
            <w:shd w:val="clear" w:color="000000" w:fill="FFFFCC"/>
            <w:vAlign w:val="bottom"/>
          </w:tcPr>
          <w:p w:rsidR="0065773C" w:rsidRDefault="002B2414">
            <w:pPr>
              <w:spacing w:line="240" w:lineRule="auto"/>
              <w:jc w:val="center"/>
              <w:rPr>
                <w:rFonts w:ascii="Arial" w:hAnsi="Arial" w:cs="Arial"/>
                <w:b/>
                <w:sz w:val="16"/>
                <w:szCs w:val="16"/>
              </w:rPr>
            </w:pPr>
            <w:r>
              <w:rPr>
                <w:rFonts w:ascii="Arial" w:hAnsi="Arial" w:cs="Arial"/>
                <w:b/>
                <w:bCs/>
                <w:sz w:val="16"/>
                <w:szCs w:val="16"/>
                <w:lang w:val="es"/>
              </w:rPr>
              <w:t>¿Fuente presente?</w:t>
            </w:r>
          </w:p>
        </w:tc>
        <w:tc>
          <w:tcPr>
            <w:tcW w:w="718" w:type="dxa"/>
            <w:tcBorders>
              <w:top w:val="single" w:sz="4" w:space="0" w:color="auto"/>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sz w:val="16"/>
                <w:szCs w:val="16"/>
              </w:rPr>
            </w:pPr>
            <w:r>
              <w:rPr>
                <w:rFonts w:ascii="Arial" w:hAnsi="Arial" w:cs="Arial"/>
                <w:b/>
                <w:bCs/>
                <w:sz w:val="16"/>
                <w:szCs w:val="16"/>
                <w:lang w:val="es"/>
              </w:rPr>
              <w:t> </w:t>
            </w:r>
          </w:p>
        </w:tc>
        <w:tc>
          <w:tcPr>
            <w:tcW w:w="2789" w:type="dxa"/>
            <w:tcBorders>
              <w:top w:val="single" w:sz="4" w:space="0" w:color="auto"/>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sz w:val="16"/>
                <w:szCs w:val="16"/>
              </w:rPr>
            </w:pPr>
            <w:r>
              <w:rPr>
                <w:rFonts w:ascii="Arial" w:hAnsi="Arial" w:cs="Arial"/>
                <w:b/>
                <w:bCs/>
                <w:sz w:val="16"/>
                <w:szCs w:val="16"/>
                <w:lang w:val="es"/>
              </w:rPr>
              <w:t> </w:t>
            </w:r>
          </w:p>
        </w:tc>
        <w:tc>
          <w:tcPr>
            <w:tcW w:w="965" w:type="dxa"/>
            <w:tcBorders>
              <w:top w:val="single" w:sz="4" w:space="0" w:color="auto"/>
              <w:left w:val="nil"/>
              <w:bottom w:val="single" w:sz="4" w:space="0" w:color="auto"/>
              <w:right w:val="single" w:sz="4" w:space="0" w:color="auto"/>
            </w:tcBorders>
            <w:shd w:val="clear" w:color="000000" w:fill="FFFFCC"/>
            <w:vAlign w:val="bottom"/>
          </w:tcPr>
          <w:p w:rsidR="0065773C" w:rsidRPr="00F27173" w:rsidRDefault="002B2414">
            <w:pPr>
              <w:spacing w:line="240" w:lineRule="auto"/>
              <w:jc w:val="center"/>
              <w:rPr>
                <w:rFonts w:ascii="Arial" w:hAnsi="Arial" w:cs="Arial"/>
                <w:b/>
                <w:sz w:val="16"/>
                <w:szCs w:val="16"/>
                <w:lang w:val="es-UY"/>
              </w:rPr>
            </w:pPr>
            <w:r>
              <w:rPr>
                <w:rFonts w:ascii="Arial" w:hAnsi="Arial" w:cs="Arial"/>
                <w:b/>
                <w:bCs/>
                <w:sz w:val="16"/>
                <w:szCs w:val="16"/>
                <w:lang w:val="es"/>
              </w:rPr>
              <w:t xml:space="preserve">Entrada estimada de Hg, </w:t>
            </w:r>
            <w:r w:rsidR="00EC7B41">
              <w:rPr>
                <w:rFonts w:ascii="Arial" w:hAnsi="Arial" w:cs="Arial"/>
                <w:b/>
                <w:bCs/>
                <w:sz w:val="16"/>
                <w:szCs w:val="16"/>
                <w:lang w:val="es"/>
              </w:rPr>
              <w:br/>
            </w:r>
            <w:r>
              <w:rPr>
                <w:rFonts w:ascii="Arial" w:hAnsi="Arial" w:cs="Arial"/>
                <w:b/>
                <w:bCs/>
                <w:sz w:val="16"/>
                <w:szCs w:val="16"/>
                <w:lang w:val="es"/>
              </w:rPr>
              <w:t>kg Hg/a</w:t>
            </w:r>
          </w:p>
        </w:tc>
      </w:tr>
      <w:tr w:rsidR="0065773C" w:rsidRPr="00EC7B41">
        <w:trPr>
          <w:cantSplit/>
          <w:trHeight w:val="20"/>
          <w:tblHeader/>
          <w:jc w:val="right"/>
        </w:trPr>
        <w:tc>
          <w:tcPr>
            <w:tcW w:w="4181" w:type="dxa"/>
            <w:tcBorders>
              <w:top w:val="single" w:sz="4" w:space="0" w:color="auto"/>
              <w:left w:val="single" w:sz="4" w:space="0" w:color="auto"/>
              <w:bottom w:val="single" w:sz="4" w:space="0" w:color="auto"/>
              <w:right w:val="nil"/>
            </w:tcBorders>
            <w:shd w:val="clear" w:color="000000" w:fill="FFFFCC"/>
            <w:noWrap/>
            <w:vAlign w:val="bottom"/>
          </w:tcPr>
          <w:p w:rsidR="0065773C" w:rsidRPr="00F27173" w:rsidRDefault="002B2414">
            <w:pPr>
              <w:spacing w:line="240" w:lineRule="auto"/>
              <w:rPr>
                <w:rFonts w:ascii="Arial" w:hAnsi="Arial" w:cs="Arial"/>
                <w:b/>
                <w:sz w:val="16"/>
                <w:szCs w:val="16"/>
                <w:lang w:val="es-UY"/>
              </w:rPr>
            </w:pPr>
            <w:r>
              <w:rPr>
                <w:rFonts w:ascii="Arial" w:hAnsi="Arial" w:cs="Arial"/>
                <w:b/>
                <w:bCs/>
                <w:sz w:val="16"/>
                <w:szCs w:val="16"/>
                <w:lang w:val="es"/>
              </w:rPr>
              <w:t> </w:t>
            </w:r>
          </w:p>
        </w:tc>
        <w:tc>
          <w:tcPr>
            <w:tcW w:w="1080" w:type="dxa"/>
            <w:tcBorders>
              <w:top w:val="nil"/>
              <w:left w:val="single" w:sz="4" w:space="0" w:color="auto"/>
              <w:bottom w:val="single" w:sz="4" w:space="0" w:color="auto"/>
              <w:right w:val="single" w:sz="4" w:space="0" w:color="auto"/>
            </w:tcBorders>
            <w:shd w:val="clear" w:color="000000" w:fill="FFFFCC"/>
            <w:noWrap/>
            <w:vAlign w:val="bottom"/>
          </w:tcPr>
          <w:p w:rsidR="0065773C" w:rsidRPr="00EC7B41" w:rsidRDefault="002B2414">
            <w:pPr>
              <w:spacing w:line="240" w:lineRule="auto"/>
              <w:jc w:val="center"/>
              <w:rPr>
                <w:rFonts w:ascii="Arial" w:hAnsi="Arial" w:cs="Arial"/>
                <w:b/>
                <w:bCs/>
                <w:sz w:val="16"/>
                <w:szCs w:val="16"/>
                <w:lang w:val="es-UY"/>
              </w:rPr>
            </w:pPr>
            <w:r>
              <w:rPr>
                <w:rFonts w:ascii="Arial" w:hAnsi="Arial" w:cs="Arial"/>
                <w:b/>
                <w:bCs/>
                <w:sz w:val="16"/>
                <w:szCs w:val="16"/>
                <w:lang w:val="es"/>
              </w:rPr>
              <w:t>S/N</w:t>
            </w:r>
            <w:r w:rsidR="00EC7B41">
              <w:rPr>
                <w:rFonts w:ascii="Arial" w:hAnsi="Arial" w:cs="Arial"/>
                <w:b/>
                <w:bCs/>
                <w:sz w:val="16"/>
                <w:szCs w:val="16"/>
                <w:lang w:val="es"/>
              </w:rPr>
              <w:t>/</w:t>
            </w:r>
            <w:r>
              <w:rPr>
                <w:rFonts w:ascii="Arial" w:hAnsi="Arial" w:cs="Arial"/>
                <w:b/>
                <w:bCs/>
                <w:sz w:val="16"/>
                <w:szCs w:val="16"/>
                <w:lang w:val="es"/>
              </w:rPr>
              <w:t>?</w:t>
            </w:r>
          </w:p>
        </w:tc>
        <w:tc>
          <w:tcPr>
            <w:tcW w:w="718" w:type="dxa"/>
            <w:tcBorders>
              <w:top w:val="nil"/>
              <w:left w:val="nil"/>
              <w:bottom w:val="single" w:sz="4" w:space="0" w:color="auto"/>
              <w:right w:val="single" w:sz="4" w:space="0" w:color="auto"/>
            </w:tcBorders>
            <w:shd w:val="clear" w:color="000000" w:fill="FFFFCC"/>
            <w:vAlign w:val="bottom"/>
          </w:tcPr>
          <w:p w:rsidR="0065773C" w:rsidRPr="00EC7B41" w:rsidRDefault="002B2414">
            <w:pPr>
              <w:spacing w:line="240" w:lineRule="auto"/>
              <w:jc w:val="center"/>
              <w:rPr>
                <w:rFonts w:ascii="Arial" w:hAnsi="Arial" w:cs="Arial"/>
                <w:b/>
                <w:sz w:val="16"/>
                <w:szCs w:val="16"/>
                <w:lang w:val="es-UY"/>
              </w:rPr>
            </w:pPr>
            <w:r>
              <w:rPr>
                <w:rFonts w:ascii="Arial" w:hAnsi="Arial" w:cs="Arial"/>
                <w:b/>
                <w:bCs/>
                <w:sz w:val="16"/>
                <w:szCs w:val="16"/>
                <w:lang w:val="es"/>
              </w:rPr>
              <w:t>Tasa de actividad</w:t>
            </w:r>
          </w:p>
        </w:tc>
        <w:tc>
          <w:tcPr>
            <w:tcW w:w="2789" w:type="dxa"/>
            <w:tcBorders>
              <w:top w:val="nil"/>
              <w:left w:val="nil"/>
              <w:bottom w:val="single" w:sz="4" w:space="0" w:color="auto"/>
              <w:right w:val="single" w:sz="4" w:space="0" w:color="auto"/>
            </w:tcBorders>
            <w:shd w:val="clear" w:color="000000" w:fill="FFFFCC"/>
            <w:vAlign w:val="bottom"/>
          </w:tcPr>
          <w:p w:rsidR="0065773C" w:rsidRPr="00EC7B41" w:rsidRDefault="002B2414">
            <w:pPr>
              <w:spacing w:line="240" w:lineRule="auto"/>
              <w:jc w:val="center"/>
              <w:rPr>
                <w:rFonts w:ascii="Arial" w:hAnsi="Arial" w:cs="Arial"/>
                <w:b/>
                <w:sz w:val="16"/>
                <w:szCs w:val="16"/>
                <w:lang w:val="es-UY"/>
              </w:rPr>
            </w:pPr>
            <w:r>
              <w:rPr>
                <w:rFonts w:ascii="Arial" w:hAnsi="Arial" w:cs="Arial"/>
                <w:b/>
                <w:bCs/>
                <w:sz w:val="16"/>
                <w:szCs w:val="16"/>
                <w:lang w:val="es"/>
              </w:rPr>
              <w:t>Unidad</w:t>
            </w:r>
          </w:p>
        </w:tc>
        <w:tc>
          <w:tcPr>
            <w:tcW w:w="965" w:type="dxa"/>
            <w:tcBorders>
              <w:top w:val="nil"/>
              <w:left w:val="nil"/>
              <w:bottom w:val="single" w:sz="4" w:space="0" w:color="auto"/>
              <w:right w:val="single" w:sz="4" w:space="0" w:color="auto"/>
            </w:tcBorders>
            <w:shd w:val="clear" w:color="000000" w:fill="FFFFCC"/>
            <w:vAlign w:val="bottom"/>
          </w:tcPr>
          <w:p w:rsidR="0065773C" w:rsidRPr="00EC7B41" w:rsidRDefault="002B2414">
            <w:pPr>
              <w:spacing w:line="240" w:lineRule="auto"/>
              <w:jc w:val="center"/>
              <w:rPr>
                <w:rFonts w:ascii="Arial" w:hAnsi="Arial" w:cs="Arial"/>
                <w:b/>
                <w:sz w:val="16"/>
                <w:szCs w:val="16"/>
                <w:lang w:val="es-UY"/>
              </w:rPr>
            </w:pPr>
            <w:r>
              <w:rPr>
                <w:rFonts w:ascii="Arial" w:hAnsi="Arial" w:cs="Arial"/>
                <w:b/>
                <w:bCs/>
                <w:sz w:val="16"/>
                <w:szCs w:val="16"/>
                <w:lang w:val="es"/>
              </w:rPr>
              <w:t>Estimación estándar</w:t>
            </w:r>
          </w:p>
        </w:tc>
      </w:tr>
      <w:tr w:rsidR="0065773C" w:rsidRPr="00EC7B41">
        <w:trPr>
          <w:cantSplit/>
          <w:trHeight w:val="20"/>
          <w:jc w:val="right"/>
        </w:trPr>
        <w:tc>
          <w:tcPr>
            <w:tcW w:w="4181" w:type="dxa"/>
            <w:tcBorders>
              <w:top w:val="single" w:sz="4" w:space="0" w:color="auto"/>
              <w:left w:val="single" w:sz="4" w:space="0" w:color="auto"/>
              <w:bottom w:val="single" w:sz="4" w:space="0" w:color="auto"/>
              <w:right w:val="single" w:sz="4" w:space="0" w:color="auto"/>
            </w:tcBorders>
            <w:shd w:val="clear" w:color="000000" w:fill="FFFFFF"/>
            <w:vAlign w:val="bottom"/>
          </w:tcPr>
          <w:p w:rsidR="0065773C" w:rsidRPr="00EC7B41" w:rsidRDefault="002B2414">
            <w:pPr>
              <w:spacing w:line="240" w:lineRule="auto"/>
              <w:rPr>
                <w:rFonts w:ascii="Arial" w:hAnsi="Arial" w:cs="Arial"/>
                <w:b/>
                <w:bCs/>
                <w:sz w:val="16"/>
                <w:szCs w:val="16"/>
                <w:lang w:val="es-UY"/>
              </w:rPr>
            </w:pPr>
            <w:r>
              <w:rPr>
                <w:rFonts w:ascii="Arial" w:hAnsi="Arial" w:cs="Arial"/>
                <w:b/>
                <w:bCs/>
                <w:sz w:val="16"/>
                <w:szCs w:val="16"/>
                <w:lang w:val="es"/>
              </w:rPr>
              <w:t>Consumo de energía</w:t>
            </w:r>
          </w:p>
        </w:tc>
        <w:tc>
          <w:tcPr>
            <w:tcW w:w="1080" w:type="dxa"/>
            <w:tcBorders>
              <w:top w:val="nil"/>
              <w:left w:val="nil"/>
              <w:bottom w:val="single" w:sz="4" w:space="0" w:color="auto"/>
              <w:right w:val="single" w:sz="4" w:space="0" w:color="auto"/>
            </w:tcBorders>
            <w:shd w:val="clear" w:color="000000" w:fill="FFFFFF"/>
            <w:noWrap/>
            <w:vAlign w:val="bottom"/>
          </w:tcPr>
          <w:p w:rsidR="0065773C" w:rsidRPr="00EC7B41" w:rsidRDefault="002B2414">
            <w:pPr>
              <w:spacing w:line="240" w:lineRule="auto"/>
              <w:jc w:val="center"/>
              <w:rPr>
                <w:rFonts w:ascii="Arial" w:hAnsi="Arial" w:cs="Arial"/>
                <w:b/>
                <w:bCs/>
                <w:sz w:val="16"/>
                <w:szCs w:val="16"/>
                <w:lang w:val="es-UY"/>
              </w:rPr>
            </w:pPr>
            <w:r>
              <w:rPr>
                <w:rFonts w:ascii="Arial" w:hAnsi="Arial" w:cs="Arial"/>
                <w:b/>
                <w:bCs/>
                <w:sz w:val="16"/>
                <w:szCs w:val="16"/>
                <w:lang w:val="es"/>
              </w:rPr>
              <w:t> </w:t>
            </w:r>
          </w:p>
        </w:tc>
        <w:tc>
          <w:tcPr>
            <w:tcW w:w="718" w:type="dxa"/>
            <w:tcBorders>
              <w:top w:val="nil"/>
              <w:left w:val="nil"/>
              <w:bottom w:val="single" w:sz="4" w:space="0" w:color="auto"/>
              <w:right w:val="single" w:sz="4" w:space="0" w:color="auto"/>
            </w:tcBorders>
            <w:shd w:val="clear" w:color="000000" w:fill="FFFFFF"/>
            <w:vAlign w:val="bottom"/>
          </w:tcPr>
          <w:p w:rsidR="0065773C" w:rsidRPr="00EC7B41" w:rsidRDefault="002B2414">
            <w:pPr>
              <w:spacing w:line="240" w:lineRule="auto"/>
              <w:jc w:val="center"/>
              <w:rPr>
                <w:rFonts w:ascii="Arial" w:hAnsi="Arial" w:cs="Arial"/>
                <w:sz w:val="16"/>
                <w:szCs w:val="16"/>
                <w:lang w:val="es-UY"/>
              </w:rPr>
            </w:pPr>
            <w:r>
              <w:rPr>
                <w:rFonts w:ascii="Arial" w:hAnsi="Arial" w:cs="Arial"/>
                <w:sz w:val="16"/>
                <w:szCs w:val="16"/>
                <w:lang w:val="es"/>
              </w:rPr>
              <w:t> </w:t>
            </w:r>
          </w:p>
        </w:tc>
        <w:tc>
          <w:tcPr>
            <w:tcW w:w="2789" w:type="dxa"/>
            <w:tcBorders>
              <w:top w:val="nil"/>
              <w:left w:val="nil"/>
              <w:bottom w:val="single" w:sz="4" w:space="0" w:color="auto"/>
              <w:right w:val="single" w:sz="4" w:space="0" w:color="auto"/>
            </w:tcBorders>
            <w:shd w:val="clear" w:color="000000" w:fill="FFFFFF"/>
            <w:vAlign w:val="bottom"/>
          </w:tcPr>
          <w:p w:rsidR="0065773C" w:rsidRPr="00EC7B41" w:rsidRDefault="002B2414">
            <w:pPr>
              <w:spacing w:line="240" w:lineRule="auto"/>
              <w:jc w:val="center"/>
              <w:rPr>
                <w:rFonts w:ascii="Arial" w:hAnsi="Arial" w:cs="Arial"/>
                <w:sz w:val="16"/>
                <w:szCs w:val="16"/>
                <w:lang w:val="es-UY"/>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vAlign w:val="bottom"/>
          </w:tcPr>
          <w:p w:rsidR="0065773C" w:rsidRPr="00EC7B41" w:rsidRDefault="002B2414">
            <w:pPr>
              <w:spacing w:line="240" w:lineRule="auto"/>
              <w:jc w:val="center"/>
              <w:rPr>
                <w:rFonts w:ascii="Arial" w:hAnsi="Arial" w:cs="Arial"/>
                <w:sz w:val="16"/>
                <w:szCs w:val="16"/>
                <w:lang w:val="es-UY"/>
              </w:rPr>
            </w:pPr>
            <w:r>
              <w:rPr>
                <w:rFonts w:ascii="Arial" w:hAnsi="Arial" w:cs="Arial"/>
                <w:sz w:val="16"/>
                <w:szCs w:val="16"/>
                <w:lang w:val="es"/>
              </w:rPr>
              <w:t> </w:t>
            </w: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 de carbón en grandes centrales eléctricas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Carbón quemado,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Otros usos del carbón</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Carbón utilizado,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coque de petróleo y petróleo pesado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Producto de petróleo quemado, t/a</w:t>
            </w:r>
          </w:p>
        </w:tc>
        <w:tc>
          <w:tcPr>
            <w:tcW w:w="965"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diesel, gasoil, petróleo, querosén</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Producto de petróleo quemado, t/a</w:t>
            </w:r>
          </w:p>
        </w:tc>
        <w:tc>
          <w:tcPr>
            <w:tcW w:w="965"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Energía y producción de calor de biomasa</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Biomasa quemada,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Combustión de carbón vegetal</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Carbón vegetal quemado, t/a</w:t>
            </w:r>
          </w:p>
        </w:tc>
        <w:tc>
          <w:tcPr>
            <w:tcW w:w="965"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combustible</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Extracción de petróleo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Petróleo crudo producido, t/a</w:t>
            </w:r>
          </w:p>
        </w:tc>
        <w:tc>
          <w:tcPr>
            <w:tcW w:w="965"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Refinación de petróleo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Petróleo refinado,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y procesamiento de gas natural</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Gas producido, Nm</w:t>
            </w:r>
            <w:r w:rsidRPr="00EC7B41">
              <w:rPr>
                <w:rFonts w:ascii="Arial" w:hAnsi="Arial" w:cs="Arial"/>
                <w:sz w:val="16"/>
                <w:szCs w:val="16"/>
                <w:vertAlign w:val="superscript"/>
                <w:lang w:val="es"/>
              </w:rPr>
              <w:t>3</w:t>
            </w:r>
            <w:r>
              <w:rPr>
                <w:rFonts w:ascii="Arial" w:hAnsi="Arial" w:cs="Arial"/>
                <w:sz w:val="16"/>
                <w:szCs w:val="16"/>
                <w:lang w:val="es"/>
              </w:rPr>
              <w: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primaria de metales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y procesamiento inicial de mercurio (primario)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Mercurio producido, kg/a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zinc a partir de concentrados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Concentrado usado,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cobre a partir de concentrados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Concentrado usado,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plomo a partir de concentrados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Concentrado usado,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por métodos diferentes de la amalgama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Mineral de oro usado, t/a</w:t>
            </w:r>
          </w:p>
        </w:tc>
        <w:tc>
          <w:tcPr>
            <w:tcW w:w="965"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alúmina a partir de bauxita (producción de aluminio)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Bauxita procesada,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primaria de metal ferroso (producción de hierro, acero)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Arrabio producido, t/a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sin uso de retortas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Oro producido, kg/a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con uso de retortas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Oro producido, kg/a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lastRenderedPageBreak/>
              <w:t>Producción de otros materiales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cemento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t cemento producido/a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pulpa y papel</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t biomasa producida/a</w:t>
            </w:r>
          </w:p>
        </w:tc>
        <w:tc>
          <w:tcPr>
            <w:tcW w:w="965"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productos químicos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cloro-álcali con celdas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Cl</w:t>
            </w:r>
            <w:r w:rsidRPr="00EC7B41">
              <w:rPr>
                <w:rFonts w:ascii="Arial" w:hAnsi="Arial" w:cs="Arial"/>
                <w:sz w:val="16"/>
                <w:szCs w:val="16"/>
                <w:vertAlign w:val="subscript"/>
                <w:lang w:val="es"/>
              </w:rPr>
              <w:t>2</w:t>
            </w:r>
            <w:r>
              <w:rPr>
                <w:rFonts w:ascii="Arial" w:hAnsi="Arial" w:cs="Arial"/>
                <w:sz w:val="16"/>
                <w:szCs w:val="16"/>
                <w:lang w:val="es"/>
              </w:rPr>
              <w:t xml:space="preserve"> producido,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CVM con catalizador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CVM producido,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acetaldehído con catalizador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Acetaldehído producido,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15064B">
            <w:pPr>
              <w:spacing w:line="240" w:lineRule="auto"/>
              <w:rPr>
                <w:rFonts w:ascii="Arial" w:hAnsi="Arial" w:cs="Arial"/>
                <w:b/>
                <w:bCs/>
                <w:sz w:val="16"/>
                <w:szCs w:val="16"/>
                <w:lang w:val="es-UY"/>
              </w:rPr>
            </w:pPr>
            <w:r>
              <w:rPr>
                <w:rFonts w:ascii="Arial" w:hAnsi="Arial" w:cs="Arial"/>
                <w:b/>
                <w:bCs/>
                <w:sz w:val="16"/>
                <w:szCs w:val="16"/>
                <w:lang w:val="es"/>
              </w:rPr>
              <w:t>Producción</w:t>
            </w:r>
            <w:r w:rsidR="002B2414">
              <w:rPr>
                <w:rFonts w:ascii="Arial" w:hAnsi="Arial" w:cs="Arial"/>
                <w:b/>
                <w:bCs/>
                <w:sz w:val="16"/>
                <w:szCs w:val="16"/>
                <w:lang w:val="es"/>
              </w:rPr>
              <w:t xml:space="preserve"> de productos con contenido de mercurio</w:t>
            </w:r>
          </w:p>
        </w:tc>
        <w:tc>
          <w:tcPr>
            <w:tcW w:w="1080"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Termómetros de Hg (médicos, atmosféricos, de laboratorio, industriales, etc.)</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 (fluorescentes, compactas, otras: ver pauta)</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Manómetros e indicadores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Biocidas y pesticidas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Pinturas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Mercurio utilizado para producción, kg/a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Uso y eliminación de productos con contenido de mercurio</w:t>
            </w:r>
          </w:p>
        </w:tc>
        <w:tc>
          <w:tcPr>
            <w:tcW w:w="1080"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Empastes de amalgamas dentales (empastes de "plata")</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Termómetros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artículos vendidos/a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artículos vendidos/a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rsidP="0015064B">
            <w:pPr>
              <w:spacing w:line="240" w:lineRule="auto"/>
              <w:rPr>
                <w:rFonts w:ascii="Arial" w:hAnsi="Arial" w:cs="Arial"/>
                <w:sz w:val="16"/>
                <w:szCs w:val="16"/>
              </w:rPr>
            </w:pPr>
            <w:r>
              <w:rPr>
                <w:rFonts w:ascii="Arial" w:hAnsi="Arial" w:cs="Arial"/>
                <w:sz w:val="16"/>
                <w:szCs w:val="16"/>
                <w:lang w:val="es"/>
              </w:rPr>
              <w:t xml:space="preserve">t </w:t>
            </w:r>
            <w:r w:rsidR="0015064B">
              <w:rPr>
                <w:rFonts w:ascii="Arial" w:hAnsi="Arial" w:cs="Arial"/>
                <w:sz w:val="16"/>
                <w:szCs w:val="16"/>
                <w:lang w:val="es"/>
              </w:rPr>
              <w:t>pilas</w:t>
            </w:r>
            <w:r>
              <w:rPr>
                <w:rFonts w:ascii="Arial" w:hAnsi="Arial" w:cs="Arial"/>
                <w:sz w:val="16"/>
                <w:szCs w:val="16"/>
                <w:lang w:val="es"/>
              </w:rPr>
              <w:t xml:space="preserve"> vendidas/a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Poliuretano (PU, PUR) producido con catalizador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Pinturas con conservantes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Pintura vendida,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vendidos, t/a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Instrumentos médicos para medir la presión arterial (esfingomanómetros de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artículos vendidos/a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Otros manómetros e indicadores con mercurio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Productos químicos de laboratorio</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Otros equipos médicos y de laboratorio con mercurio </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Número de habitantes</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metales reciclados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mercurio reciclado ("producción secundaria")</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Mercurio reciclado, kg/a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metales ferrosos reciclados (hierro y acero)</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Número de vehículos reciclados/a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Incineración de desechos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Incineración de desechos municipales o generales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Incineración de desechos, t/a </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peligrosos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Incineración de desechos, t/a</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médicos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Incineración de desechos, t/a </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lodos residuales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Incineración de desechos, t/a </w:t>
            </w:r>
          </w:p>
        </w:tc>
        <w:tc>
          <w:tcPr>
            <w:tcW w:w="965"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Quema al aire libre de desechos (en vertederos y de manera informal)</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xml:space="preserve">Desechos quemados, t/a </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rsidRPr="00F27173">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Eliminación o vertimiento de desechos y tratamiento de aguas residuales</w:t>
            </w:r>
          </w:p>
        </w:tc>
        <w:tc>
          <w:tcPr>
            <w:tcW w:w="1080" w:type="dxa"/>
            <w:tcBorders>
              <w:top w:val="nil"/>
              <w:left w:val="nil"/>
              <w:bottom w:val="single" w:sz="4" w:space="0" w:color="auto"/>
              <w:right w:val="single" w:sz="4" w:space="0" w:color="auto"/>
            </w:tcBorders>
            <w:shd w:val="clear" w:color="000000" w:fill="FFFFFF"/>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Pr="00F27173" w:rsidRDefault="0065773C">
            <w:pPr>
              <w:spacing w:line="240" w:lineRule="auto"/>
              <w:rPr>
                <w:rFonts w:ascii="Arial" w:hAnsi="Arial" w:cs="Arial"/>
                <w:sz w:val="16"/>
                <w:szCs w:val="16"/>
                <w:lang w:val="es-UY"/>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Vertederos o depósitos controlados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Desechos vertidos,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Vertido informal de desechos generales *1</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Desechos vertidos, t/a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65773C">
            <w:pPr>
              <w:spacing w:line="240" w:lineRule="auto"/>
              <w:rPr>
                <w:rFonts w:ascii="Arial" w:hAnsi="Arial" w:cs="Arial"/>
                <w:sz w:val="16"/>
                <w:szCs w:val="16"/>
              </w:rPr>
            </w:pP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Sistema/tratamiento de aguas residuales</w:t>
            </w:r>
          </w:p>
        </w:tc>
        <w:tc>
          <w:tcPr>
            <w:tcW w:w="1080"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center"/>
              <w:rPr>
                <w:rFonts w:ascii="Arial" w:hAnsi="Arial" w:cs="Arial"/>
                <w:sz w:val="16"/>
                <w:szCs w:val="16"/>
                <w:lang w:val="es-UY"/>
              </w:rPr>
            </w:pPr>
          </w:p>
        </w:tc>
        <w:tc>
          <w:tcPr>
            <w:tcW w:w="718"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Aguas residuales, m</w:t>
            </w:r>
            <w:r>
              <w:rPr>
                <w:rFonts w:ascii="Arial" w:hAnsi="Arial" w:cs="Arial"/>
                <w:sz w:val="16"/>
                <w:szCs w:val="16"/>
                <w:vertAlign w:val="superscript"/>
                <w:lang w:val="es"/>
              </w:rPr>
              <w:t>3</w:t>
            </w:r>
            <w:r>
              <w:rPr>
                <w:rFonts w:ascii="Arial" w:hAnsi="Arial" w:cs="Arial"/>
                <w:sz w:val="16"/>
                <w:szCs w:val="16"/>
                <w:lang w:val="es"/>
              </w:rPr>
              <w:t xml:space="preserve">/a </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Crematorios y cementerios</w:t>
            </w:r>
          </w:p>
        </w:tc>
        <w:tc>
          <w:tcPr>
            <w:tcW w:w="1080" w:type="dxa"/>
            <w:tcBorders>
              <w:top w:val="nil"/>
              <w:left w:val="nil"/>
              <w:bottom w:val="single" w:sz="4" w:space="0" w:color="auto"/>
              <w:right w:val="single" w:sz="4" w:space="0" w:color="auto"/>
            </w:tcBorders>
            <w:shd w:val="clear" w:color="000000" w:fill="FFFFFF"/>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FF"/>
            <w:noWrap/>
            <w:vAlign w:val="bottom"/>
          </w:tcPr>
          <w:p w:rsidR="0065773C" w:rsidRDefault="002B2414">
            <w:pPr>
              <w:spacing w:line="240" w:lineRule="auto"/>
              <w:rPr>
                <w:rFonts w:ascii="Arial" w:hAnsi="Arial" w:cs="Arial"/>
                <w:sz w:val="16"/>
                <w:szCs w:val="16"/>
              </w:rPr>
            </w:pPr>
            <w:r>
              <w:rPr>
                <w:rFonts w:ascii="Arial" w:hAnsi="Arial" w:cs="Arial"/>
                <w:sz w:val="16"/>
                <w:szCs w:val="16"/>
                <w:lang w:val="es"/>
              </w:rPr>
              <w:t> </w:t>
            </w:r>
          </w:p>
        </w:tc>
        <w:tc>
          <w:tcPr>
            <w:tcW w:w="965" w:type="dxa"/>
            <w:tcBorders>
              <w:top w:val="nil"/>
              <w:left w:val="nil"/>
              <w:bottom w:val="single" w:sz="4" w:space="0" w:color="auto"/>
              <w:right w:val="single" w:sz="4" w:space="0" w:color="auto"/>
            </w:tcBorders>
            <w:shd w:val="clear" w:color="000000" w:fill="FFFFFF"/>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Crematorios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15064B">
            <w:pPr>
              <w:spacing w:line="240" w:lineRule="auto"/>
              <w:rPr>
                <w:rFonts w:ascii="Arial" w:hAnsi="Arial" w:cs="Arial"/>
                <w:sz w:val="16"/>
                <w:szCs w:val="16"/>
              </w:rPr>
            </w:pPr>
            <w:r>
              <w:rPr>
                <w:rFonts w:ascii="Arial" w:hAnsi="Arial" w:cs="Arial"/>
                <w:sz w:val="16"/>
                <w:szCs w:val="16"/>
                <w:lang w:val="es"/>
              </w:rPr>
              <w:t>Cadáveres</w:t>
            </w:r>
            <w:r w:rsidR="002B2414">
              <w:rPr>
                <w:rFonts w:ascii="Arial" w:hAnsi="Arial" w:cs="Arial"/>
                <w:sz w:val="16"/>
                <w:szCs w:val="16"/>
                <w:lang w:val="es"/>
              </w:rPr>
              <w:t xml:space="preserve"> cremados/a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Cementerios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jc w:val="right"/>
              <w:rPr>
                <w:rFonts w:ascii="Arial" w:hAnsi="Arial" w:cs="Arial"/>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15064B">
            <w:pPr>
              <w:spacing w:line="240" w:lineRule="auto"/>
              <w:rPr>
                <w:rFonts w:ascii="Arial" w:hAnsi="Arial" w:cs="Arial"/>
                <w:sz w:val="16"/>
                <w:szCs w:val="16"/>
              </w:rPr>
            </w:pPr>
            <w:r>
              <w:rPr>
                <w:rFonts w:ascii="Arial" w:hAnsi="Arial" w:cs="Arial"/>
                <w:sz w:val="16"/>
                <w:szCs w:val="16"/>
                <w:lang w:val="es"/>
              </w:rPr>
              <w:t xml:space="preserve">Cadáveres </w:t>
            </w:r>
            <w:r w:rsidR="002B2414">
              <w:rPr>
                <w:rFonts w:ascii="Arial" w:hAnsi="Arial" w:cs="Arial"/>
                <w:sz w:val="16"/>
                <w:szCs w:val="16"/>
                <w:lang w:val="es"/>
              </w:rPr>
              <w:t>enterrados/a</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sz w:val="16"/>
                <w:szCs w:val="16"/>
              </w:rPr>
            </w:pPr>
          </w:p>
        </w:tc>
      </w:tr>
      <w:tr w:rsidR="0065773C">
        <w:trPr>
          <w:cantSplit/>
          <w:trHeight w:val="20"/>
          <w:jc w:val="right"/>
        </w:trPr>
        <w:tc>
          <w:tcPr>
            <w:tcW w:w="4181"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TOTAL de emisiones cuantificadas</w:t>
            </w:r>
          </w:p>
        </w:tc>
        <w:tc>
          <w:tcPr>
            <w:tcW w:w="1080" w:type="dxa"/>
            <w:tcBorders>
              <w:top w:val="nil"/>
              <w:left w:val="nil"/>
              <w:bottom w:val="single" w:sz="4" w:space="0" w:color="auto"/>
              <w:right w:val="single" w:sz="4" w:space="0" w:color="auto"/>
            </w:tcBorders>
            <w:shd w:val="clear" w:color="000000" w:fill="FFFFCC"/>
            <w:vAlign w:val="bottom"/>
          </w:tcPr>
          <w:p w:rsidR="0065773C" w:rsidRDefault="0065773C">
            <w:pPr>
              <w:spacing w:line="240" w:lineRule="auto"/>
              <w:jc w:val="center"/>
              <w:rPr>
                <w:rFonts w:ascii="Arial" w:hAnsi="Arial" w:cs="Arial"/>
                <w:b/>
                <w:bCs/>
                <w:sz w:val="16"/>
                <w:szCs w:val="16"/>
              </w:rPr>
            </w:pPr>
          </w:p>
        </w:tc>
        <w:tc>
          <w:tcPr>
            <w:tcW w:w="718" w:type="dxa"/>
            <w:tcBorders>
              <w:top w:val="nil"/>
              <w:left w:val="nil"/>
              <w:bottom w:val="single" w:sz="4" w:space="0" w:color="auto"/>
              <w:right w:val="single" w:sz="4" w:space="0" w:color="auto"/>
            </w:tcBorders>
            <w:shd w:val="clear" w:color="000000" w:fill="FFFFCC"/>
            <w:noWrap/>
            <w:vAlign w:val="bottom"/>
          </w:tcPr>
          <w:p w:rsidR="0065773C" w:rsidRDefault="0065773C">
            <w:pPr>
              <w:spacing w:line="240" w:lineRule="auto"/>
              <w:rPr>
                <w:rFonts w:ascii="Arial" w:hAnsi="Arial" w:cs="Arial"/>
                <w:b/>
                <w:bCs/>
                <w:sz w:val="16"/>
                <w:szCs w:val="16"/>
              </w:rPr>
            </w:pPr>
          </w:p>
        </w:tc>
        <w:tc>
          <w:tcPr>
            <w:tcW w:w="2789"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 </w:t>
            </w:r>
          </w:p>
        </w:tc>
        <w:tc>
          <w:tcPr>
            <w:tcW w:w="965" w:type="dxa"/>
            <w:tcBorders>
              <w:top w:val="nil"/>
              <w:left w:val="nil"/>
              <w:bottom w:val="single" w:sz="4" w:space="0" w:color="auto"/>
              <w:right w:val="single" w:sz="4" w:space="0" w:color="auto"/>
            </w:tcBorders>
            <w:shd w:val="clear" w:color="000000" w:fill="FFFFCC"/>
            <w:noWrap/>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 </w:t>
            </w:r>
          </w:p>
        </w:tc>
      </w:tr>
    </w:tbl>
    <w:p w:rsidR="0065773C" w:rsidRDefault="0065773C">
      <w:pPr>
        <w:pStyle w:val="BodyText"/>
      </w:pPr>
    </w:p>
    <w:p w:rsidR="0065773C" w:rsidRPr="00F27173" w:rsidRDefault="002B2414">
      <w:pPr>
        <w:pStyle w:val="BodyText"/>
        <w:rPr>
          <w:lang w:val="es-UY"/>
        </w:rPr>
      </w:pPr>
      <w:r>
        <w:rPr>
          <w:lang w:val="es"/>
        </w:rPr>
        <w:lastRenderedPageBreak/>
        <w:t>Ten</w:t>
      </w:r>
      <w:r w:rsidR="0015064B">
        <w:rPr>
          <w:lang w:val="es"/>
        </w:rPr>
        <w:t>ga</w:t>
      </w:r>
      <w:r>
        <w:rPr>
          <w:lang w:val="es"/>
        </w:rPr>
        <w:t xml:space="preserve"> en cuenta que las siguientes subcategorías de fuentes representan las mayores contribuciones a los aportes de mercurio a la sociedad: [</w:t>
      </w:r>
      <w:r>
        <w:rPr>
          <w:i/>
          <w:iCs/>
          <w:lang w:val="es"/>
        </w:rPr>
        <w:t>Enumerar las 3</w:t>
      </w:r>
      <w:r w:rsidR="0015064B">
        <w:rPr>
          <w:i/>
          <w:iCs/>
          <w:lang w:val="es"/>
        </w:rPr>
        <w:t xml:space="preserve"> a </w:t>
      </w:r>
      <w:r>
        <w:rPr>
          <w:i/>
          <w:iCs/>
          <w:lang w:val="es"/>
        </w:rPr>
        <w:t>5 subcategorías de fuente con las entradas más altas, comenzando por la más alta de todas y así sucesivamente</w:t>
      </w:r>
      <w:r>
        <w:rPr>
          <w:lang w:val="es"/>
        </w:rPr>
        <w:t>].</w:t>
      </w:r>
    </w:p>
    <w:p w:rsidR="0065773C" w:rsidRDefault="002B2414">
      <w:pPr>
        <w:pStyle w:val="Heading1"/>
      </w:pPr>
      <w:bookmarkStart w:id="6" w:name="_Toc436014295"/>
      <w:r>
        <w:rPr>
          <w:bCs/>
          <w:lang w:val="es"/>
        </w:rPr>
        <w:lastRenderedPageBreak/>
        <w:t>Resumen de emisiones de mercurio</w:t>
      </w:r>
      <w:bookmarkEnd w:id="6"/>
    </w:p>
    <w:p w:rsidR="0065773C" w:rsidRPr="00F27173" w:rsidRDefault="0015064B">
      <w:pPr>
        <w:pStyle w:val="BodyText"/>
        <w:rPr>
          <w:lang w:val="es-UY"/>
        </w:rPr>
      </w:pPr>
      <w:r>
        <w:rPr>
          <w:lang w:val="es"/>
        </w:rPr>
        <w:t>En la T</w:t>
      </w:r>
      <w:r w:rsidR="002B2414">
        <w:rPr>
          <w:lang w:val="es"/>
        </w:rPr>
        <w:t xml:space="preserve">abla 4-1 se presenta un resumen de las emisiones de mercurio de todas las categorías de fuentes presentes. Las emisiones de mercurio fundamentales aquí son las emisiones al aire (atmósfera), al agua (mares y </w:t>
      </w:r>
      <w:r>
        <w:rPr>
          <w:lang w:val="es"/>
        </w:rPr>
        <w:t>masas</w:t>
      </w:r>
      <w:r w:rsidR="002B2414">
        <w:rPr>
          <w:lang w:val="es"/>
        </w:rPr>
        <w:t xml:space="preserve"> de agua dulce, incluidas las producidas a través de los sistemas de aguas residuales), a la tierra, a los desechos generales, y al tratamiento de los desechos específico para cada sector. Una vía de salida adicional es la de "subproductos e impurezas" que designan los flujos de retorno de mercurio al mercado con subproductos y productos en los que el mercurio no cumple</w:t>
      </w:r>
      <w:r>
        <w:rPr>
          <w:lang w:val="es"/>
        </w:rPr>
        <w:t xml:space="preserve"> una función deliberada. En la T</w:t>
      </w:r>
      <w:r w:rsidR="002B2414">
        <w:rPr>
          <w:lang w:val="es"/>
        </w:rPr>
        <w:t>abla 4-2 a continuación se presenta una descripción más detallada y la definición de las vías de salida.</w:t>
      </w:r>
    </w:p>
    <w:p w:rsidR="0065773C" w:rsidRPr="00F27173" w:rsidRDefault="002B2414">
      <w:pPr>
        <w:pStyle w:val="BodyText"/>
        <w:rPr>
          <w:i/>
          <w:lang w:val="es-UY"/>
        </w:rPr>
      </w:pPr>
      <w:r>
        <w:rPr>
          <w:lang w:val="es"/>
        </w:rPr>
        <w:t xml:space="preserve"> </w:t>
      </w:r>
      <w:r>
        <w:rPr>
          <w:i/>
          <w:iCs/>
          <w:lang w:val="es"/>
        </w:rPr>
        <w:t>[Copiar la tabla de la página de la hoja de cálculo "Nivel 1 - Resumen de emisiones" en esta ubicación].</w:t>
      </w:r>
      <w:r>
        <w:rPr>
          <w:lang w:val="es"/>
        </w:rPr>
        <w:t xml:space="preserve"> </w:t>
      </w:r>
      <w:r>
        <w:rPr>
          <w:i/>
          <w:iCs/>
          <w:lang w:val="es"/>
        </w:rPr>
        <w:t>En esta tabla, pueden suprimirse las líneas de subcategorías para las subcategorías marcadas como no presentes, pero no deben suprimirse las líneas con signos de interrogación ya que es importante tener en cuenta los resultados que faltan aquí].</w:t>
      </w:r>
    </w:p>
    <w:p w:rsidR="0065773C" w:rsidRPr="00F27173" w:rsidRDefault="002B241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4</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noProof/>
          <w:lang w:val="es"/>
        </w:rPr>
        <w:fldChar w:fldCharType="end"/>
      </w:r>
      <w:r>
        <w:rPr>
          <w:iCs/>
          <w:lang w:val="es"/>
        </w:rPr>
        <w:tab/>
        <w:t>Resumen de emisiones de mercurio</w:t>
      </w:r>
    </w:p>
    <w:tbl>
      <w:tblPr>
        <w:tblW w:w="821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2363"/>
        <w:gridCol w:w="890"/>
        <w:gridCol w:w="992"/>
        <w:gridCol w:w="992"/>
        <w:gridCol w:w="1225"/>
        <w:gridCol w:w="993"/>
        <w:gridCol w:w="1981"/>
      </w:tblGrid>
      <w:tr w:rsidR="0065773C" w:rsidRPr="00F27173">
        <w:trPr>
          <w:trHeight w:val="450"/>
          <w:tblHeader/>
          <w:jc w:val="right"/>
        </w:trPr>
        <w:tc>
          <w:tcPr>
            <w:tcW w:w="2363" w:type="dxa"/>
            <w:shd w:val="clear" w:color="000000" w:fill="FFFFCC"/>
            <w:vAlign w:val="bottom"/>
          </w:tcPr>
          <w:p w:rsidR="0065773C" w:rsidRDefault="002B2414">
            <w:pPr>
              <w:pStyle w:val="BodyText"/>
              <w:rPr>
                <w:rFonts w:ascii="Arial" w:hAnsi="Arial" w:cs="Arial"/>
                <w:b/>
                <w:sz w:val="16"/>
                <w:szCs w:val="16"/>
              </w:rPr>
            </w:pPr>
            <w:r>
              <w:rPr>
                <w:rFonts w:ascii="Arial" w:hAnsi="Arial" w:cs="Arial"/>
                <w:b/>
                <w:bCs/>
                <w:sz w:val="16"/>
                <w:szCs w:val="16"/>
                <w:lang w:val="es"/>
              </w:rPr>
              <w:t>Categoría de la fuente</w:t>
            </w:r>
          </w:p>
        </w:tc>
        <w:tc>
          <w:tcPr>
            <w:tcW w:w="5851" w:type="dxa"/>
            <w:gridSpan w:val="6"/>
            <w:shd w:val="clear" w:color="000000" w:fill="FFFFCC"/>
            <w:vAlign w:val="bottom"/>
          </w:tcPr>
          <w:p w:rsidR="0065773C" w:rsidRPr="00F27173" w:rsidRDefault="0015064B">
            <w:pPr>
              <w:pStyle w:val="BodyText"/>
              <w:rPr>
                <w:rFonts w:ascii="Arial" w:hAnsi="Arial" w:cs="Arial"/>
                <w:b/>
                <w:sz w:val="16"/>
                <w:szCs w:val="16"/>
                <w:lang w:val="es-UY"/>
              </w:rPr>
            </w:pPr>
            <w:r>
              <w:rPr>
                <w:rFonts w:ascii="Arial" w:hAnsi="Arial" w:cs="Arial"/>
                <w:b/>
                <w:bCs/>
                <w:sz w:val="16"/>
                <w:szCs w:val="16"/>
                <w:lang w:val="es"/>
              </w:rPr>
              <w:t>Emisiones</w:t>
            </w:r>
            <w:r w:rsidR="002B2414">
              <w:rPr>
                <w:rFonts w:ascii="Arial" w:hAnsi="Arial" w:cs="Arial"/>
                <w:b/>
                <w:bCs/>
                <w:sz w:val="16"/>
                <w:szCs w:val="16"/>
                <w:lang w:val="es"/>
              </w:rPr>
              <w:t xml:space="preserve"> estimadas de Hg, estimaciones estándar, kg Hg/y</w:t>
            </w:r>
          </w:p>
        </w:tc>
      </w:tr>
      <w:tr w:rsidR="0065773C" w:rsidRPr="00F27173">
        <w:trPr>
          <w:tblHeader/>
          <w:jc w:val="right"/>
        </w:trPr>
        <w:tc>
          <w:tcPr>
            <w:tcW w:w="2363" w:type="dxa"/>
            <w:shd w:val="clear" w:color="000000" w:fill="FFFFCC"/>
            <w:noWrap/>
            <w:vAlign w:val="bottom"/>
          </w:tcPr>
          <w:p w:rsidR="0065773C" w:rsidRPr="00F27173" w:rsidRDefault="002B2414">
            <w:pPr>
              <w:pStyle w:val="BodyText"/>
              <w:rPr>
                <w:rFonts w:ascii="Arial" w:hAnsi="Arial" w:cs="Arial"/>
                <w:b/>
                <w:sz w:val="16"/>
                <w:szCs w:val="16"/>
                <w:lang w:val="es-UY"/>
              </w:rPr>
            </w:pPr>
            <w:r>
              <w:rPr>
                <w:rFonts w:ascii="Arial" w:hAnsi="Arial" w:cs="Arial"/>
                <w:b/>
                <w:bCs/>
                <w:sz w:val="16"/>
                <w:szCs w:val="16"/>
                <w:lang w:val="es"/>
              </w:rPr>
              <w:t> </w:t>
            </w:r>
          </w:p>
        </w:tc>
        <w:tc>
          <w:tcPr>
            <w:tcW w:w="890" w:type="dxa"/>
            <w:shd w:val="clear" w:color="000000" w:fill="FFFFCC"/>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Aire</w:t>
            </w:r>
          </w:p>
        </w:tc>
        <w:tc>
          <w:tcPr>
            <w:tcW w:w="992" w:type="dxa"/>
            <w:shd w:val="clear" w:color="000000" w:fill="FFFFCC"/>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Agua</w:t>
            </w:r>
          </w:p>
        </w:tc>
        <w:tc>
          <w:tcPr>
            <w:tcW w:w="992" w:type="dxa"/>
            <w:shd w:val="clear" w:color="000000" w:fill="FFFFCC"/>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Tierra</w:t>
            </w:r>
          </w:p>
        </w:tc>
        <w:tc>
          <w:tcPr>
            <w:tcW w:w="992" w:type="dxa"/>
            <w:shd w:val="clear" w:color="000000" w:fill="FFFFCC"/>
            <w:vAlign w:val="bottom"/>
          </w:tcPr>
          <w:p w:rsidR="0065773C" w:rsidRDefault="002B2414">
            <w:pPr>
              <w:pStyle w:val="BodyText"/>
              <w:rPr>
                <w:rFonts w:ascii="Arial" w:hAnsi="Arial" w:cs="Arial"/>
                <w:b/>
                <w:sz w:val="16"/>
                <w:szCs w:val="16"/>
              </w:rPr>
            </w:pPr>
            <w:r>
              <w:rPr>
                <w:rFonts w:ascii="Arial" w:hAnsi="Arial" w:cs="Arial"/>
                <w:b/>
                <w:bCs/>
                <w:sz w:val="16"/>
                <w:szCs w:val="16"/>
                <w:lang w:val="es"/>
              </w:rPr>
              <w:t>Subproductos e impurezas</w:t>
            </w:r>
          </w:p>
        </w:tc>
        <w:tc>
          <w:tcPr>
            <w:tcW w:w="993" w:type="dxa"/>
            <w:shd w:val="clear" w:color="000000" w:fill="FFFFCC"/>
            <w:vAlign w:val="bottom"/>
          </w:tcPr>
          <w:p w:rsidR="0065773C" w:rsidRDefault="002B2414">
            <w:pPr>
              <w:pStyle w:val="BodyText"/>
              <w:rPr>
                <w:rFonts w:ascii="Arial" w:hAnsi="Arial" w:cs="Arial"/>
                <w:b/>
                <w:sz w:val="16"/>
                <w:szCs w:val="16"/>
              </w:rPr>
            </w:pPr>
            <w:r>
              <w:rPr>
                <w:rFonts w:ascii="Arial" w:hAnsi="Arial" w:cs="Arial"/>
                <w:b/>
                <w:bCs/>
                <w:sz w:val="16"/>
                <w:szCs w:val="16"/>
                <w:lang w:val="es"/>
              </w:rPr>
              <w:t>Desechos generales</w:t>
            </w:r>
          </w:p>
        </w:tc>
        <w:tc>
          <w:tcPr>
            <w:tcW w:w="992" w:type="dxa"/>
            <w:shd w:val="clear" w:color="000000" w:fill="FFFFCC"/>
            <w:vAlign w:val="bottom"/>
          </w:tcPr>
          <w:p w:rsidR="0065773C" w:rsidRPr="00F27173" w:rsidRDefault="002B2414">
            <w:pPr>
              <w:pStyle w:val="BodyText"/>
              <w:rPr>
                <w:rFonts w:ascii="Arial" w:hAnsi="Arial" w:cs="Arial"/>
                <w:b/>
                <w:sz w:val="16"/>
                <w:szCs w:val="16"/>
                <w:lang w:val="es-UY"/>
              </w:rPr>
            </w:pPr>
            <w:r>
              <w:rPr>
                <w:rFonts w:ascii="Arial" w:hAnsi="Arial" w:cs="Arial"/>
                <w:b/>
                <w:bCs/>
                <w:sz w:val="16"/>
                <w:szCs w:val="16"/>
                <w:lang w:val="es"/>
              </w:rPr>
              <w:t>Tratamiento/eliminación de desechos específicos del sector</w:t>
            </w:r>
          </w:p>
        </w:tc>
      </w:tr>
      <w:tr w:rsidR="0065773C">
        <w:trPr>
          <w:trHeight w:val="255"/>
          <w:jc w:val="right"/>
        </w:trPr>
        <w:tc>
          <w:tcPr>
            <w:tcW w:w="2363" w:type="dxa"/>
            <w:shd w:val="clear" w:color="000000" w:fill="FFFFFF"/>
            <w:vAlign w:val="bottom"/>
          </w:tcPr>
          <w:p w:rsidR="0065773C" w:rsidRDefault="002B2414">
            <w:pPr>
              <w:pStyle w:val="BodyText"/>
              <w:rPr>
                <w:rFonts w:ascii="Arial" w:hAnsi="Arial" w:cs="Arial"/>
                <w:b/>
                <w:sz w:val="16"/>
                <w:szCs w:val="16"/>
              </w:rPr>
            </w:pPr>
            <w:r>
              <w:rPr>
                <w:rFonts w:ascii="Arial" w:hAnsi="Arial" w:cs="Arial"/>
                <w:b/>
                <w:bCs/>
                <w:sz w:val="16"/>
                <w:szCs w:val="16"/>
                <w:lang w:val="es"/>
              </w:rPr>
              <w:t>Consumo de energía</w:t>
            </w:r>
          </w:p>
        </w:tc>
        <w:tc>
          <w:tcPr>
            <w:tcW w:w="890" w:type="dxa"/>
            <w:shd w:val="clear" w:color="000000" w:fill="FFFFFF"/>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c>
          <w:tcPr>
            <w:tcW w:w="992" w:type="dxa"/>
            <w:shd w:val="clear" w:color="000000" w:fill="FFFFFF"/>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c>
          <w:tcPr>
            <w:tcW w:w="992" w:type="dxa"/>
            <w:shd w:val="clear" w:color="000000" w:fill="FFFFFF"/>
            <w:noWrap/>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c>
          <w:tcPr>
            <w:tcW w:w="992" w:type="dxa"/>
            <w:shd w:val="clear" w:color="000000" w:fill="FFFFFF"/>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c>
          <w:tcPr>
            <w:tcW w:w="993" w:type="dxa"/>
            <w:shd w:val="clear" w:color="000000" w:fill="FFFFFF"/>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c>
          <w:tcPr>
            <w:tcW w:w="992" w:type="dxa"/>
            <w:shd w:val="clear" w:color="000000" w:fill="FFFFFF"/>
            <w:vAlign w:val="bottom"/>
          </w:tcPr>
          <w:p w:rsidR="0065773C" w:rsidRDefault="002B2414">
            <w:pPr>
              <w:pStyle w:val="BodyText"/>
              <w:rPr>
                <w:rFonts w:ascii="Arial" w:hAnsi="Arial" w:cs="Arial"/>
                <w:b/>
                <w:sz w:val="16"/>
                <w:szCs w:val="16"/>
              </w:rPr>
            </w:pPr>
            <w:r>
              <w:rPr>
                <w:rFonts w:ascii="Arial" w:hAnsi="Arial" w:cs="Arial"/>
                <w:b/>
                <w:bCs/>
                <w:sz w:val="16"/>
                <w:szCs w:val="16"/>
                <w:lang w:val="es"/>
              </w:rPr>
              <w:t> </w:t>
            </w:r>
          </w:p>
        </w:tc>
      </w:tr>
      <w:tr w:rsidR="0065773C" w:rsidRPr="00F27173">
        <w:trPr>
          <w:trHeight w:val="255"/>
          <w:jc w:val="right"/>
        </w:trPr>
        <w:tc>
          <w:tcPr>
            <w:tcW w:w="2363" w:type="dxa"/>
            <w:shd w:val="clear" w:color="000000" w:fill="FFFFCC"/>
            <w:vAlign w:val="bottom"/>
          </w:tcPr>
          <w:p w:rsidR="0065773C" w:rsidRPr="00F27173" w:rsidRDefault="002B2414">
            <w:pPr>
              <w:pStyle w:val="BodyText"/>
              <w:rPr>
                <w:rFonts w:ascii="Arial" w:hAnsi="Arial" w:cs="Arial"/>
                <w:b/>
                <w:sz w:val="16"/>
                <w:szCs w:val="16"/>
                <w:lang w:val="es-UY"/>
              </w:rPr>
            </w:pPr>
            <w:r>
              <w:rPr>
                <w:rFonts w:ascii="Arial" w:hAnsi="Arial" w:cs="Arial"/>
                <w:b/>
                <w:bCs/>
                <w:sz w:val="16"/>
                <w:szCs w:val="16"/>
                <w:lang w:val="es"/>
              </w:rPr>
              <w:t>Combustión de carbón en grandes centrales eléctricas</w:t>
            </w:r>
          </w:p>
        </w:tc>
        <w:tc>
          <w:tcPr>
            <w:tcW w:w="890" w:type="dxa"/>
            <w:shd w:val="clear" w:color="000000" w:fill="FFFFCC"/>
            <w:vAlign w:val="bottom"/>
          </w:tcPr>
          <w:p w:rsidR="0065773C" w:rsidRPr="00F27173" w:rsidRDefault="0065773C">
            <w:pPr>
              <w:pStyle w:val="BodyText"/>
              <w:rPr>
                <w:rFonts w:ascii="Arial" w:hAnsi="Arial" w:cs="Arial"/>
                <w:b/>
                <w:sz w:val="16"/>
                <w:szCs w:val="16"/>
                <w:lang w:val="es-UY"/>
              </w:rPr>
            </w:pPr>
          </w:p>
        </w:tc>
        <w:tc>
          <w:tcPr>
            <w:tcW w:w="992" w:type="dxa"/>
            <w:shd w:val="clear" w:color="000000" w:fill="FFFFCC"/>
            <w:vAlign w:val="bottom"/>
          </w:tcPr>
          <w:p w:rsidR="0065773C" w:rsidRPr="00F27173" w:rsidRDefault="0065773C">
            <w:pPr>
              <w:pStyle w:val="BodyText"/>
              <w:rPr>
                <w:rFonts w:ascii="Arial" w:hAnsi="Arial" w:cs="Arial"/>
                <w:b/>
                <w:sz w:val="16"/>
                <w:szCs w:val="16"/>
                <w:lang w:val="es-UY"/>
              </w:rPr>
            </w:pPr>
          </w:p>
        </w:tc>
        <w:tc>
          <w:tcPr>
            <w:tcW w:w="992" w:type="dxa"/>
            <w:shd w:val="clear" w:color="000000" w:fill="FFFFCC"/>
            <w:vAlign w:val="bottom"/>
          </w:tcPr>
          <w:p w:rsidR="0065773C" w:rsidRPr="00F27173" w:rsidRDefault="0065773C">
            <w:pPr>
              <w:pStyle w:val="BodyText"/>
              <w:rPr>
                <w:rFonts w:ascii="Arial" w:hAnsi="Arial" w:cs="Arial"/>
                <w:b/>
                <w:sz w:val="16"/>
                <w:szCs w:val="16"/>
                <w:lang w:val="es-UY"/>
              </w:rPr>
            </w:pPr>
          </w:p>
        </w:tc>
        <w:tc>
          <w:tcPr>
            <w:tcW w:w="992" w:type="dxa"/>
            <w:shd w:val="clear" w:color="000000" w:fill="FFFFCC"/>
            <w:vAlign w:val="bottom"/>
          </w:tcPr>
          <w:p w:rsidR="0065773C" w:rsidRPr="00F27173" w:rsidRDefault="0065773C">
            <w:pPr>
              <w:pStyle w:val="BodyText"/>
              <w:rPr>
                <w:rFonts w:ascii="Arial" w:hAnsi="Arial" w:cs="Arial"/>
                <w:b/>
                <w:sz w:val="16"/>
                <w:szCs w:val="16"/>
                <w:lang w:val="es-UY"/>
              </w:rPr>
            </w:pPr>
          </w:p>
        </w:tc>
        <w:tc>
          <w:tcPr>
            <w:tcW w:w="993" w:type="dxa"/>
            <w:shd w:val="clear" w:color="000000" w:fill="FFFFCC"/>
            <w:vAlign w:val="bottom"/>
          </w:tcPr>
          <w:p w:rsidR="0065773C" w:rsidRPr="00F27173" w:rsidRDefault="0065773C">
            <w:pPr>
              <w:pStyle w:val="BodyText"/>
              <w:rPr>
                <w:rFonts w:ascii="Arial" w:hAnsi="Arial" w:cs="Arial"/>
                <w:b/>
                <w:sz w:val="16"/>
                <w:szCs w:val="16"/>
                <w:lang w:val="es-UY"/>
              </w:rPr>
            </w:pPr>
          </w:p>
        </w:tc>
        <w:tc>
          <w:tcPr>
            <w:tcW w:w="992" w:type="dxa"/>
            <w:shd w:val="clear" w:color="000000" w:fill="FFFFCC"/>
            <w:vAlign w:val="bottom"/>
          </w:tcPr>
          <w:p w:rsidR="0065773C" w:rsidRPr="00F27173" w:rsidRDefault="0065773C">
            <w:pPr>
              <w:pStyle w:val="BodyText"/>
              <w:rPr>
                <w:rFonts w:ascii="Arial" w:hAnsi="Arial" w:cs="Arial"/>
                <w:b/>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Otros usos del carbón</w:t>
            </w:r>
          </w:p>
        </w:tc>
        <w:tc>
          <w:tcPr>
            <w:tcW w:w="890"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3"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coque de petróleo y petróleo pesado</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31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Combustión/uso de diesel, gasoil, petróleo, querosén</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Energía y producción de calor de biomasa</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Combustión de carbón vegetal</w:t>
            </w:r>
          </w:p>
        </w:tc>
        <w:tc>
          <w:tcPr>
            <w:tcW w:w="890"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3"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combustible</w:t>
            </w:r>
          </w:p>
        </w:tc>
        <w:tc>
          <w:tcPr>
            <w:tcW w:w="890"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3"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Extracción de petróleo</w:t>
            </w:r>
          </w:p>
        </w:tc>
        <w:tc>
          <w:tcPr>
            <w:tcW w:w="890"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3"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Refinación de petróleo</w:t>
            </w:r>
          </w:p>
        </w:tc>
        <w:tc>
          <w:tcPr>
            <w:tcW w:w="890"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3"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lastRenderedPageBreak/>
              <w:t>Extracción y procesamiento de gas natural</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primaria de metales</w:t>
            </w:r>
          </w:p>
        </w:tc>
        <w:tc>
          <w:tcPr>
            <w:tcW w:w="890"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3"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y procesamiento inicial de mercurio (primario)</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zinc a partir de concentrados</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cobre a partir de concentrados</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plomo a partir de concentrados</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rsidTr="0015064B">
        <w:trPr>
          <w:trHeight w:val="255"/>
          <w:jc w:val="right"/>
        </w:trPr>
        <w:tc>
          <w:tcPr>
            <w:tcW w:w="2363" w:type="dxa"/>
            <w:shd w:val="clear" w:color="000000" w:fill="FFFFCC"/>
            <w:vAlign w:val="center"/>
          </w:tcPr>
          <w:p w:rsidR="0065773C" w:rsidRPr="00F27173" w:rsidRDefault="002B2414">
            <w:pPr>
              <w:tabs>
                <w:tab w:val="right" w:pos="7371"/>
              </w:tabs>
              <w:spacing w:line="240" w:lineRule="auto"/>
              <w:ind w:left="-2268" w:right="851"/>
              <w:rPr>
                <w:rFonts w:ascii="Arial" w:hAnsi="Arial" w:cs="Arial"/>
                <w:sz w:val="16"/>
                <w:szCs w:val="16"/>
                <w:lang w:val="es-UY"/>
              </w:rPr>
            </w:pPr>
            <w:r>
              <w:rPr>
                <w:rFonts w:ascii="Arial" w:hAnsi="Arial" w:cs="Arial"/>
                <w:sz w:val="16"/>
                <w:szCs w:val="16"/>
                <w:lang w:val="es"/>
              </w:rPr>
              <w:t>Extracción de oro por métodos diferentes de la amalgama de mercurio</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330"/>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alúmina a partir de bauxita (producción de aluminio)</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420"/>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primaria de metal ferroso (producción de hierro, acero)</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450"/>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sin uso de retortas</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Extracción de oro con amalgamación de mercurio, con uso de retortas</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trPr>
          <w:trHeight w:val="34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otros materiales</w:t>
            </w:r>
          </w:p>
        </w:tc>
        <w:tc>
          <w:tcPr>
            <w:tcW w:w="890"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c>
          <w:tcPr>
            <w:tcW w:w="993" w:type="dxa"/>
            <w:shd w:val="clear" w:color="000000" w:fill="FFFFFF"/>
            <w:vAlign w:val="bottom"/>
          </w:tcPr>
          <w:p w:rsidR="0065773C" w:rsidRDefault="0065773C">
            <w:pPr>
              <w:spacing w:line="240" w:lineRule="auto"/>
              <w:jc w:val="right"/>
              <w:rPr>
                <w:rFonts w:ascii="Arial" w:hAnsi="Arial" w:cs="Arial"/>
                <w:sz w:val="16"/>
                <w:szCs w:val="16"/>
              </w:rPr>
            </w:pPr>
          </w:p>
        </w:tc>
        <w:tc>
          <w:tcPr>
            <w:tcW w:w="992" w:type="dxa"/>
            <w:shd w:val="clear" w:color="000000" w:fill="FFFFFF"/>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Producción de cemento</w:t>
            </w:r>
          </w:p>
        </w:tc>
        <w:tc>
          <w:tcPr>
            <w:tcW w:w="890"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c>
          <w:tcPr>
            <w:tcW w:w="993" w:type="dxa"/>
            <w:shd w:val="clear" w:color="000000" w:fill="FFFFCC"/>
            <w:vAlign w:val="bottom"/>
          </w:tcPr>
          <w:p w:rsidR="0065773C" w:rsidRDefault="0065773C">
            <w:pPr>
              <w:spacing w:line="240" w:lineRule="auto"/>
              <w:jc w:val="right"/>
              <w:rPr>
                <w:rFonts w:ascii="Arial" w:hAnsi="Arial" w:cs="Arial"/>
                <w:sz w:val="16"/>
                <w:szCs w:val="16"/>
              </w:rPr>
            </w:pPr>
          </w:p>
        </w:tc>
        <w:tc>
          <w:tcPr>
            <w:tcW w:w="992" w:type="dxa"/>
            <w:shd w:val="clear" w:color="000000" w:fill="FFFFCC"/>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pulpa y papel</w:t>
            </w:r>
          </w:p>
        </w:tc>
        <w:tc>
          <w:tcPr>
            <w:tcW w:w="890"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productos químicos</w:t>
            </w:r>
          </w:p>
        </w:tc>
        <w:tc>
          <w:tcPr>
            <w:tcW w:w="890"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cloro-álcali con celdas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CVM con catalizador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acetaldehído con catalizador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Elaboración de productos con contenido de mercurio</w:t>
            </w:r>
          </w:p>
        </w:tc>
        <w:tc>
          <w:tcPr>
            <w:tcW w:w="890"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Termómetros de Hg (médicos, atmosféricos, de laboratorio, industriales, etc.)</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450"/>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 (fluorescentes, compactas, otras: ver pauta)</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Manómetros e indicadores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Biocidas y pesticidas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Pinturas con mercurio</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330"/>
          <w:jc w:val="right"/>
        </w:trPr>
        <w:tc>
          <w:tcPr>
            <w:tcW w:w="2363"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Uso y eliminación de productos con contenido de mercurio</w:t>
            </w:r>
          </w:p>
        </w:tc>
        <w:tc>
          <w:tcPr>
            <w:tcW w:w="890"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Empastes de amalgamas </w:t>
            </w:r>
            <w:r>
              <w:rPr>
                <w:rFonts w:ascii="Arial" w:hAnsi="Arial" w:cs="Arial"/>
                <w:sz w:val="16"/>
                <w:szCs w:val="16"/>
                <w:lang w:val="es"/>
              </w:rPr>
              <w:lastRenderedPageBreak/>
              <w:t>dentales (empastes de "plata")</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Termómetros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Interruptores eléctricos y relés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Fuentes de luz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Pilas con mercurio</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Poliuretano (PU, PUR) producido con catalizador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Pinturas con conservantes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Cremas y jabones aclarantes de la piel con productos químicos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58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Instrumentos médicos para medir la presión arterial (esfingomanómetros de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Otros manómetros e indicadores con mercurio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Productos químicos de laboratorio</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 xml:space="preserve">Otros equipos médicos y de laboratorio con mercurio </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Producción de metales reciclados</w:t>
            </w:r>
          </w:p>
        </w:tc>
        <w:tc>
          <w:tcPr>
            <w:tcW w:w="890"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mercurio reciclado ("producción secundaria")</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Producción de metales ferrosos reciclados (hierro y acero)</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Incineración de desechos</w:t>
            </w:r>
          </w:p>
        </w:tc>
        <w:tc>
          <w:tcPr>
            <w:tcW w:w="890"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Incineración de desechos municipales o generales</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peligrosos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desechos médicos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Incineración de lodos residuales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Quema al aire libre de desechos (en vertederos y de manera informal)</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FF"/>
            <w:vAlign w:val="bottom"/>
          </w:tcPr>
          <w:p w:rsidR="0065773C" w:rsidRPr="00F27173" w:rsidRDefault="002B2414">
            <w:pPr>
              <w:spacing w:line="240" w:lineRule="auto"/>
              <w:rPr>
                <w:rFonts w:ascii="Arial" w:hAnsi="Arial" w:cs="Arial"/>
                <w:b/>
                <w:bCs/>
                <w:sz w:val="16"/>
                <w:szCs w:val="16"/>
                <w:lang w:val="es-UY"/>
              </w:rPr>
            </w:pPr>
            <w:r>
              <w:rPr>
                <w:rFonts w:ascii="Arial" w:hAnsi="Arial" w:cs="Arial"/>
                <w:b/>
                <w:bCs/>
                <w:sz w:val="16"/>
                <w:szCs w:val="16"/>
                <w:lang w:val="es"/>
              </w:rPr>
              <w:t>Eliminación o vertimiento de desechos y tratamiento de aguas residuales</w:t>
            </w:r>
          </w:p>
        </w:tc>
        <w:tc>
          <w:tcPr>
            <w:tcW w:w="890"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FF"/>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Vertederos o depósitos controlados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Vertido informal de desechos generales *1</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rsidRPr="00F27173">
        <w:trPr>
          <w:trHeight w:val="255"/>
          <w:jc w:val="right"/>
        </w:trPr>
        <w:tc>
          <w:tcPr>
            <w:tcW w:w="2363" w:type="dxa"/>
            <w:shd w:val="clear" w:color="000000" w:fill="FFFFCC"/>
            <w:vAlign w:val="bottom"/>
          </w:tcPr>
          <w:p w:rsidR="0065773C" w:rsidRPr="00F27173" w:rsidRDefault="002B2414">
            <w:pPr>
              <w:spacing w:line="240" w:lineRule="auto"/>
              <w:rPr>
                <w:rFonts w:ascii="Arial" w:hAnsi="Arial" w:cs="Arial"/>
                <w:sz w:val="16"/>
                <w:szCs w:val="16"/>
                <w:lang w:val="es-UY"/>
              </w:rPr>
            </w:pPr>
            <w:r>
              <w:rPr>
                <w:rFonts w:ascii="Arial" w:hAnsi="Arial" w:cs="Arial"/>
                <w:sz w:val="16"/>
                <w:szCs w:val="16"/>
                <w:lang w:val="es"/>
              </w:rPr>
              <w:t>Sistema/tratamiento de aguas residuales *2</w:t>
            </w:r>
          </w:p>
        </w:tc>
        <w:tc>
          <w:tcPr>
            <w:tcW w:w="890"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3"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c>
          <w:tcPr>
            <w:tcW w:w="992" w:type="dxa"/>
            <w:shd w:val="clear" w:color="000000" w:fill="FFFFCC"/>
            <w:noWrap/>
            <w:vAlign w:val="bottom"/>
          </w:tcPr>
          <w:p w:rsidR="0065773C" w:rsidRPr="00F27173" w:rsidRDefault="0065773C">
            <w:pPr>
              <w:spacing w:line="240" w:lineRule="auto"/>
              <w:jc w:val="right"/>
              <w:rPr>
                <w:rFonts w:ascii="Arial" w:hAnsi="Arial" w:cs="Arial"/>
                <w:sz w:val="16"/>
                <w:szCs w:val="16"/>
                <w:lang w:val="es-UY"/>
              </w:rPr>
            </w:pPr>
          </w:p>
        </w:tc>
      </w:tr>
      <w:tr w:rsidR="0065773C">
        <w:trPr>
          <w:trHeight w:val="255"/>
          <w:jc w:val="right"/>
        </w:trPr>
        <w:tc>
          <w:tcPr>
            <w:tcW w:w="2363" w:type="dxa"/>
            <w:shd w:val="clear" w:color="000000" w:fill="FFFFFF"/>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Crematorios y cementerios</w:t>
            </w:r>
          </w:p>
        </w:tc>
        <w:tc>
          <w:tcPr>
            <w:tcW w:w="890"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3" w:type="dxa"/>
            <w:shd w:val="clear" w:color="000000" w:fill="FFFFFF"/>
            <w:noWrap/>
            <w:vAlign w:val="bottom"/>
          </w:tcPr>
          <w:p w:rsidR="0065773C" w:rsidRDefault="0065773C">
            <w:pPr>
              <w:spacing w:line="240" w:lineRule="auto"/>
              <w:jc w:val="right"/>
              <w:rPr>
                <w:rFonts w:ascii="Arial" w:hAnsi="Arial" w:cs="Arial"/>
                <w:sz w:val="16"/>
                <w:szCs w:val="16"/>
              </w:rPr>
            </w:pPr>
          </w:p>
        </w:tc>
        <w:tc>
          <w:tcPr>
            <w:tcW w:w="992" w:type="dxa"/>
            <w:shd w:val="clear" w:color="000000" w:fill="FFFFFF"/>
            <w:noWrap/>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Crematorios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sz w:val="16"/>
                <w:szCs w:val="16"/>
              </w:rPr>
            </w:pPr>
            <w:r>
              <w:rPr>
                <w:rFonts w:ascii="Arial" w:hAnsi="Arial" w:cs="Arial"/>
                <w:sz w:val="16"/>
                <w:szCs w:val="16"/>
                <w:lang w:val="es"/>
              </w:rPr>
              <w:t>Cementerios</w:t>
            </w:r>
          </w:p>
        </w:tc>
        <w:tc>
          <w:tcPr>
            <w:tcW w:w="890"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sz w:val="16"/>
                <w:szCs w:val="16"/>
              </w:rPr>
            </w:pPr>
          </w:p>
        </w:tc>
      </w:tr>
      <w:tr w:rsidR="0065773C">
        <w:trPr>
          <w:trHeight w:val="255"/>
          <w:jc w:val="right"/>
        </w:trPr>
        <w:tc>
          <w:tcPr>
            <w:tcW w:w="2363" w:type="dxa"/>
            <w:shd w:val="clear" w:color="000000" w:fill="FFFFCC"/>
            <w:vAlign w:val="bottom"/>
          </w:tcPr>
          <w:p w:rsidR="0065773C" w:rsidRDefault="002B2414">
            <w:pPr>
              <w:spacing w:line="240" w:lineRule="auto"/>
              <w:rPr>
                <w:rFonts w:ascii="Arial" w:hAnsi="Arial" w:cs="Arial"/>
                <w:b/>
                <w:bCs/>
                <w:sz w:val="16"/>
                <w:szCs w:val="16"/>
              </w:rPr>
            </w:pPr>
            <w:r>
              <w:rPr>
                <w:rFonts w:ascii="Arial" w:hAnsi="Arial" w:cs="Arial"/>
                <w:b/>
                <w:bCs/>
                <w:sz w:val="16"/>
                <w:szCs w:val="16"/>
                <w:lang w:val="es"/>
              </w:rPr>
              <w:t>TOTAL de emisiones cuantificadas*1*2</w:t>
            </w:r>
          </w:p>
        </w:tc>
        <w:tc>
          <w:tcPr>
            <w:tcW w:w="890" w:type="dxa"/>
            <w:shd w:val="clear" w:color="000000" w:fill="FFFFCC"/>
            <w:noWrap/>
            <w:vAlign w:val="bottom"/>
          </w:tcPr>
          <w:p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b/>
                <w:bCs/>
                <w:sz w:val="16"/>
                <w:szCs w:val="16"/>
              </w:rPr>
            </w:pPr>
          </w:p>
        </w:tc>
        <w:tc>
          <w:tcPr>
            <w:tcW w:w="993" w:type="dxa"/>
            <w:shd w:val="clear" w:color="000000" w:fill="FFFFCC"/>
            <w:noWrap/>
            <w:vAlign w:val="bottom"/>
          </w:tcPr>
          <w:p w:rsidR="0065773C" w:rsidRDefault="0065773C">
            <w:pPr>
              <w:spacing w:line="240" w:lineRule="auto"/>
              <w:jc w:val="right"/>
              <w:rPr>
                <w:rFonts w:ascii="Arial" w:hAnsi="Arial" w:cs="Arial"/>
                <w:b/>
                <w:bCs/>
                <w:sz w:val="16"/>
                <w:szCs w:val="16"/>
              </w:rPr>
            </w:pPr>
          </w:p>
        </w:tc>
        <w:tc>
          <w:tcPr>
            <w:tcW w:w="992" w:type="dxa"/>
            <w:shd w:val="clear" w:color="000000" w:fill="FFFFCC"/>
            <w:noWrap/>
            <w:vAlign w:val="bottom"/>
          </w:tcPr>
          <w:p w:rsidR="0065773C" w:rsidRDefault="0065773C">
            <w:pPr>
              <w:spacing w:line="240" w:lineRule="auto"/>
              <w:jc w:val="right"/>
              <w:rPr>
                <w:rFonts w:ascii="Arial" w:hAnsi="Arial" w:cs="Arial"/>
                <w:b/>
                <w:bCs/>
                <w:sz w:val="16"/>
                <w:szCs w:val="16"/>
              </w:rPr>
            </w:pPr>
          </w:p>
        </w:tc>
      </w:tr>
    </w:tbl>
    <w:p w:rsidR="0065773C" w:rsidRPr="00F27173" w:rsidRDefault="0015064B">
      <w:pPr>
        <w:pStyle w:val="BodyText"/>
        <w:rPr>
          <w:sz w:val="18"/>
          <w:szCs w:val="18"/>
          <w:lang w:val="es-UY"/>
        </w:rPr>
      </w:pPr>
      <w:r>
        <w:rPr>
          <w:sz w:val="18"/>
          <w:szCs w:val="18"/>
          <w:lang w:val="es"/>
        </w:rPr>
        <w:lastRenderedPageBreak/>
        <w:t xml:space="preserve">Notas de </w:t>
      </w:r>
      <w:r w:rsidR="002B2414">
        <w:rPr>
          <w:sz w:val="18"/>
          <w:szCs w:val="18"/>
          <w:lang w:val="es"/>
        </w:rPr>
        <w:t xml:space="preserve">la tabla anterior: *1: Las cantidades estimadas incluyen el mercurio en productos que también ha sido contabilizado bajo cada categoría de productos. Para evitar el conteo doble, se ha sustraído automáticamente de los TOTALES la liberación proveniente del vertido informal de desechos generales. *2: La liberación estimada al agua incluye cantidades de mercurio que también han sido contabilizadas bajo cada categoría de fuente. Para evitar el conteo doble, se han sustraído automáticamente de los TOTALES la entrada y liberación al agua proveniente del sistema y tratamiento de aguas residuales. </w:t>
      </w:r>
    </w:p>
    <w:p w:rsidR="0065773C" w:rsidRPr="00F27173" w:rsidRDefault="002B2414">
      <w:pPr>
        <w:pStyle w:val="BodyText"/>
        <w:rPr>
          <w:lang w:val="es-UY"/>
        </w:rPr>
      </w:pPr>
      <w:r>
        <w:rPr>
          <w:lang w:val="es"/>
        </w:rPr>
        <w:t>Ten</w:t>
      </w:r>
      <w:r w:rsidR="0015064B">
        <w:rPr>
          <w:lang w:val="es"/>
        </w:rPr>
        <w:t>ga</w:t>
      </w:r>
      <w:r>
        <w:rPr>
          <w:lang w:val="es"/>
        </w:rPr>
        <w:t xml:space="preserve"> en cuenta que las siguientes subcategorías de fuentes representan las mayores contribuciones a las entradas de mercurio en la atmósfera: [</w:t>
      </w:r>
      <w:r>
        <w:rPr>
          <w:i/>
          <w:iCs/>
          <w:lang w:val="es"/>
        </w:rPr>
        <w:t>Enumerar aquí las 3</w:t>
      </w:r>
      <w:r w:rsidR="0015064B">
        <w:rPr>
          <w:i/>
          <w:iCs/>
          <w:lang w:val="es"/>
        </w:rPr>
        <w:t xml:space="preserve"> a </w:t>
      </w:r>
      <w:r>
        <w:rPr>
          <w:i/>
          <w:iCs/>
          <w:lang w:val="es"/>
        </w:rPr>
        <w:t>5 subcategorías de fuente con las emisiones más altas al aire, comenzando por la más alta de todas y así sucesivamente</w:t>
      </w:r>
      <w:r>
        <w:rPr>
          <w:lang w:val="es"/>
        </w:rPr>
        <w:t>].</w:t>
      </w:r>
    </w:p>
    <w:p w:rsidR="0065773C" w:rsidRPr="00F27173" w:rsidRDefault="002B2414">
      <w:pPr>
        <w:pStyle w:val="BodyText"/>
        <w:rPr>
          <w:i/>
          <w:sz w:val="21"/>
          <w:lang w:val="es-UY"/>
        </w:rPr>
      </w:pPr>
      <w:r>
        <w:rPr>
          <w:lang w:val="es"/>
        </w:rPr>
        <w:t>La tabla 4-2 a continuación brinda descripciones y definiciones generales de las vías de salida.</w:t>
      </w:r>
    </w:p>
    <w:p w:rsidR="0065773C" w:rsidRPr="00F27173" w:rsidRDefault="002B241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4</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2</w:t>
      </w:r>
      <w:r>
        <w:rPr>
          <w:iCs/>
          <w:noProof/>
          <w:lang w:val="es"/>
        </w:rPr>
        <w:fldChar w:fldCharType="end"/>
      </w:r>
      <w:r>
        <w:rPr>
          <w:iCs/>
          <w:lang w:val="es"/>
        </w:rPr>
        <w:tab/>
        <w:t>Descripción de los tipos de resultados</w:t>
      </w:r>
    </w:p>
    <w:tbl>
      <w:tblPr>
        <w:tblW w:w="0" w:type="auto"/>
        <w:tblInd w:w="-2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7039"/>
      </w:tblGrid>
      <w:tr w:rsidR="0065773C">
        <w:trPr>
          <w:cantSplit/>
          <w:tblHeader/>
        </w:trPr>
        <w:tc>
          <w:tcPr>
            <w:tcW w:w="1560" w:type="dxa"/>
          </w:tcPr>
          <w:p w:rsidR="0065773C" w:rsidRPr="00F27173" w:rsidRDefault="002B2414">
            <w:pPr>
              <w:spacing w:line="240" w:lineRule="auto"/>
              <w:rPr>
                <w:rFonts w:ascii="Arial" w:hAnsi="Arial" w:cs="Arial"/>
                <w:b/>
                <w:sz w:val="20"/>
                <w:lang w:val="es-UY"/>
              </w:rPr>
            </w:pPr>
            <w:r>
              <w:rPr>
                <w:rFonts w:ascii="Arial" w:hAnsi="Arial" w:cs="Arial"/>
                <w:b/>
                <w:bCs/>
                <w:sz w:val="20"/>
                <w:lang w:val="es"/>
              </w:rPr>
              <w:t>Tipo de resultado de cálculo</w:t>
            </w:r>
          </w:p>
        </w:tc>
        <w:tc>
          <w:tcPr>
            <w:tcW w:w="7969" w:type="dxa"/>
          </w:tcPr>
          <w:p w:rsidR="0065773C" w:rsidRDefault="002B2414">
            <w:pPr>
              <w:spacing w:line="240" w:lineRule="auto"/>
              <w:rPr>
                <w:rFonts w:ascii="Arial" w:hAnsi="Arial" w:cs="Arial"/>
                <w:b/>
                <w:sz w:val="20"/>
              </w:rPr>
            </w:pPr>
            <w:r>
              <w:rPr>
                <w:rFonts w:ascii="Arial" w:hAnsi="Arial" w:cs="Arial"/>
                <w:b/>
                <w:bCs/>
                <w:sz w:val="20"/>
                <w:lang w:val="es"/>
              </w:rPr>
              <w:t>Descripción</w:t>
            </w:r>
          </w:p>
        </w:tc>
      </w:tr>
      <w:tr w:rsidR="0065773C" w:rsidRPr="00F27173">
        <w:trPr>
          <w:cantSplit/>
        </w:trPr>
        <w:tc>
          <w:tcPr>
            <w:tcW w:w="1560" w:type="dxa"/>
          </w:tcPr>
          <w:p w:rsidR="0065773C" w:rsidRPr="00F27173" w:rsidRDefault="002B2414">
            <w:pPr>
              <w:spacing w:line="240" w:lineRule="auto"/>
              <w:rPr>
                <w:rFonts w:ascii="Arial" w:hAnsi="Arial" w:cs="Arial"/>
                <w:sz w:val="20"/>
                <w:lang w:val="es-UY"/>
              </w:rPr>
            </w:pPr>
            <w:r>
              <w:rPr>
                <w:rFonts w:ascii="Arial" w:hAnsi="Arial" w:cs="Arial"/>
                <w:sz w:val="20"/>
                <w:lang w:val="es"/>
              </w:rPr>
              <w:t>Entrada estimada de Hg, kg Hg/a</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La estimación estándar de la cantidad de mercurio que ingresa en esta categoría de fuente con materiales de entrada, por ejemplo, cantidad calculada de mercurio en el carbón utilizado anualmente en el país para combustión en centrales eléctricas grandes.</w:t>
            </w:r>
          </w:p>
        </w:tc>
      </w:tr>
      <w:tr w:rsidR="0065773C" w:rsidRPr="00F27173">
        <w:trPr>
          <w:cantSplit/>
        </w:trPr>
        <w:tc>
          <w:tcPr>
            <w:tcW w:w="1560" w:type="dxa"/>
          </w:tcPr>
          <w:p w:rsidR="0065773C" w:rsidRDefault="002B2414">
            <w:pPr>
              <w:spacing w:line="240" w:lineRule="auto"/>
              <w:rPr>
                <w:rFonts w:ascii="Arial" w:hAnsi="Arial" w:cs="Arial"/>
                <w:sz w:val="20"/>
              </w:rPr>
            </w:pPr>
            <w:r>
              <w:rPr>
                <w:rFonts w:ascii="Arial" w:hAnsi="Arial" w:cs="Arial"/>
                <w:sz w:val="20"/>
                <w:lang w:val="es"/>
              </w:rPr>
              <w:t>Aire</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Emisiones de mercurio a la atmósfera procedentes de fuentes puntuales y difusas desde las que se puede expandir en forma local o a lo largo de grandes distancias con masas de aire; por ejemplo, desde:</w:t>
            </w:r>
          </w:p>
          <w:p w:rsidR="0065773C" w:rsidRPr="00F27173" w:rsidRDefault="002B2414">
            <w:pPr>
              <w:pStyle w:val="ListParagraph"/>
              <w:numPr>
                <w:ilvl w:val="0"/>
                <w:numId w:val="25"/>
              </w:numPr>
              <w:spacing w:line="240" w:lineRule="auto"/>
              <w:rPr>
                <w:rFonts w:ascii="Arial" w:hAnsi="Arial" w:cs="Arial"/>
                <w:sz w:val="20"/>
                <w:lang w:val="es-UY"/>
              </w:rPr>
            </w:pPr>
            <w:r>
              <w:rPr>
                <w:rFonts w:ascii="Arial" w:hAnsi="Arial" w:cs="Arial"/>
                <w:sz w:val="20"/>
                <w:lang w:val="es"/>
              </w:rPr>
              <w:t>Fuentes puntuales como centrales eléctricas alimentadas a carbón, fundición de metales, incineración de residuos;</w:t>
            </w:r>
          </w:p>
          <w:p w:rsidR="0065773C" w:rsidRPr="00F27173" w:rsidRDefault="002B2414">
            <w:pPr>
              <w:pStyle w:val="ListParagraph"/>
              <w:numPr>
                <w:ilvl w:val="0"/>
                <w:numId w:val="25"/>
              </w:numPr>
              <w:spacing w:line="240" w:lineRule="auto"/>
              <w:rPr>
                <w:rFonts w:ascii="Arial" w:hAnsi="Arial" w:cs="Arial"/>
                <w:sz w:val="20"/>
                <w:lang w:val="es-UY"/>
              </w:rPr>
            </w:pPr>
            <w:r>
              <w:rPr>
                <w:rFonts w:ascii="Arial" w:hAnsi="Arial" w:cs="Arial"/>
                <w:sz w:val="20"/>
                <w:lang w:val="es"/>
              </w:rPr>
              <w:t>Fuentes difusas como extracción de oro a pequeña escala, quema informal de residuos con lámparas fluorescentes, baterías, termómetros.</w:t>
            </w:r>
          </w:p>
        </w:tc>
      </w:tr>
      <w:tr w:rsidR="0065773C" w:rsidRPr="00F27173">
        <w:trPr>
          <w:cantSplit/>
        </w:trPr>
        <w:tc>
          <w:tcPr>
            <w:tcW w:w="1560" w:type="dxa"/>
          </w:tcPr>
          <w:p w:rsidR="0065773C" w:rsidRDefault="002B2414">
            <w:pPr>
              <w:spacing w:line="240" w:lineRule="auto"/>
              <w:rPr>
                <w:rFonts w:ascii="Arial" w:hAnsi="Arial" w:cs="Arial"/>
                <w:sz w:val="20"/>
              </w:rPr>
            </w:pPr>
            <w:r>
              <w:rPr>
                <w:rFonts w:ascii="Arial" w:hAnsi="Arial" w:cs="Arial"/>
                <w:sz w:val="20"/>
                <w:lang w:val="es"/>
              </w:rPr>
              <w:t>Agua</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Las emisiones de mercurio a medios acuosos y a sistemas de aguas residuales; fuentes puntuales y fuentes difusas a partir de las cuales se propagará el mercurio hacia los ambientes marinos (océanos), y fuentes de agua dulce (ríos, lagos, etc.), por ejemplo, emisiones de:</w:t>
            </w:r>
          </w:p>
          <w:p w:rsidR="0065773C" w:rsidRPr="00F27173" w:rsidRDefault="002B2414">
            <w:pPr>
              <w:numPr>
                <w:ilvl w:val="0"/>
                <w:numId w:val="27"/>
              </w:numPr>
              <w:spacing w:line="240" w:lineRule="auto"/>
              <w:rPr>
                <w:rFonts w:ascii="Arial" w:hAnsi="Arial" w:cs="Arial"/>
                <w:sz w:val="20"/>
                <w:lang w:val="es-UY"/>
              </w:rPr>
            </w:pPr>
            <w:r>
              <w:rPr>
                <w:rFonts w:ascii="Arial" w:hAnsi="Arial" w:cs="Arial"/>
                <w:sz w:val="20"/>
                <w:lang w:val="es"/>
              </w:rPr>
              <w:t>Sistemas de limpieza de gas de combustión húmedo en centrales eléctricas alimentadas a carbón;</w:t>
            </w:r>
          </w:p>
          <w:p w:rsidR="0065773C" w:rsidRPr="00F27173" w:rsidRDefault="002B2414">
            <w:pPr>
              <w:pStyle w:val="ListParagraph"/>
              <w:numPr>
                <w:ilvl w:val="0"/>
                <w:numId w:val="27"/>
              </w:numPr>
              <w:spacing w:line="240" w:lineRule="auto"/>
              <w:rPr>
                <w:rFonts w:ascii="Arial" w:hAnsi="Arial" w:cs="Arial"/>
                <w:sz w:val="20"/>
                <w:lang w:val="es-UY"/>
              </w:rPr>
            </w:pPr>
            <w:r>
              <w:rPr>
                <w:rFonts w:ascii="Arial" w:hAnsi="Arial" w:cs="Arial"/>
                <w:sz w:val="20"/>
                <w:lang w:val="es"/>
              </w:rPr>
              <w:t>Industria, hogares, etc., a medio ambientes acuáticos;</w:t>
            </w:r>
          </w:p>
          <w:p w:rsidR="0065773C" w:rsidRPr="00F27173" w:rsidRDefault="002B2414">
            <w:pPr>
              <w:pStyle w:val="ListParagraph"/>
              <w:numPr>
                <w:ilvl w:val="0"/>
                <w:numId w:val="27"/>
              </w:numPr>
              <w:spacing w:line="240" w:lineRule="auto"/>
              <w:rPr>
                <w:rFonts w:ascii="Arial" w:hAnsi="Arial" w:cs="Arial"/>
                <w:sz w:val="20"/>
                <w:lang w:val="es-UY"/>
              </w:rPr>
            </w:pPr>
            <w:r>
              <w:rPr>
                <w:rFonts w:ascii="Arial" w:hAnsi="Arial" w:cs="Arial"/>
                <w:sz w:val="20"/>
                <w:lang w:val="es"/>
              </w:rPr>
              <w:t>Escorrentía de superficie y lixiviado procedente de suelos y vertederos contaminados con mercurio</w:t>
            </w:r>
          </w:p>
        </w:tc>
      </w:tr>
      <w:tr w:rsidR="0065773C" w:rsidRPr="00F27173">
        <w:trPr>
          <w:cantSplit/>
        </w:trPr>
        <w:tc>
          <w:tcPr>
            <w:tcW w:w="1560" w:type="dxa"/>
          </w:tcPr>
          <w:p w:rsidR="0065773C" w:rsidRDefault="002B2414">
            <w:pPr>
              <w:spacing w:line="240" w:lineRule="auto"/>
              <w:rPr>
                <w:rFonts w:ascii="Arial" w:hAnsi="Arial" w:cs="Arial"/>
                <w:sz w:val="20"/>
              </w:rPr>
            </w:pPr>
            <w:r>
              <w:rPr>
                <w:rFonts w:ascii="Arial" w:hAnsi="Arial" w:cs="Arial"/>
                <w:sz w:val="20"/>
                <w:lang w:val="es"/>
              </w:rPr>
              <w:t>Tierra</w:t>
            </w:r>
          </w:p>
        </w:tc>
        <w:tc>
          <w:tcPr>
            <w:tcW w:w="7969" w:type="dxa"/>
          </w:tcPr>
          <w:p w:rsidR="0065773C" w:rsidRDefault="002B2414">
            <w:pPr>
              <w:spacing w:line="240" w:lineRule="auto"/>
              <w:rPr>
                <w:rFonts w:ascii="Arial" w:hAnsi="Arial" w:cs="Arial"/>
                <w:sz w:val="20"/>
              </w:rPr>
            </w:pPr>
            <w:r>
              <w:rPr>
                <w:rFonts w:ascii="Arial" w:hAnsi="Arial" w:cs="Arial"/>
                <w:sz w:val="20"/>
                <w:lang w:val="es"/>
              </w:rPr>
              <w:t>Emisiones de mercurio al ambiente terrestre: Suelos generales y agua subterránea. Por ejemplo, emisiones procedentes de:</w:t>
            </w:r>
          </w:p>
          <w:p w:rsidR="0065773C" w:rsidRPr="00F27173" w:rsidRDefault="002B2414">
            <w:pPr>
              <w:numPr>
                <w:ilvl w:val="0"/>
                <w:numId w:val="28"/>
              </w:numPr>
              <w:spacing w:line="240" w:lineRule="auto"/>
              <w:rPr>
                <w:lang w:val="es-UY"/>
              </w:rPr>
            </w:pPr>
            <w:r>
              <w:rPr>
                <w:rFonts w:ascii="Arial" w:hAnsi="Arial" w:cs="Arial"/>
                <w:sz w:val="20"/>
                <w:lang w:val="es"/>
              </w:rPr>
              <w:t>Residuos sólidos provenientes de la limpieza de gas de combustión en centrales eléctricas alimentadas a carbón utilizado para la construcción de caminos de grava.</w:t>
            </w:r>
          </w:p>
          <w:p w:rsidR="0065773C" w:rsidRPr="00F27173" w:rsidRDefault="002B2414">
            <w:pPr>
              <w:pStyle w:val="ListParagraph"/>
              <w:numPr>
                <w:ilvl w:val="0"/>
                <w:numId w:val="28"/>
              </w:numPr>
              <w:spacing w:line="240" w:lineRule="auto"/>
              <w:rPr>
                <w:rFonts w:ascii="Arial" w:hAnsi="Arial" w:cs="Arial"/>
                <w:sz w:val="20"/>
                <w:lang w:val="es-UY"/>
              </w:rPr>
            </w:pPr>
            <w:r>
              <w:rPr>
                <w:rFonts w:ascii="Arial" w:hAnsi="Arial" w:cs="Arial"/>
                <w:sz w:val="20"/>
                <w:lang w:val="es"/>
              </w:rPr>
              <w:t>Productos de desecho no recogidos vertidos o enterrados de manera informal</w:t>
            </w:r>
          </w:p>
          <w:p w:rsidR="0065773C" w:rsidRPr="00F27173" w:rsidRDefault="002B2414">
            <w:pPr>
              <w:pStyle w:val="ListParagraph"/>
              <w:numPr>
                <w:ilvl w:val="0"/>
                <w:numId w:val="28"/>
              </w:numPr>
              <w:spacing w:line="240" w:lineRule="auto"/>
              <w:rPr>
                <w:rFonts w:ascii="Arial" w:hAnsi="Arial" w:cs="Arial"/>
                <w:sz w:val="20"/>
                <w:lang w:val="es-UY"/>
              </w:rPr>
            </w:pPr>
            <w:r>
              <w:rPr>
                <w:rFonts w:ascii="Arial" w:hAnsi="Arial" w:cs="Arial"/>
                <w:sz w:val="20"/>
                <w:lang w:val="es"/>
              </w:rPr>
              <w:t>Emisiones locales ilimitadas de la industria, como por ejemplo, almacenamiento/entierro de desechos peligrosos en el predio</w:t>
            </w:r>
          </w:p>
          <w:p w:rsidR="0065773C" w:rsidRPr="00F27173" w:rsidRDefault="002B2414">
            <w:pPr>
              <w:pStyle w:val="ListParagraph"/>
              <w:numPr>
                <w:ilvl w:val="0"/>
                <w:numId w:val="28"/>
              </w:numPr>
              <w:spacing w:line="240" w:lineRule="auto"/>
              <w:rPr>
                <w:rFonts w:ascii="Arial" w:hAnsi="Arial" w:cs="Arial"/>
                <w:sz w:val="20"/>
                <w:lang w:val="es-UY"/>
              </w:rPr>
            </w:pPr>
            <w:r>
              <w:rPr>
                <w:rFonts w:ascii="Arial" w:hAnsi="Arial" w:cs="Arial"/>
                <w:sz w:val="20"/>
                <w:lang w:val="es"/>
              </w:rPr>
              <w:t>Propagación de desechos cloacales con contenido de mercurio en tierras agrícolas (desechos cloacales usados como fertilizante)</w:t>
            </w:r>
          </w:p>
          <w:p w:rsidR="0065773C" w:rsidRPr="00F27173" w:rsidRDefault="002B2414">
            <w:pPr>
              <w:pStyle w:val="ListParagraph"/>
              <w:numPr>
                <w:ilvl w:val="0"/>
                <w:numId w:val="28"/>
              </w:numPr>
              <w:spacing w:line="240" w:lineRule="auto"/>
              <w:rPr>
                <w:rFonts w:ascii="Arial" w:hAnsi="Arial" w:cs="Arial"/>
                <w:sz w:val="20"/>
                <w:lang w:val="es-UY"/>
              </w:rPr>
            </w:pPr>
            <w:r>
              <w:rPr>
                <w:rFonts w:ascii="Arial" w:hAnsi="Arial" w:cs="Arial"/>
                <w:sz w:val="20"/>
                <w:lang w:val="es"/>
              </w:rPr>
              <w:t>Aplicación de pesticidas con compuestos de mercurio en la tierra, semillas o plantines</w:t>
            </w:r>
          </w:p>
        </w:tc>
      </w:tr>
      <w:tr w:rsidR="0065773C" w:rsidRPr="00F27173">
        <w:trPr>
          <w:cantSplit/>
        </w:trPr>
        <w:tc>
          <w:tcPr>
            <w:tcW w:w="1560" w:type="dxa"/>
          </w:tcPr>
          <w:p w:rsidR="0065773C" w:rsidRDefault="002B2414">
            <w:pPr>
              <w:spacing w:line="240" w:lineRule="auto"/>
              <w:rPr>
                <w:rFonts w:ascii="Arial" w:hAnsi="Arial" w:cs="Arial"/>
                <w:sz w:val="20"/>
              </w:rPr>
            </w:pPr>
            <w:r>
              <w:rPr>
                <w:rFonts w:ascii="Arial" w:hAnsi="Arial" w:cs="Arial"/>
                <w:sz w:val="20"/>
                <w:lang w:val="es"/>
              </w:rPr>
              <w:lastRenderedPageBreak/>
              <w:t>Subproductos e impurezas</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Derivados con contenido de mercurio, que vuelven al mercado y no pueden relacionarse directamente con emisiones medioambientales; por ejemplo:</w:t>
            </w:r>
          </w:p>
          <w:p w:rsidR="0065773C" w:rsidRPr="00F27173" w:rsidRDefault="002B2414">
            <w:pPr>
              <w:numPr>
                <w:ilvl w:val="0"/>
                <w:numId w:val="29"/>
              </w:numPr>
              <w:spacing w:line="240" w:lineRule="auto"/>
              <w:rPr>
                <w:rFonts w:ascii="Arial" w:hAnsi="Arial" w:cs="Arial"/>
                <w:sz w:val="20"/>
                <w:lang w:val="es-UY"/>
              </w:rPr>
            </w:pPr>
            <w:r>
              <w:rPr>
                <w:rFonts w:ascii="Arial" w:hAnsi="Arial" w:cs="Arial"/>
                <w:sz w:val="20"/>
                <w:lang w:val="es"/>
              </w:rPr>
              <w:t xml:space="preserve">Paneles de yeso producidos a partir de residuos sólidos obtenidos de la limpieza de gas de combustión en centrales eléctricas alimentadas a carbón. </w:t>
            </w:r>
          </w:p>
          <w:p w:rsidR="0065773C" w:rsidRPr="00F27173" w:rsidRDefault="002B2414">
            <w:pPr>
              <w:pStyle w:val="ListParagraph"/>
              <w:numPr>
                <w:ilvl w:val="0"/>
                <w:numId w:val="29"/>
              </w:numPr>
              <w:spacing w:line="240" w:lineRule="auto"/>
              <w:rPr>
                <w:rFonts w:ascii="Arial" w:hAnsi="Arial" w:cs="Arial"/>
                <w:sz w:val="20"/>
                <w:lang w:val="es-UY"/>
              </w:rPr>
            </w:pPr>
            <w:r>
              <w:rPr>
                <w:rFonts w:ascii="Arial" w:hAnsi="Arial" w:cs="Arial"/>
                <w:sz w:val="20"/>
                <w:lang w:val="es"/>
              </w:rPr>
              <w:t>Ácido sulfúrico producido a partir de la desulfurización del gas de combustión (limpieza de gas de combustión) en centrales de metales no ferrosos con trazas de mercurio</w:t>
            </w:r>
          </w:p>
          <w:p w:rsidR="0065773C" w:rsidRPr="00F27173" w:rsidRDefault="002B2414">
            <w:pPr>
              <w:pStyle w:val="ListParagraph"/>
              <w:numPr>
                <w:ilvl w:val="0"/>
                <w:numId w:val="29"/>
              </w:numPr>
              <w:spacing w:line="240" w:lineRule="auto"/>
              <w:rPr>
                <w:rFonts w:ascii="Arial" w:hAnsi="Arial" w:cs="Arial"/>
                <w:sz w:val="20"/>
                <w:lang w:val="es-UY"/>
              </w:rPr>
            </w:pPr>
            <w:r>
              <w:rPr>
                <w:rFonts w:ascii="Arial" w:hAnsi="Arial" w:cs="Arial"/>
                <w:sz w:val="20"/>
                <w:lang w:val="es"/>
              </w:rPr>
              <w:t>Cloro e hidróxido de sodio producido con tecnología de cloro-álcali basada en mercurio; con trazas de mercurio</w:t>
            </w:r>
          </w:p>
          <w:p w:rsidR="0065773C" w:rsidRPr="00F27173" w:rsidRDefault="002B2414">
            <w:pPr>
              <w:pStyle w:val="ListParagraph"/>
              <w:numPr>
                <w:ilvl w:val="0"/>
                <w:numId w:val="29"/>
              </w:numPr>
              <w:spacing w:line="240" w:lineRule="auto"/>
              <w:rPr>
                <w:rFonts w:ascii="Arial" w:hAnsi="Arial" w:cs="Arial"/>
                <w:sz w:val="20"/>
                <w:lang w:val="es-UY"/>
              </w:rPr>
            </w:pPr>
            <w:r>
              <w:rPr>
                <w:rFonts w:ascii="Arial" w:hAnsi="Arial" w:cs="Arial"/>
                <w:sz w:val="20"/>
                <w:lang w:val="es"/>
              </w:rPr>
              <w:t>Mercurio metálico o calomel como subproducto a partir de extracción de metales no ferrosos (altas concentraciones de mercurio)</w:t>
            </w:r>
          </w:p>
        </w:tc>
      </w:tr>
      <w:tr w:rsidR="0065773C" w:rsidRPr="00F27173">
        <w:trPr>
          <w:cantSplit/>
        </w:trPr>
        <w:tc>
          <w:tcPr>
            <w:tcW w:w="1560" w:type="dxa"/>
          </w:tcPr>
          <w:p w:rsidR="0065773C" w:rsidRDefault="002B2414">
            <w:pPr>
              <w:spacing w:line="240" w:lineRule="auto"/>
              <w:rPr>
                <w:rFonts w:ascii="Arial" w:hAnsi="Arial" w:cs="Arial"/>
                <w:sz w:val="20"/>
              </w:rPr>
            </w:pPr>
            <w:r>
              <w:rPr>
                <w:rFonts w:ascii="Arial" w:hAnsi="Arial" w:cs="Arial"/>
                <w:sz w:val="20"/>
                <w:lang w:val="es"/>
              </w:rPr>
              <w:t>Desechos generales</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Desechos generales: También denominados "desechos municipales" en algunos países. Desechos típicos de los hogares e instituciones, que reciben un tratamiento general, como incineración, enterramiento o vertido informal. Las fuentes de mercurio de los desechos son los productos de consumo con contenido de mercurio deliberado (pilas, termómetros, tubos fluorescentes, etc.), así como residuos de gran volumen como el papel impreso, el plástico, etc., con pequeñas concentraciones de trazas de mercurio.</w:t>
            </w:r>
          </w:p>
        </w:tc>
      </w:tr>
      <w:tr w:rsidR="0065773C" w:rsidRPr="00F27173">
        <w:trPr>
          <w:cantSplit/>
        </w:trPr>
        <w:tc>
          <w:tcPr>
            <w:tcW w:w="1560" w:type="dxa"/>
          </w:tcPr>
          <w:p w:rsidR="0065773C" w:rsidRPr="00F27173" w:rsidRDefault="002B2414">
            <w:pPr>
              <w:spacing w:line="240" w:lineRule="auto"/>
              <w:rPr>
                <w:rFonts w:ascii="Arial" w:hAnsi="Arial" w:cs="Arial"/>
                <w:sz w:val="20"/>
                <w:lang w:val="es-UY"/>
              </w:rPr>
            </w:pPr>
            <w:r>
              <w:rPr>
                <w:rFonts w:ascii="Arial" w:hAnsi="Arial" w:cs="Arial"/>
                <w:sz w:val="20"/>
                <w:lang w:val="es"/>
              </w:rPr>
              <w:t>Tratamiento/eliminación de desechos específico del sector</w:t>
            </w:r>
          </w:p>
        </w:tc>
        <w:tc>
          <w:tcPr>
            <w:tcW w:w="7969" w:type="dxa"/>
          </w:tcPr>
          <w:p w:rsidR="0065773C" w:rsidRPr="00F27173" w:rsidRDefault="002B2414">
            <w:pPr>
              <w:spacing w:line="240" w:lineRule="auto"/>
              <w:rPr>
                <w:rFonts w:ascii="Arial" w:hAnsi="Arial" w:cs="Arial"/>
                <w:sz w:val="20"/>
                <w:lang w:val="es-UY"/>
              </w:rPr>
            </w:pPr>
            <w:r>
              <w:rPr>
                <w:rFonts w:ascii="Arial" w:hAnsi="Arial" w:cs="Arial"/>
                <w:sz w:val="20"/>
                <w:lang w:val="es"/>
              </w:rPr>
              <w:t>Residuos de la industria y los consumidores que son recogidos y tratados en sistemas separados y</w:t>
            </w:r>
            <w:r w:rsidR="00CD403B">
              <w:rPr>
                <w:rFonts w:ascii="Arial" w:hAnsi="Arial" w:cs="Arial"/>
                <w:sz w:val="20"/>
                <w:lang w:val="es"/>
              </w:rPr>
              <w:t>,</w:t>
            </w:r>
            <w:r>
              <w:rPr>
                <w:rFonts w:ascii="Arial" w:hAnsi="Arial" w:cs="Arial"/>
                <w:sz w:val="20"/>
                <w:lang w:val="es"/>
              </w:rPr>
              <w:t xml:space="preserve"> en algunos casos, reciclados, por ejemplo:</w:t>
            </w:r>
          </w:p>
          <w:p w:rsidR="0065773C" w:rsidRPr="00F27173" w:rsidRDefault="002B2414">
            <w:pPr>
              <w:numPr>
                <w:ilvl w:val="0"/>
                <w:numId w:val="30"/>
              </w:numPr>
              <w:spacing w:line="240" w:lineRule="auto"/>
              <w:rPr>
                <w:rFonts w:ascii="Arial" w:hAnsi="Arial" w:cs="Arial"/>
                <w:sz w:val="20"/>
                <w:lang w:val="es-UY"/>
              </w:rPr>
            </w:pPr>
            <w:r>
              <w:rPr>
                <w:rFonts w:ascii="Arial" w:hAnsi="Arial" w:cs="Arial"/>
                <w:sz w:val="20"/>
                <w:lang w:val="es"/>
              </w:rPr>
              <w:t xml:space="preserve">Depósito confinado de residuos sólidos obtenidos de la limpieza de gas de combustión en centrales eléctricas alimentadas a carbón en sitios para tal fin. </w:t>
            </w:r>
          </w:p>
          <w:p w:rsidR="0065773C" w:rsidRPr="00F27173" w:rsidRDefault="002B2414">
            <w:pPr>
              <w:pStyle w:val="ListParagraph"/>
              <w:numPr>
                <w:ilvl w:val="0"/>
                <w:numId w:val="30"/>
              </w:numPr>
              <w:spacing w:line="240" w:lineRule="auto"/>
              <w:rPr>
                <w:rFonts w:ascii="Arial" w:hAnsi="Arial" w:cs="Arial"/>
                <w:sz w:val="20"/>
                <w:lang w:val="es-UY"/>
              </w:rPr>
            </w:pPr>
            <w:r>
              <w:rPr>
                <w:rFonts w:ascii="Arial" w:hAnsi="Arial" w:cs="Arial"/>
                <w:sz w:val="20"/>
                <w:lang w:val="es"/>
              </w:rPr>
              <w:t>Desechos industriales peligrosos con alto contenido de mercurio que se depositan en sitios seguros dedicados a tal fin</w:t>
            </w:r>
            <w:r w:rsidR="00CD403B">
              <w:rPr>
                <w:rFonts w:ascii="Arial" w:hAnsi="Arial" w:cs="Arial"/>
                <w:sz w:val="20"/>
                <w:lang w:val="es"/>
              </w:rPr>
              <w:t>.</w:t>
            </w:r>
          </w:p>
          <w:p w:rsidR="0065773C" w:rsidRPr="00F27173" w:rsidRDefault="002B2414">
            <w:pPr>
              <w:pStyle w:val="ListParagraph"/>
              <w:numPr>
                <w:ilvl w:val="0"/>
                <w:numId w:val="30"/>
              </w:numPr>
              <w:spacing w:line="240" w:lineRule="auto"/>
              <w:rPr>
                <w:rFonts w:ascii="Arial" w:hAnsi="Arial" w:cs="Arial"/>
                <w:sz w:val="20"/>
                <w:lang w:val="es-UY"/>
              </w:rPr>
            </w:pPr>
            <w:r>
              <w:rPr>
                <w:rFonts w:ascii="Arial" w:hAnsi="Arial" w:cs="Arial"/>
                <w:sz w:val="20"/>
                <w:lang w:val="es"/>
              </w:rPr>
              <w:t xml:space="preserve">Desechos de consumo peligrosos con contenido de mercurio, principalmente baterías, termómetros, interruptores de mercurio, </w:t>
            </w:r>
            <w:r w:rsidR="00CD403B">
              <w:rPr>
                <w:rFonts w:ascii="Arial" w:hAnsi="Arial" w:cs="Arial"/>
                <w:sz w:val="20"/>
                <w:lang w:val="es"/>
              </w:rPr>
              <w:t>piezas dentales</w:t>
            </w:r>
            <w:r>
              <w:rPr>
                <w:rFonts w:ascii="Arial" w:hAnsi="Arial" w:cs="Arial"/>
                <w:sz w:val="20"/>
                <w:lang w:val="es"/>
              </w:rPr>
              <w:t xml:space="preserve"> perdid</w:t>
            </w:r>
            <w:r w:rsidR="00CD403B">
              <w:rPr>
                <w:rFonts w:ascii="Arial" w:hAnsi="Arial" w:cs="Arial"/>
                <w:sz w:val="20"/>
                <w:lang w:val="es"/>
              </w:rPr>
              <w:t>a</w:t>
            </w:r>
            <w:r>
              <w:rPr>
                <w:rFonts w:ascii="Arial" w:hAnsi="Arial" w:cs="Arial"/>
                <w:sz w:val="20"/>
                <w:lang w:val="es"/>
              </w:rPr>
              <w:t xml:space="preserve">s con </w:t>
            </w:r>
            <w:r w:rsidR="00CD403B">
              <w:rPr>
                <w:rFonts w:ascii="Arial" w:hAnsi="Arial" w:cs="Arial"/>
                <w:sz w:val="20"/>
                <w:lang w:val="es"/>
              </w:rPr>
              <w:t>empastes</w:t>
            </w:r>
            <w:r>
              <w:rPr>
                <w:rFonts w:ascii="Arial" w:hAnsi="Arial" w:cs="Arial"/>
                <w:sz w:val="20"/>
                <w:lang w:val="es"/>
              </w:rPr>
              <w:t xml:space="preserve"> de amalgama, etc. recogid</w:t>
            </w:r>
            <w:r w:rsidR="00CD403B">
              <w:rPr>
                <w:rFonts w:ascii="Arial" w:hAnsi="Arial" w:cs="Arial"/>
                <w:sz w:val="20"/>
                <w:lang w:val="es"/>
              </w:rPr>
              <w:t>a</w:t>
            </w:r>
            <w:r>
              <w:rPr>
                <w:rFonts w:ascii="Arial" w:hAnsi="Arial" w:cs="Arial"/>
                <w:sz w:val="20"/>
                <w:lang w:val="es"/>
              </w:rPr>
              <w:t>s separadamente y tratados de manera segura.</w:t>
            </w:r>
          </w:p>
          <w:p w:rsidR="0065773C" w:rsidRPr="00F27173" w:rsidRDefault="002B2414">
            <w:pPr>
              <w:pStyle w:val="ListParagraph"/>
              <w:numPr>
                <w:ilvl w:val="0"/>
                <w:numId w:val="26"/>
              </w:numPr>
              <w:spacing w:line="240" w:lineRule="auto"/>
              <w:rPr>
                <w:rFonts w:ascii="Arial" w:hAnsi="Arial" w:cs="Arial"/>
                <w:sz w:val="20"/>
                <w:lang w:val="es-UY"/>
              </w:rPr>
            </w:pPr>
            <w:r>
              <w:rPr>
                <w:rFonts w:ascii="Arial" w:hAnsi="Arial" w:cs="Arial"/>
                <w:sz w:val="20"/>
                <w:lang w:val="es"/>
              </w:rPr>
              <w:t>Depósito confinado de relave y rocas/desechos de gran volumen obtenidos de la extracción de metales no ferrosos</w:t>
            </w:r>
          </w:p>
        </w:tc>
      </w:tr>
    </w:tbl>
    <w:p w:rsidR="0065773C" w:rsidRPr="00F27173" w:rsidRDefault="002B2414">
      <w:pPr>
        <w:pStyle w:val="Heading1"/>
        <w:rPr>
          <w:lang w:val="es-UY"/>
        </w:rPr>
      </w:pPr>
      <w:bookmarkStart w:id="7" w:name="_Toc436014296"/>
      <w:r>
        <w:rPr>
          <w:bCs/>
          <w:lang w:val="es"/>
        </w:rPr>
        <w:lastRenderedPageBreak/>
        <w:t>Datos e inventario sobre consumo de energía y producción de combustible</w:t>
      </w:r>
      <w:bookmarkEnd w:id="7"/>
    </w:p>
    <w:p w:rsidR="0065773C" w:rsidRDefault="002B2414">
      <w:pPr>
        <w:pStyle w:val="Heading2"/>
        <w:tabs>
          <w:tab w:val="clear" w:pos="1492"/>
        </w:tabs>
        <w:ind w:left="851" w:hanging="851"/>
      </w:pPr>
      <w:bookmarkStart w:id="8" w:name="_Toc436014297"/>
      <w:r>
        <w:rPr>
          <w:bCs/>
          <w:lang w:val="es"/>
        </w:rPr>
        <w:t>[Nombre de la subcategoría 1]</w:t>
      </w:r>
      <w:bookmarkEnd w:id="8"/>
    </w:p>
    <w:p w:rsidR="0065773C" w:rsidRPr="00F27173" w:rsidRDefault="002B241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2B2414">
      <w:pPr>
        <w:pStyle w:val="Heading2"/>
        <w:tabs>
          <w:tab w:val="clear" w:pos="1492"/>
        </w:tabs>
        <w:ind w:left="851" w:hanging="851"/>
        <w:rPr>
          <w:lang w:val="es-UY"/>
        </w:rPr>
      </w:pPr>
      <w:bookmarkStart w:id="9" w:name="_Toc436014298"/>
      <w:r>
        <w:rPr>
          <w:bCs/>
          <w:lang w:val="es"/>
        </w:rPr>
        <w:t>[Nombre de la subcategoría 2, etc.]</w:t>
      </w:r>
      <w:bookmarkEnd w:id="9"/>
    </w:p>
    <w:p w:rsidR="0065773C" w:rsidRDefault="002B2414">
      <w:pPr>
        <w:pStyle w:val="BodyText"/>
        <w:rPr>
          <w:i/>
        </w:rPr>
      </w:pPr>
      <w:r>
        <w:rPr>
          <w:i/>
          <w:iCs/>
          <w:lang w:val="es"/>
        </w:rPr>
        <w:t>[</w:t>
      </w:r>
      <w:r w:rsidR="001F4297">
        <w:rPr>
          <w:i/>
          <w:iCs/>
          <w:lang w:val="es"/>
        </w:rPr>
        <w:t>Ídem anterior</w:t>
      </w:r>
      <w:r>
        <w:rPr>
          <w:i/>
          <w:iCs/>
          <w:lang w:val="es"/>
        </w:rPr>
        <w:t>]</w:t>
      </w:r>
    </w:p>
    <w:p w:rsidR="0065773C" w:rsidRDefault="0065773C">
      <w:pPr>
        <w:pStyle w:val="BodyText"/>
      </w:pPr>
    </w:p>
    <w:p w:rsidR="0065773C" w:rsidRPr="00F27173" w:rsidRDefault="002B2414">
      <w:pPr>
        <w:pStyle w:val="Heading1"/>
        <w:rPr>
          <w:lang w:val="es-UY"/>
        </w:rPr>
      </w:pPr>
      <w:bookmarkStart w:id="10" w:name="_Toc436014299"/>
      <w:r>
        <w:rPr>
          <w:bCs/>
          <w:lang w:val="es"/>
        </w:rPr>
        <w:lastRenderedPageBreak/>
        <w:t>Datos e inventario sobre producción local de metales y materias primas</w:t>
      </w:r>
      <w:bookmarkEnd w:id="10"/>
    </w:p>
    <w:p w:rsidR="0065773C" w:rsidRDefault="002B2414">
      <w:pPr>
        <w:pStyle w:val="Heading2"/>
        <w:tabs>
          <w:tab w:val="clear" w:pos="1492"/>
        </w:tabs>
        <w:ind w:left="851" w:hanging="851"/>
      </w:pPr>
      <w:bookmarkStart w:id="11" w:name="_Toc436014300"/>
      <w:r>
        <w:rPr>
          <w:bCs/>
          <w:lang w:val="es"/>
        </w:rPr>
        <w:t>[Nombre de la subcategoría 1]</w:t>
      </w:r>
      <w:bookmarkEnd w:id="11"/>
    </w:p>
    <w:p w:rsidR="0065773C" w:rsidRPr="00F27173" w:rsidRDefault="002B241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2B2414">
      <w:pPr>
        <w:pStyle w:val="Heading2"/>
        <w:tabs>
          <w:tab w:val="clear" w:pos="1492"/>
        </w:tabs>
        <w:ind w:left="851" w:hanging="851"/>
        <w:rPr>
          <w:lang w:val="es-UY"/>
        </w:rPr>
      </w:pPr>
      <w:bookmarkStart w:id="12" w:name="_Toc436014301"/>
      <w:r>
        <w:rPr>
          <w:bCs/>
          <w:lang w:val="es"/>
        </w:rPr>
        <w:t>[Nombre de la subcategoría 2, etc.]</w:t>
      </w:r>
      <w:bookmarkEnd w:id="12"/>
    </w:p>
    <w:p w:rsidR="0065773C" w:rsidRDefault="002B2414">
      <w:pPr>
        <w:pStyle w:val="BodyText"/>
        <w:rPr>
          <w:i/>
        </w:rPr>
      </w:pPr>
      <w:r>
        <w:rPr>
          <w:i/>
          <w:iCs/>
          <w:lang w:val="es"/>
        </w:rPr>
        <w:t>[</w:t>
      </w:r>
      <w:r w:rsidR="001F4297">
        <w:rPr>
          <w:i/>
          <w:iCs/>
          <w:lang w:val="es"/>
        </w:rPr>
        <w:t>Ídem anterior</w:t>
      </w:r>
      <w:r>
        <w:rPr>
          <w:i/>
          <w:iCs/>
          <w:lang w:val="es"/>
        </w:rPr>
        <w:t>]</w:t>
      </w:r>
    </w:p>
    <w:p w:rsidR="0065773C" w:rsidRPr="00F27173" w:rsidRDefault="002B2414">
      <w:pPr>
        <w:pStyle w:val="Heading1"/>
        <w:rPr>
          <w:lang w:val="es-UY"/>
        </w:rPr>
      </w:pPr>
      <w:bookmarkStart w:id="13" w:name="_Toc436014302"/>
      <w:r>
        <w:rPr>
          <w:bCs/>
          <w:lang w:val="es"/>
        </w:rPr>
        <w:lastRenderedPageBreak/>
        <w:t>Datos e inventario sobre producción y procesamiento locales con utilización deliberada de mercurio</w:t>
      </w:r>
      <w:bookmarkEnd w:id="13"/>
    </w:p>
    <w:p w:rsidR="0065773C" w:rsidRDefault="002B2414">
      <w:pPr>
        <w:pStyle w:val="Heading2"/>
        <w:tabs>
          <w:tab w:val="clear" w:pos="1492"/>
        </w:tabs>
        <w:ind w:left="851" w:hanging="851"/>
      </w:pPr>
      <w:bookmarkStart w:id="14" w:name="_Toc436014303"/>
      <w:r>
        <w:rPr>
          <w:bCs/>
          <w:lang w:val="es"/>
        </w:rPr>
        <w:t>[Nombre de la subcategoría 1]</w:t>
      </w:r>
      <w:bookmarkEnd w:id="14"/>
    </w:p>
    <w:p w:rsidR="0065773C" w:rsidRPr="00F27173" w:rsidRDefault="002B241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2B2414">
      <w:pPr>
        <w:pStyle w:val="Heading2"/>
        <w:tabs>
          <w:tab w:val="clear" w:pos="1492"/>
        </w:tabs>
        <w:ind w:left="851" w:hanging="851"/>
        <w:rPr>
          <w:lang w:val="es-UY"/>
        </w:rPr>
      </w:pPr>
      <w:bookmarkStart w:id="15" w:name="_Toc436014304"/>
      <w:r>
        <w:rPr>
          <w:bCs/>
          <w:lang w:val="es"/>
        </w:rPr>
        <w:t>[Nombre de la subcategoría 2, etc.]</w:t>
      </w:r>
      <w:bookmarkEnd w:id="15"/>
    </w:p>
    <w:p w:rsidR="0065773C" w:rsidRDefault="002B2414">
      <w:pPr>
        <w:pStyle w:val="BodyText"/>
        <w:rPr>
          <w:i/>
        </w:rPr>
      </w:pPr>
      <w:r>
        <w:rPr>
          <w:i/>
          <w:iCs/>
          <w:lang w:val="es"/>
        </w:rPr>
        <w:t>[</w:t>
      </w:r>
      <w:r w:rsidR="001F4297">
        <w:rPr>
          <w:i/>
          <w:iCs/>
          <w:lang w:val="es"/>
        </w:rPr>
        <w:t>Ídem anterior</w:t>
      </w:r>
      <w:r>
        <w:rPr>
          <w:i/>
          <w:iCs/>
          <w:lang w:val="es"/>
        </w:rPr>
        <w:t>]</w:t>
      </w:r>
    </w:p>
    <w:p w:rsidR="0065773C" w:rsidRPr="00F27173" w:rsidRDefault="002B2414">
      <w:pPr>
        <w:pStyle w:val="Heading1"/>
        <w:rPr>
          <w:lang w:val="es-UY"/>
        </w:rPr>
      </w:pPr>
      <w:bookmarkStart w:id="16" w:name="_Toc436014305"/>
      <w:r>
        <w:rPr>
          <w:bCs/>
          <w:lang w:val="es"/>
        </w:rPr>
        <w:lastRenderedPageBreak/>
        <w:t>Datos e inventario sobre</w:t>
      </w:r>
      <w:r w:rsidR="00CD403B">
        <w:rPr>
          <w:bCs/>
          <w:lang w:val="es"/>
        </w:rPr>
        <w:t xml:space="preserve"> el</w:t>
      </w:r>
      <w:r>
        <w:rPr>
          <w:bCs/>
          <w:lang w:val="es"/>
        </w:rPr>
        <w:t xml:space="preserve"> manejo de desechos y reciclado</w:t>
      </w:r>
      <w:bookmarkEnd w:id="16"/>
    </w:p>
    <w:p w:rsidR="0065773C" w:rsidRDefault="002B2414">
      <w:pPr>
        <w:pStyle w:val="Heading2"/>
        <w:tabs>
          <w:tab w:val="clear" w:pos="1492"/>
        </w:tabs>
        <w:ind w:left="851" w:hanging="851"/>
      </w:pPr>
      <w:bookmarkStart w:id="17" w:name="_Toc436014306"/>
      <w:r>
        <w:rPr>
          <w:bCs/>
          <w:lang w:val="es"/>
        </w:rPr>
        <w:t>[Nombre de la subcategoría 1]</w:t>
      </w:r>
      <w:bookmarkEnd w:id="17"/>
    </w:p>
    <w:p w:rsidR="0065773C" w:rsidRPr="00F27173" w:rsidRDefault="002B241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CD403B">
      <w:pPr>
        <w:pStyle w:val="Heading2"/>
        <w:tabs>
          <w:tab w:val="clear" w:pos="1492"/>
        </w:tabs>
        <w:ind w:left="851" w:hanging="851"/>
        <w:rPr>
          <w:lang w:val="es-UY"/>
        </w:rPr>
      </w:pPr>
      <w:bookmarkStart w:id="18" w:name="_Toc436014307"/>
      <w:r>
        <w:rPr>
          <w:bCs/>
          <w:lang w:val="es"/>
        </w:rPr>
        <w:t>[Nombre de la s</w:t>
      </w:r>
      <w:r w:rsidR="002B2414">
        <w:rPr>
          <w:bCs/>
          <w:lang w:val="es"/>
        </w:rPr>
        <w:t xml:space="preserve">ubcategoría 2, </w:t>
      </w:r>
      <w:r w:rsidR="002B2414">
        <w:rPr>
          <w:bCs/>
          <w:u w:val="single"/>
          <w:lang w:val="es"/>
        </w:rPr>
        <w:t>etc</w:t>
      </w:r>
      <w:r w:rsidR="002B2414">
        <w:rPr>
          <w:bCs/>
          <w:lang w:val="es"/>
        </w:rPr>
        <w:t>. (insertar más secciones)]</w:t>
      </w:r>
      <w:bookmarkEnd w:id="18"/>
    </w:p>
    <w:p w:rsidR="00407C3B" w:rsidRPr="00F27173" w:rsidRDefault="002B2414">
      <w:pPr>
        <w:pStyle w:val="BodyText"/>
        <w:rPr>
          <w:lang w:val="es-UY"/>
        </w:rPr>
      </w:pPr>
      <w:r>
        <w:rPr>
          <w:i/>
          <w:iCs/>
          <w:lang w:val="es"/>
        </w:rPr>
        <w:t>[</w:t>
      </w:r>
      <w:r w:rsidR="001F4297">
        <w:rPr>
          <w:i/>
          <w:iCs/>
          <w:lang w:val="es"/>
        </w:rPr>
        <w:t>Ídem anterior</w:t>
      </w:r>
      <w:r>
        <w:rPr>
          <w:i/>
          <w:iCs/>
          <w:lang w:val="es"/>
        </w:rPr>
        <w:t>]</w:t>
      </w:r>
    </w:p>
    <w:p w:rsidR="00EE4AA9" w:rsidRPr="00F27173" w:rsidRDefault="00EE4AA9">
      <w:pPr>
        <w:pStyle w:val="BodyText"/>
        <w:rPr>
          <w:lang w:val="es-UY"/>
        </w:rPr>
      </w:pPr>
    </w:p>
    <w:p w:rsidR="00EE4AA9" w:rsidRPr="00CD403B" w:rsidRDefault="00EE4AA9">
      <w:pPr>
        <w:pStyle w:val="BodyText"/>
        <w:rPr>
          <w:i/>
          <w:lang w:val="es-UY"/>
        </w:rPr>
      </w:pPr>
      <w:r>
        <w:rPr>
          <w:lang w:val="es"/>
        </w:rPr>
        <w:t>[</w:t>
      </w:r>
      <w:r w:rsidRPr="00CD403B">
        <w:rPr>
          <w:i/>
          <w:lang w:val="es"/>
        </w:rPr>
        <w:t>Si se utilizan factores de entrada predeterminados para residuos y/o aguas residuales, realizar la prueba de aportes calculados de mercurio a los desechos generales y aguas residuales descrita en el Apéndice 4 de la pauta de nivel de inventario 1) y mostrar el texto que figura a continuación con los ajustes pertinentes al texto entre paréntesis</w:t>
      </w:r>
      <w:r>
        <w:rPr>
          <w:lang w:val="es"/>
        </w:rPr>
        <w:t>:</w:t>
      </w:r>
      <w:r w:rsidR="00CD403B" w:rsidRPr="00CD403B">
        <w:rPr>
          <w:lang w:val="es"/>
        </w:rPr>
        <w:t>]</w:t>
      </w:r>
    </w:p>
    <w:p w:rsidR="00407C3B" w:rsidRPr="00F27173" w:rsidRDefault="00407C3B" w:rsidP="00407C3B">
      <w:pPr>
        <w:pStyle w:val="Heading2"/>
        <w:tabs>
          <w:tab w:val="clear" w:pos="1492"/>
        </w:tabs>
        <w:ind w:left="851" w:hanging="851"/>
        <w:rPr>
          <w:lang w:val="es-UY"/>
        </w:rPr>
      </w:pPr>
      <w:bookmarkStart w:id="19" w:name="_Toc436014308"/>
      <w:r>
        <w:rPr>
          <w:bCs/>
          <w:lang w:val="es"/>
        </w:rPr>
        <w:t>Prueba de factores predeterminados de desechos y aguas residuales</w:t>
      </w:r>
      <w:bookmarkEnd w:id="19"/>
    </w:p>
    <w:p w:rsidR="00964B11" w:rsidRPr="00F27173" w:rsidRDefault="00964B11">
      <w:pPr>
        <w:pStyle w:val="BodyText"/>
        <w:rPr>
          <w:lang w:val="es-UY"/>
        </w:rPr>
      </w:pPr>
      <w:r>
        <w:rPr>
          <w:lang w:val="es"/>
        </w:rPr>
        <w:t>En este inventario se utilizaron factores de entrada predeterminados para la estimación de las emisiones de mercurio provenientes del tratamiento de desechos generales y del tratamiento de aguas residuales [</w:t>
      </w:r>
      <w:r>
        <w:rPr>
          <w:i/>
          <w:iCs/>
          <w:lang w:val="es"/>
        </w:rPr>
        <w:t>conservar lo pertinente de la dos categorías</w:t>
      </w:r>
      <w:r>
        <w:rPr>
          <w:lang w:val="es"/>
        </w:rPr>
        <w:t xml:space="preserve">]. Los factores predeterminados están basados en </w:t>
      </w:r>
      <w:r>
        <w:rPr>
          <w:lang w:val="es"/>
        </w:rPr>
        <w:lastRenderedPageBreak/>
        <w:t>los datos encontrados en la bibliografía sobre el contenido de mercurio en los desechos y aguas residuales, y solo se encontró información sobre los países desarrollados. Se realizó la siguiente prueba de los resultados para calificar los resultados para estas fuentes.</w:t>
      </w:r>
    </w:p>
    <w:p w:rsidR="008A56A2" w:rsidRPr="00F27173" w:rsidRDefault="008A56A2">
      <w:pPr>
        <w:pStyle w:val="BodyText"/>
        <w:rPr>
          <w:lang w:val="es-UY"/>
        </w:rPr>
      </w:pPr>
      <w:r>
        <w:rPr>
          <w:lang w:val="es"/>
        </w:rPr>
        <w:t>La prueba realizada para los desechos generales compara las entradas calculadas para las cuatro subcategorías de desechos generales con la suma de las salidas de desechos generales de los usos deliberados de mercurio en productos más procesos, de la siguiente manera, utilizando los datos de la hoja de cálculo del nivel de inventario 1:</w:t>
      </w:r>
    </w:p>
    <w:p w:rsidR="00401F4B" w:rsidRPr="00F27173" w:rsidRDefault="00401F4B" w:rsidP="00401F4B">
      <w:pPr>
        <w:pStyle w:val="BodyText"/>
        <w:rPr>
          <w:lang w:val="es-UY"/>
        </w:rPr>
      </w:pPr>
      <w:r>
        <w:rPr>
          <w:lang w:val="es"/>
        </w:rPr>
        <w:t>En la hoja de cálculo IL1, se realizó la prueba de la siguiente manera: Pestaña "Nivel 1-Resumen total":</w:t>
      </w:r>
    </w:p>
    <w:p w:rsidR="00401F4B" w:rsidRPr="00F27173" w:rsidRDefault="00401F4B" w:rsidP="00401F4B">
      <w:pPr>
        <w:pStyle w:val="BodyText"/>
        <w:rPr>
          <w:i/>
          <w:lang w:val="es-UY"/>
        </w:rPr>
      </w:pPr>
      <w:r>
        <w:rPr>
          <w:lang w:val="es"/>
        </w:rPr>
        <w:t xml:space="preserve">       (E60+E64+E66+E67)  &gt;  2*(J25+J26+∑(J31 a J55)). </w:t>
      </w:r>
    </w:p>
    <w:p w:rsidR="00DC1582" w:rsidRPr="00F27173" w:rsidRDefault="00DC1582" w:rsidP="00401F4B">
      <w:pPr>
        <w:pStyle w:val="BodyText"/>
        <w:rPr>
          <w:i/>
          <w:lang w:val="es-UY"/>
        </w:rPr>
      </w:pPr>
      <w:r>
        <w:rPr>
          <w:i/>
          <w:iCs/>
          <w:lang w:val="es"/>
        </w:rPr>
        <w:t>[Mostrar aquí nuevamente el mismo cálculo con los resultados reales del inventario para cada celda de la hoja de cálculo mencionada anteriormente.]</w:t>
      </w:r>
    </w:p>
    <w:p w:rsidR="002215E9" w:rsidRPr="00F27173" w:rsidRDefault="002215E9" w:rsidP="002215E9">
      <w:pPr>
        <w:pStyle w:val="BodyText"/>
        <w:rPr>
          <w:lang w:val="es-UY"/>
        </w:rPr>
      </w:pPr>
      <w:r>
        <w:rPr>
          <w:lang w:val="es"/>
        </w:rPr>
        <w:t>La prueba realizada para las aguas residuales compara las entradas calculadas para el tratamiento de aguas residuales con la suma de las salidas al agua proveniente de los usos deliberados de mercurio en productos más procesos, de la siguiente manera, utilizando los datos de la hoja de cálculo del nivel de inventario 1:</w:t>
      </w:r>
    </w:p>
    <w:p w:rsidR="00F55C0E" w:rsidRPr="00F27173" w:rsidRDefault="00F55C0E" w:rsidP="00F55C0E">
      <w:pPr>
        <w:pStyle w:val="BodyText"/>
        <w:rPr>
          <w:lang w:val="es-UY"/>
        </w:rPr>
      </w:pPr>
      <w:r>
        <w:rPr>
          <w:lang w:val="es"/>
        </w:rPr>
        <w:t>En la hoja de cálculo IL1, se realizó la prueba de la siguiente manera: Pestaña "Nivel 1-Resumen ejec</w:t>
      </w:r>
      <w:r w:rsidR="00CD403B">
        <w:rPr>
          <w:lang w:val="es"/>
        </w:rPr>
        <w:t>.</w:t>
      </w:r>
      <w:r>
        <w:rPr>
          <w:lang w:val="es"/>
        </w:rPr>
        <w:t>":</w:t>
      </w:r>
    </w:p>
    <w:p w:rsidR="002215E9" w:rsidRPr="00F27173" w:rsidRDefault="00F55C0E" w:rsidP="00F55C0E">
      <w:pPr>
        <w:pStyle w:val="BodyText"/>
        <w:rPr>
          <w:lang w:val="es-UY"/>
        </w:rPr>
      </w:pPr>
      <w:r>
        <w:rPr>
          <w:lang w:val="es"/>
        </w:rPr>
        <w:t xml:space="preserve">               B19  &gt;  2*(D8+D10+D11+D12+D13+D14+D15).</w:t>
      </w:r>
    </w:p>
    <w:p w:rsidR="002215E9" w:rsidRPr="00F27173" w:rsidRDefault="002215E9" w:rsidP="002215E9">
      <w:pPr>
        <w:pStyle w:val="BodyText"/>
        <w:rPr>
          <w:lang w:val="es-UY"/>
        </w:rPr>
      </w:pPr>
      <w:r>
        <w:rPr>
          <w:i/>
          <w:iCs/>
          <w:lang w:val="es"/>
        </w:rPr>
        <w:t>[Mostrar aquí nuevamente el mismo cálculo con los resultados reales del inventario para cada celda de la hoja de cálculo mencionada anteriormente.]</w:t>
      </w:r>
    </w:p>
    <w:p w:rsidR="00D50BAD" w:rsidRPr="00F27173" w:rsidRDefault="00D50BAD" w:rsidP="00D50BAD">
      <w:pPr>
        <w:pStyle w:val="BodyText"/>
        <w:rPr>
          <w:lang w:val="es-UY"/>
        </w:rPr>
      </w:pPr>
      <w:r>
        <w:rPr>
          <w:lang w:val="es"/>
        </w:rPr>
        <w:t>[Los cálculos realizados indican que los factores de entrada predeterminados para el tratamiento de desechos generales y aguas residuales [</w:t>
      </w:r>
      <w:r>
        <w:rPr>
          <w:i/>
          <w:iCs/>
          <w:lang w:val="es"/>
        </w:rPr>
        <w:t>conservar los pertinentes</w:t>
      </w:r>
      <w:r>
        <w:rPr>
          <w:lang w:val="es"/>
        </w:rPr>
        <w:t>] pueden sobrestimar las emisiones de mercurio de estas subcategorías. Esto puede ser una prioridad en el trabajo de seguimiento, en la medida de lo posible].</w:t>
      </w:r>
    </w:p>
    <w:p w:rsidR="00D50BAD" w:rsidRPr="00F27173" w:rsidRDefault="00D50BAD" w:rsidP="00D50BAD">
      <w:pPr>
        <w:pStyle w:val="BodyText"/>
        <w:rPr>
          <w:lang w:val="es-UY"/>
        </w:rPr>
      </w:pPr>
      <w:r>
        <w:rPr>
          <w:lang w:val="es"/>
        </w:rPr>
        <w:t>[</w:t>
      </w:r>
      <w:r>
        <w:rPr>
          <w:i/>
          <w:iCs/>
          <w:lang w:val="es"/>
        </w:rPr>
        <w:t>o una alternativa, dependiendo de los resultados de las pruebas</w:t>
      </w:r>
      <w:r>
        <w:rPr>
          <w:lang w:val="es"/>
        </w:rPr>
        <w:t xml:space="preserve">:] </w:t>
      </w:r>
    </w:p>
    <w:p w:rsidR="00D50BAD" w:rsidRPr="00F27173" w:rsidRDefault="00D50BAD" w:rsidP="00D50BAD">
      <w:pPr>
        <w:pStyle w:val="BodyText"/>
        <w:rPr>
          <w:lang w:val="es-UY"/>
        </w:rPr>
      </w:pPr>
      <w:r>
        <w:rPr>
          <w:lang w:val="es"/>
        </w:rPr>
        <w:t>[Los cálculos realizados indican que los factores de entrada predeterminados para el tratamiento de desechos generales y aguas residuales [</w:t>
      </w:r>
      <w:r>
        <w:rPr>
          <w:i/>
          <w:iCs/>
          <w:lang w:val="es"/>
        </w:rPr>
        <w:t>conservar los pertinentes</w:t>
      </w:r>
      <w:r>
        <w:rPr>
          <w:lang w:val="es"/>
        </w:rPr>
        <w:t>] no necesariamente sobrestiman las emisiones de mercurio de estas subcategorías].</w:t>
      </w:r>
    </w:p>
    <w:p w:rsidR="00D50BAD" w:rsidRPr="00AB5870" w:rsidRDefault="00D50BAD" w:rsidP="00D50BAD">
      <w:pPr>
        <w:pStyle w:val="BodyText"/>
      </w:pPr>
    </w:p>
    <w:p w:rsidR="0065773C" w:rsidRPr="00F27173" w:rsidRDefault="002B2414">
      <w:pPr>
        <w:pStyle w:val="Heading1"/>
        <w:rPr>
          <w:lang w:val="es-UY"/>
        </w:rPr>
      </w:pPr>
      <w:bookmarkStart w:id="20" w:name="_Toc417394371"/>
      <w:bookmarkStart w:id="21" w:name="_Toc436014309"/>
      <w:bookmarkEnd w:id="20"/>
      <w:r>
        <w:rPr>
          <w:bCs/>
          <w:lang w:val="es"/>
        </w:rPr>
        <w:lastRenderedPageBreak/>
        <w:t>Datos e inventario sobre consumo general de mercurio en productos, como mercurio metálico y sustancias que contienen mercurio</w:t>
      </w:r>
      <w:bookmarkEnd w:id="21"/>
    </w:p>
    <w:p w:rsidR="0065773C" w:rsidRDefault="002B2414">
      <w:pPr>
        <w:pStyle w:val="Heading2"/>
        <w:tabs>
          <w:tab w:val="clear" w:pos="1492"/>
        </w:tabs>
        <w:ind w:left="851" w:hanging="851"/>
      </w:pPr>
      <w:bookmarkStart w:id="22" w:name="_Toc436014310"/>
      <w:r>
        <w:rPr>
          <w:bCs/>
          <w:lang w:val="es"/>
        </w:rPr>
        <w:t>Antecedentes generales</w:t>
      </w:r>
      <w:bookmarkEnd w:id="22"/>
    </w:p>
    <w:p w:rsidR="0065773C" w:rsidRPr="00F27173" w:rsidRDefault="002B2414">
      <w:pPr>
        <w:pStyle w:val="BodyText"/>
        <w:rPr>
          <w:lang w:val="es-UY"/>
        </w:rPr>
      </w:pPr>
      <w:r>
        <w:rPr>
          <w:lang w:val="es"/>
        </w:rPr>
        <w:t xml:space="preserve">Los cálculos de antecedentes para los grupos de productos enumerados a continuación están basados en los datos de población, índice de electrificación y densidad de personal </w:t>
      </w:r>
      <w:r w:rsidR="00CD403B">
        <w:rPr>
          <w:lang w:val="es"/>
        </w:rPr>
        <w:t>odontológico que se muestran en la T</w:t>
      </w:r>
      <w:r>
        <w:rPr>
          <w:lang w:val="es"/>
        </w:rPr>
        <w:t>abla 9.1.</w:t>
      </w: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7"/>
        <w:gridCol w:w="4369"/>
      </w:tblGrid>
      <w:tr w:rsidR="0065773C" w:rsidRPr="00F27173">
        <w:tc>
          <w:tcPr>
            <w:tcW w:w="3688" w:type="dxa"/>
          </w:tcPr>
          <w:p w:rsidR="0065773C" w:rsidRDefault="002B2414">
            <w:pPr>
              <w:pStyle w:val="BodyText"/>
              <w:rPr>
                <w:b/>
                <w:sz w:val="18"/>
                <w:szCs w:val="18"/>
              </w:rPr>
            </w:pPr>
            <w:r>
              <w:rPr>
                <w:b/>
                <w:bCs/>
                <w:sz w:val="18"/>
                <w:szCs w:val="18"/>
                <w:lang w:val="es"/>
              </w:rPr>
              <w:t>Subcategoría</w:t>
            </w:r>
          </w:p>
        </w:tc>
        <w:tc>
          <w:tcPr>
            <w:tcW w:w="5524" w:type="dxa"/>
          </w:tcPr>
          <w:p w:rsidR="0065773C" w:rsidRPr="00F27173" w:rsidRDefault="002B2414" w:rsidP="00CD403B">
            <w:pPr>
              <w:pStyle w:val="BodyText"/>
              <w:rPr>
                <w:b/>
                <w:sz w:val="18"/>
                <w:szCs w:val="18"/>
                <w:lang w:val="es-UY"/>
              </w:rPr>
            </w:pPr>
            <w:r>
              <w:rPr>
                <w:b/>
                <w:bCs/>
                <w:sz w:val="18"/>
                <w:szCs w:val="18"/>
                <w:lang w:val="es"/>
              </w:rPr>
              <w:t xml:space="preserve">Tipos de datos utilizados como </w:t>
            </w:r>
            <w:r w:rsidR="00CD403B">
              <w:rPr>
                <w:b/>
                <w:bCs/>
                <w:sz w:val="18"/>
                <w:szCs w:val="18"/>
                <w:lang w:val="es"/>
              </w:rPr>
              <w:t>tasas</w:t>
            </w:r>
            <w:r>
              <w:rPr>
                <w:b/>
                <w:bCs/>
                <w:sz w:val="18"/>
                <w:szCs w:val="18"/>
                <w:lang w:val="es"/>
              </w:rPr>
              <w:t xml:space="preserve"> de actividad</w:t>
            </w:r>
          </w:p>
        </w:tc>
      </w:tr>
      <w:tr w:rsidR="0065773C" w:rsidRPr="00F27173">
        <w:tc>
          <w:tcPr>
            <w:tcW w:w="3688" w:type="dxa"/>
          </w:tcPr>
          <w:p w:rsidR="0065773C" w:rsidRPr="00F27173" w:rsidRDefault="002B2414">
            <w:pPr>
              <w:pStyle w:val="BodyText"/>
              <w:rPr>
                <w:lang w:val="es-UY"/>
              </w:rPr>
            </w:pPr>
            <w:r>
              <w:rPr>
                <w:lang w:val="es"/>
              </w:rPr>
              <w:t>Empastes de amalgamas dentales (empastes de "plata")</w:t>
            </w:r>
          </w:p>
        </w:tc>
        <w:tc>
          <w:tcPr>
            <w:tcW w:w="5524" w:type="dxa"/>
          </w:tcPr>
          <w:p w:rsidR="0065773C" w:rsidRPr="00F27173" w:rsidRDefault="002B2414" w:rsidP="00CD403B">
            <w:pPr>
              <w:pStyle w:val="BodyText"/>
              <w:rPr>
                <w:lang w:val="es-UY"/>
              </w:rPr>
            </w:pPr>
            <w:r>
              <w:rPr>
                <w:lang w:val="es"/>
              </w:rPr>
              <w:t xml:space="preserve">Población, densidad de personal </w:t>
            </w:r>
            <w:r w:rsidR="00CD403B">
              <w:rPr>
                <w:lang w:val="es"/>
              </w:rPr>
              <w:t>odontológico</w:t>
            </w:r>
          </w:p>
        </w:tc>
      </w:tr>
      <w:tr w:rsidR="0065773C" w:rsidRPr="00F27173">
        <w:tc>
          <w:tcPr>
            <w:tcW w:w="3688" w:type="dxa"/>
          </w:tcPr>
          <w:p w:rsidR="0065773C" w:rsidRPr="00F27173" w:rsidRDefault="002B2414">
            <w:pPr>
              <w:pStyle w:val="BodyText"/>
              <w:rPr>
                <w:lang w:val="es-UY"/>
              </w:rPr>
            </w:pPr>
            <w:r>
              <w:rPr>
                <w:lang w:val="es"/>
              </w:rPr>
              <w:t>Interruptores eléctricos y relés con mercurio</w:t>
            </w:r>
          </w:p>
        </w:tc>
        <w:tc>
          <w:tcPr>
            <w:tcW w:w="5524" w:type="dxa"/>
          </w:tcPr>
          <w:p w:rsidR="0065773C" w:rsidRPr="00F27173" w:rsidRDefault="002B2414" w:rsidP="00CD403B">
            <w:pPr>
              <w:pStyle w:val="BodyText"/>
              <w:rPr>
                <w:lang w:val="es-UY"/>
              </w:rPr>
            </w:pPr>
            <w:r>
              <w:rPr>
                <w:lang w:val="es"/>
              </w:rPr>
              <w:t xml:space="preserve">Población, </w:t>
            </w:r>
            <w:r w:rsidR="00CD403B">
              <w:rPr>
                <w:lang w:val="es"/>
              </w:rPr>
              <w:t>tasa</w:t>
            </w:r>
            <w:r>
              <w:rPr>
                <w:lang w:val="es"/>
              </w:rPr>
              <w:t xml:space="preserve"> de electrificación (porcentaje de población con acceso a electricidad)</w:t>
            </w:r>
          </w:p>
        </w:tc>
      </w:tr>
      <w:tr w:rsidR="0065773C" w:rsidRPr="00F27173">
        <w:tc>
          <w:tcPr>
            <w:tcW w:w="3688" w:type="dxa"/>
          </w:tcPr>
          <w:p w:rsidR="0065773C" w:rsidRPr="00F27173" w:rsidRDefault="002B2414">
            <w:pPr>
              <w:pStyle w:val="BodyText"/>
              <w:rPr>
                <w:lang w:val="es-UY"/>
              </w:rPr>
            </w:pPr>
            <w:r>
              <w:rPr>
                <w:lang w:val="es"/>
              </w:rPr>
              <w:t>Poliuretano (PU, PUR) producido con catalizador de mercurio</w:t>
            </w:r>
          </w:p>
        </w:tc>
        <w:tc>
          <w:tcPr>
            <w:tcW w:w="5524" w:type="dxa"/>
          </w:tcPr>
          <w:p w:rsidR="0065773C" w:rsidRPr="00F27173" w:rsidRDefault="002B2414">
            <w:pPr>
              <w:pStyle w:val="BodyText"/>
              <w:rPr>
                <w:lang w:val="es-UY"/>
              </w:rPr>
            </w:pPr>
            <w:r>
              <w:rPr>
                <w:lang w:val="es"/>
              </w:rPr>
              <w:t xml:space="preserve">Población, </w:t>
            </w:r>
            <w:r w:rsidR="00CD403B">
              <w:rPr>
                <w:lang w:val="es"/>
              </w:rPr>
              <w:t xml:space="preserve">tasa </w:t>
            </w:r>
            <w:r>
              <w:rPr>
                <w:lang w:val="es"/>
              </w:rPr>
              <w:t>de electrificación (porcentaje de población con acceso a electricidad)</w:t>
            </w:r>
          </w:p>
        </w:tc>
      </w:tr>
      <w:tr w:rsidR="0065773C" w:rsidRPr="00F27173">
        <w:tc>
          <w:tcPr>
            <w:tcW w:w="3688" w:type="dxa"/>
          </w:tcPr>
          <w:p w:rsidR="0065773C" w:rsidRPr="00F27173" w:rsidRDefault="002B2414">
            <w:pPr>
              <w:pStyle w:val="BodyText"/>
              <w:rPr>
                <w:lang w:val="es-UY"/>
              </w:rPr>
            </w:pPr>
            <w:r>
              <w:rPr>
                <w:lang w:val="es"/>
              </w:rPr>
              <w:t>Otros manómetros e indicadores con mercurio</w:t>
            </w:r>
          </w:p>
        </w:tc>
        <w:tc>
          <w:tcPr>
            <w:tcW w:w="5524" w:type="dxa"/>
          </w:tcPr>
          <w:p w:rsidR="0065773C" w:rsidRPr="00F27173" w:rsidRDefault="002B2414">
            <w:pPr>
              <w:pStyle w:val="BodyText"/>
              <w:rPr>
                <w:lang w:val="es-UY"/>
              </w:rPr>
            </w:pPr>
            <w:r>
              <w:rPr>
                <w:lang w:val="es"/>
              </w:rPr>
              <w:t xml:space="preserve">Población, </w:t>
            </w:r>
            <w:r w:rsidR="00CD403B">
              <w:rPr>
                <w:lang w:val="es"/>
              </w:rPr>
              <w:t xml:space="preserve">tasa </w:t>
            </w:r>
            <w:r>
              <w:rPr>
                <w:lang w:val="es"/>
              </w:rPr>
              <w:t>de electrificación (porcentaje de población con acceso a electricidad)</w:t>
            </w:r>
          </w:p>
        </w:tc>
      </w:tr>
      <w:tr w:rsidR="0065773C" w:rsidRPr="00F27173">
        <w:tc>
          <w:tcPr>
            <w:tcW w:w="3688" w:type="dxa"/>
          </w:tcPr>
          <w:p w:rsidR="0065773C" w:rsidRDefault="002B2414">
            <w:pPr>
              <w:pStyle w:val="BodyText"/>
            </w:pPr>
            <w:r>
              <w:rPr>
                <w:lang w:val="es"/>
              </w:rPr>
              <w:t>Productos químicos de laboratorio</w:t>
            </w:r>
          </w:p>
        </w:tc>
        <w:tc>
          <w:tcPr>
            <w:tcW w:w="5524" w:type="dxa"/>
          </w:tcPr>
          <w:p w:rsidR="0065773C" w:rsidRPr="00F27173" w:rsidRDefault="002B2414">
            <w:pPr>
              <w:pStyle w:val="BodyText"/>
              <w:rPr>
                <w:lang w:val="es-UY"/>
              </w:rPr>
            </w:pPr>
            <w:r>
              <w:rPr>
                <w:lang w:val="es"/>
              </w:rPr>
              <w:t xml:space="preserve">Población, </w:t>
            </w:r>
            <w:r w:rsidR="00CD403B">
              <w:rPr>
                <w:lang w:val="es"/>
              </w:rPr>
              <w:t xml:space="preserve">tasa </w:t>
            </w:r>
            <w:r>
              <w:rPr>
                <w:lang w:val="es"/>
              </w:rPr>
              <w:t>de electrificación (porcentaje de población con acceso a electricidad)</w:t>
            </w:r>
          </w:p>
        </w:tc>
      </w:tr>
      <w:tr w:rsidR="0065773C" w:rsidRPr="00F27173">
        <w:tc>
          <w:tcPr>
            <w:tcW w:w="3688" w:type="dxa"/>
          </w:tcPr>
          <w:p w:rsidR="0065773C" w:rsidRPr="00F27173" w:rsidRDefault="002B2414">
            <w:pPr>
              <w:pStyle w:val="BodyText"/>
              <w:rPr>
                <w:lang w:val="es-UY"/>
              </w:rPr>
            </w:pPr>
            <w:r>
              <w:rPr>
                <w:lang w:val="es"/>
              </w:rPr>
              <w:t xml:space="preserve">Otros equipos de laboratorio con mercurio </w:t>
            </w:r>
          </w:p>
        </w:tc>
        <w:tc>
          <w:tcPr>
            <w:tcW w:w="5524" w:type="dxa"/>
          </w:tcPr>
          <w:p w:rsidR="0065773C" w:rsidRPr="00F27173" w:rsidRDefault="00CD403B" w:rsidP="00CD403B">
            <w:pPr>
              <w:pStyle w:val="BodyText"/>
              <w:rPr>
                <w:lang w:val="es-UY"/>
              </w:rPr>
            </w:pPr>
            <w:r>
              <w:rPr>
                <w:lang w:val="es"/>
              </w:rPr>
              <w:t>Población, tasa</w:t>
            </w:r>
            <w:r w:rsidR="002B2414">
              <w:rPr>
                <w:lang w:val="es"/>
              </w:rPr>
              <w:t xml:space="preserve"> de electrificación (porcentaje de población con acceso a electricidad)</w:t>
            </w:r>
          </w:p>
        </w:tc>
      </w:tr>
    </w:tbl>
    <w:p w:rsidR="0065773C" w:rsidRPr="00F27173" w:rsidRDefault="0065773C">
      <w:pPr>
        <w:pStyle w:val="BodyText"/>
        <w:rPr>
          <w:lang w:val="es-UY"/>
        </w:rPr>
      </w:pPr>
    </w:p>
    <w:p w:rsidR="0065773C" w:rsidRPr="00F27173" w:rsidRDefault="002B2414">
      <w:pPr>
        <w:pStyle w:val="BodyText"/>
        <w:rPr>
          <w:i/>
          <w:lang w:val="es-UY"/>
        </w:rPr>
      </w:pPr>
      <w:r>
        <w:rPr>
          <w:i/>
          <w:iCs/>
          <w:lang w:val="es"/>
        </w:rPr>
        <w:t>[Copiar los datos de la tabla similar de la página de la hoja de cálculo de nivel de inventario 1 "</w:t>
      </w:r>
      <w:r w:rsidR="00CD403B">
        <w:rPr>
          <w:i/>
          <w:iCs/>
          <w:lang w:val="es"/>
        </w:rPr>
        <w:t>Paso 1 – datos del país</w:t>
      </w:r>
      <w:r>
        <w:rPr>
          <w:i/>
          <w:iCs/>
          <w:lang w:val="es"/>
        </w:rPr>
        <w:t>" en la tabla a continuación.</w:t>
      </w:r>
      <w:r>
        <w:rPr>
          <w:lang w:val="es"/>
        </w:rPr>
        <w:t xml:space="preserve"> </w:t>
      </w:r>
      <w:r>
        <w:rPr>
          <w:i/>
          <w:iCs/>
          <w:lang w:val="es"/>
        </w:rPr>
        <w:t xml:space="preserve">Tenerlo en cuenta para los inventarios que abarcan áreas que no son un país, puede que haya ingresado los datos de población usted mismo en el paso 1 y utilizado las designaciones "Otro país de </w:t>
      </w:r>
      <w:r w:rsidR="006D6C37">
        <w:rPr>
          <w:i/>
          <w:iCs/>
          <w:lang w:val="es"/>
        </w:rPr>
        <w:t xml:space="preserve">la </w:t>
      </w:r>
      <w:r>
        <w:rPr>
          <w:i/>
          <w:iCs/>
          <w:lang w:val="es"/>
        </w:rPr>
        <w:t xml:space="preserve">OCDE" u "Otro país no miembro de </w:t>
      </w:r>
      <w:r w:rsidR="006D6C37">
        <w:rPr>
          <w:i/>
          <w:iCs/>
          <w:lang w:val="es"/>
        </w:rPr>
        <w:t xml:space="preserve">la </w:t>
      </w:r>
      <w:r>
        <w:rPr>
          <w:i/>
          <w:iCs/>
          <w:lang w:val="es"/>
        </w:rPr>
        <w:t>OCDE".</w:t>
      </w:r>
      <w:r>
        <w:rPr>
          <w:lang w:val="es"/>
        </w:rPr>
        <w:t xml:space="preserve"> </w:t>
      </w:r>
      <w:r>
        <w:rPr>
          <w:i/>
          <w:iCs/>
          <w:lang w:val="es"/>
        </w:rPr>
        <w:lastRenderedPageBreak/>
        <w:t>En esos casos copiar, de todos modos, las celdas mencionadas de "</w:t>
      </w:r>
      <w:r w:rsidR="006D6C37" w:rsidRPr="006D6C37">
        <w:rPr>
          <w:i/>
          <w:iCs/>
          <w:lang w:val="es"/>
        </w:rPr>
        <w:t xml:space="preserve"> </w:t>
      </w:r>
      <w:r w:rsidR="006D6C37">
        <w:rPr>
          <w:i/>
          <w:iCs/>
          <w:lang w:val="es"/>
        </w:rPr>
        <w:t>Paso 1 – datos del país</w:t>
      </w:r>
      <w:r>
        <w:rPr>
          <w:i/>
          <w:iCs/>
          <w:lang w:val="es"/>
        </w:rPr>
        <w:t>" en la tabla, excepto el número de población pertinente, para lo cual se copia el número ingresado manualmente en la hoja de cálculo].</w:t>
      </w:r>
    </w:p>
    <w:p w:rsidR="0065773C" w:rsidRPr="00F27173" w:rsidRDefault="002B2414">
      <w:pPr>
        <w:pStyle w:val="Caption"/>
        <w:rPr>
          <w:lang w:val="es-UY"/>
        </w:rPr>
      </w:pPr>
      <w:r>
        <w:rPr>
          <w:iCs/>
          <w:lang w:val="es"/>
        </w:rPr>
        <w:t xml:space="preserve">Tabla </w:t>
      </w:r>
      <w:r>
        <w:rPr>
          <w:iCs/>
          <w:lang w:val="es"/>
        </w:rPr>
        <w:fldChar w:fldCharType="begin"/>
      </w:r>
      <w:r>
        <w:rPr>
          <w:iCs/>
          <w:lang w:val="es"/>
        </w:rPr>
        <w:instrText xml:space="preserve"> STYLEREF 1 \s </w:instrText>
      </w:r>
      <w:r>
        <w:rPr>
          <w:iCs/>
          <w:lang w:val="es"/>
        </w:rPr>
        <w:fldChar w:fldCharType="separate"/>
      </w:r>
      <w:r>
        <w:rPr>
          <w:iCs/>
          <w:noProof/>
          <w:lang w:val="es"/>
        </w:rPr>
        <w:t>9</w:t>
      </w:r>
      <w:r>
        <w:rPr>
          <w:iCs/>
          <w:noProof/>
          <w:lang w:val="es"/>
        </w:rPr>
        <w:fldChar w:fldCharType="end"/>
      </w:r>
      <w:r>
        <w:rPr>
          <w:iCs/>
          <w:lang w:val="es"/>
        </w:rPr>
        <w:noBreakHyphen/>
      </w:r>
      <w:r>
        <w:rPr>
          <w:iCs/>
          <w:lang w:val="es"/>
        </w:rPr>
        <w:fldChar w:fldCharType="begin"/>
      </w:r>
      <w:r>
        <w:rPr>
          <w:iCs/>
          <w:lang w:val="es"/>
        </w:rPr>
        <w:instrText xml:space="preserve"> SEQ Table \* ARABIC \s 1 </w:instrText>
      </w:r>
      <w:r>
        <w:rPr>
          <w:iCs/>
          <w:lang w:val="es"/>
        </w:rPr>
        <w:fldChar w:fldCharType="separate"/>
      </w:r>
      <w:r>
        <w:rPr>
          <w:iCs/>
          <w:noProof/>
          <w:lang w:val="es"/>
        </w:rPr>
        <w:t>1</w:t>
      </w:r>
      <w:r>
        <w:rPr>
          <w:iCs/>
          <w:noProof/>
          <w:lang w:val="es"/>
        </w:rPr>
        <w:fldChar w:fldCharType="end"/>
      </w:r>
      <w:r>
        <w:rPr>
          <w:iCs/>
          <w:lang w:val="es"/>
        </w:rPr>
        <w:tab/>
        <w:t>Antecedentes para los cálculos de factores predeterminados para amalgamas dentales y determinados tipos de productos.</w:t>
      </w:r>
    </w:p>
    <w:tbl>
      <w:tblPr>
        <w:tblW w:w="7582" w:type="dxa"/>
        <w:jc w:val="right"/>
        <w:tblCellMar>
          <w:left w:w="70" w:type="dxa"/>
          <w:right w:w="70" w:type="dxa"/>
        </w:tblCellMar>
        <w:tblLook w:val="00A0" w:firstRow="1" w:lastRow="0" w:firstColumn="1" w:lastColumn="0" w:noHBand="0" w:noVBand="0"/>
      </w:tblPr>
      <w:tblGrid>
        <w:gridCol w:w="1843"/>
        <w:gridCol w:w="2127"/>
        <w:gridCol w:w="1559"/>
        <w:gridCol w:w="2053"/>
      </w:tblGrid>
      <w:tr w:rsidR="0065773C" w:rsidRPr="00F27173">
        <w:trPr>
          <w:trHeight w:val="255"/>
          <w:jc w:val="right"/>
        </w:trPr>
        <w:tc>
          <w:tcPr>
            <w:tcW w:w="7582" w:type="dxa"/>
            <w:gridSpan w:val="4"/>
            <w:tcBorders>
              <w:top w:val="single" w:sz="4" w:space="0" w:color="auto"/>
              <w:left w:val="single" w:sz="4" w:space="0" w:color="auto"/>
              <w:bottom w:val="single" w:sz="4" w:space="0" w:color="auto"/>
              <w:right w:val="single" w:sz="4" w:space="0" w:color="auto"/>
            </w:tcBorders>
            <w:shd w:val="clear" w:color="000000" w:fill="FFFFCC"/>
            <w:noWrap/>
            <w:vAlign w:val="bottom"/>
          </w:tcPr>
          <w:p w:rsidR="0065773C" w:rsidRPr="00F27173" w:rsidRDefault="002B2414">
            <w:pPr>
              <w:spacing w:line="240" w:lineRule="auto"/>
              <w:rPr>
                <w:rFonts w:ascii="Arial" w:hAnsi="Arial" w:cs="Arial"/>
                <w:b/>
                <w:bCs/>
                <w:sz w:val="20"/>
                <w:lang w:val="es-UY"/>
              </w:rPr>
            </w:pPr>
            <w:r>
              <w:rPr>
                <w:rFonts w:ascii="Arial" w:hAnsi="Arial" w:cs="Arial"/>
                <w:b/>
                <w:bCs/>
                <w:sz w:val="20"/>
                <w:lang w:val="es"/>
              </w:rPr>
              <w:t>ANTECEDENTES PARA LOS CÁLCULOS PREDETERMINADOS Y PRUEBA DE RANGO</w:t>
            </w:r>
          </w:p>
          <w:p w:rsidR="0065773C" w:rsidRPr="00F27173" w:rsidRDefault="002B2414">
            <w:pPr>
              <w:spacing w:line="240" w:lineRule="auto"/>
              <w:rPr>
                <w:rFonts w:ascii="Arial" w:hAnsi="Arial" w:cs="Arial"/>
                <w:sz w:val="20"/>
                <w:lang w:val="es-UY"/>
              </w:rPr>
            </w:pPr>
            <w:r>
              <w:rPr>
                <w:rFonts w:ascii="Arial" w:hAnsi="Arial" w:cs="Arial"/>
                <w:sz w:val="20"/>
                <w:lang w:val="es"/>
              </w:rPr>
              <w:t> </w:t>
            </w:r>
          </w:p>
        </w:tc>
      </w:tr>
      <w:tr w:rsidR="0065773C" w:rsidRPr="00F27173">
        <w:trPr>
          <w:trHeight w:val="127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20"/>
              </w:rPr>
            </w:pPr>
            <w:r>
              <w:rPr>
                <w:rFonts w:ascii="Arial" w:hAnsi="Arial" w:cs="Arial"/>
                <w:b/>
                <w:bCs/>
                <w:sz w:val="20"/>
                <w:lang w:val="es"/>
              </w:rPr>
              <w:t>País</w:t>
            </w:r>
          </w:p>
        </w:tc>
        <w:tc>
          <w:tcPr>
            <w:tcW w:w="2127"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Población en 2010 (o tan reciente como lo permitan los datos disponibles; UNSD, 2012)</w:t>
            </w:r>
          </w:p>
        </w:tc>
        <w:tc>
          <w:tcPr>
            <w:tcW w:w="1559" w:type="dxa"/>
            <w:tcBorders>
              <w:top w:val="nil"/>
              <w:left w:val="nil"/>
              <w:bottom w:val="single" w:sz="4" w:space="0" w:color="auto"/>
              <w:right w:val="single" w:sz="4" w:space="0" w:color="auto"/>
            </w:tcBorders>
            <w:shd w:val="clear" w:color="000000" w:fill="FFFFCC"/>
            <w:vAlign w:val="bottom"/>
          </w:tcPr>
          <w:p w:rsidR="0065773C" w:rsidRDefault="002B2414">
            <w:pPr>
              <w:spacing w:line="240" w:lineRule="auto"/>
              <w:rPr>
                <w:rFonts w:ascii="Arial" w:hAnsi="Arial" w:cs="Arial"/>
                <w:sz w:val="20"/>
              </w:rPr>
            </w:pPr>
            <w:r>
              <w:rPr>
                <w:rFonts w:ascii="Arial" w:hAnsi="Arial" w:cs="Arial"/>
                <w:sz w:val="20"/>
                <w:lang w:val="es"/>
              </w:rPr>
              <w:t>Personal odontológico cada 1</w:t>
            </w:r>
            <w:r w:rsidR="006D6C37">
              <w:rPr>
                <w:rFonts w:ascii="Arial" w:hAnsi="Arial" w:cs="Arial"/>
                <w:sz w:val="20"/>
                <w:lang w:val="es"/>
              </w:rPr>
              <w:t>.</w:t>
            </w:r>
            <w:r>
              <w:rPr>
                <w:rFonts w:ascii="Arial" w:hAnsi="Arial" w:cs="Arial"/>
                <w:sz w:val="20"/>
                <w:lang w:val="es"/>
              </w:rPr>
              <w:t>000 habitantes</w:t>
            </w:r>
          </w:p>
        </w:tc>
        <w:tc>
          <w:tcPr>
            <w:tcW w:w="2053" w:type="dxa"/>
            <w:tcBorders>
              <w:top w:val="nil"/>
              <w:left w:val="nil"/>
              <w:bottom w:val="single" w:sz="4" w:space="0" w:color="auto"/>
              <w:right w:val="single" w:sz="4" w:space="0" w:color="auto"/>
            </w:tcBorders>
            <w:shd w:val="clear" w:color="000000" w:fill="FFFFCC"/>
            <w:vAlign w:val="bottom"/>
          </w:tcPr>
          <w:p w:rsidR="0065773C" w:rsidRPr="00F27173" w:rsidRDefault="002B2414">
            <w:pPr>
              <w:spacing w:line="240" w:lineRule="auto"/>
              <w:rPr>
                <w:rFonts w:ascii="Arial" w:hAnsi="Arial" w:cs="Arial"/>
                <w:sz w:val="20"/>
                <w:lang w:val="es-UY"/>
              </w:rPr>
            </w:pPr>
            <w:r>
              <w:rPr>
                <w:rFonts w:ascii="Arial" w:hAnsi="Arial" w:cs="Arial"/>
                <w:sz w:val="20"/>
                <w:lang w:val="es"/>
              </w:rPr>
              <w:t>Tasa de electrificación,</w:t>
            </w:r>
            <w:r w:rsidR="006D6C37">
              <w:rPr>
                <w:rFonts w:ascii="Arial" w:hAnsi="Arial" w:cs="Arial"/>
                <w:sz w:val="20"/>
                <w:lang w:val="es"/>
              </w:rPr>
              <w:t xml:space="preserve"> </w:t>
            </w:r>
            <w:r>
              <w:rPr>
                <w:rFonts w:ascii="Arial" w:hAnsi="Arial" w:cs="Arial"/>
                <w:sz w:val="20"/>
                <w:lang w:val="es"/>
              </w:rPr>
              <w:t>% de población con acceso a la electricidad</w:t>
            </w:r>
          </w:p>
        </w:tc>
      </w:tr>
      <w:tr w:rsidR="0065773C" w:rsidRPr="00F27173">
        <w:trPr>
          <w:trHeight w:val="255"/>
          <w:jc w:val="right"/>
        </w:trPr>
        <w:tc>
          <w:tcPr>
            <w:tcW w:w="1843" w:type="dxa"/>
            <w:tcBorders>
              <w:top w:val="nil"/>
              <w:left w:val="single" w:sz="4" w:space="0" w:color="auto"/>
              <w:bottom w:val="single" w:sz="4" w:space="0" w:color="auto"/>
              <w:right w:val="single" w:sz="4" w:space="0" w:color="auto"/>
            </w:tcBorders>
            <w:shd w:val="clear" w:color="000000" w:fill="FFFFCC"/>
            <w:vAlign w:val="bottom"/>
          </w:tcPr>
          <w:p w:rsidR="0065773C" w:rsidRPr="00F27173" w:rsidRDefault="0065773C">
            <w:pPr>
              <w:spacing w:line="240" w:lineRule="auto"/>
              <w:rPr>
                <w:rFonts w:ascii="Arial" w:hAnsi="Arial" w:cs="Arial"/>
                <w:sz w:val="20"/>
                <w:lang w:val="es-UY"/>
              </w:rPr>
            </w:pPr>
          </w:p>
        </w:tc>
        <w:tc>
          <w:tcPr>
            <w:tcW w:w="2127" w:type="dxa"/>
            <w:tcBorders>
              <w:top w:val="nil"/>
              <w:left w:val="nil"/>
              <w:bottom w:val="single" w:sz="4" w:space="0" w:color="auto"/>
              <w:right w:val="single" w:sz="4" w:space="0" w:color="auto"/>
            </w:tcBorders>
            <w:shd w:val="clear" w:color="000000" w:fill="FFFFCC"/>
            <w:noWrap/>
            <w:vAlign w:val="bottom"/>
          </w:tcPr>
          <w:p w:rsidR="0065773C" w:rsidRPr="00F27173" w:rsidRDefault="0065773C">
            <w:pPr>
              <w:spacing w:line="240" w:lineRule="auto"/>
              <w:jc w:val="right"/>
              <w:rPr>
                <w:rFonts w:ascii="Arial" w:hAnsi="Arial" w:cs="Arial"/>
                <w:sz w:val="20"/>
                <w:lang w:val="es-UY"/>
              </w:rPr>
            </w:pPr>
          </w:p>
        </w:tc>
        <w:tc>
          <w:tcPr>
            <w:tcW w:w="1559"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20"/>
                <w:lang w:val="es-UY"/>
              </w:rPr>
            </w:pPr>
          </w:p>
        </w:tc>
        <w:tc>
          <w:tcPr>
            <w:tcW w:w="2053" w:type="dxa"/>
            <w:tcBorders>
              <w:top w:val="nil"/>
              <w:left w:val="nil"/>
              <w:bottom w:val="single" w:sz="4" w:space="0" w:color="auto"/>
              <w:right w:val="single" w:sz="4" w:space="0" w:color="auto"/>
            </w:tcBorders>
            <w:shd w:val="clear" w:color="000000" w:fill="FFFFCC"/>
            <w:vAlign w:val="bottom"/>
          </w:tcPr>
          <w:p w:rsidR="0065773C" w:rsidRPr="00F27173" w:rsidRDefault="0065773C">
            <w:pPr>
              <w:spacing w:line="240" w:lineRule="auto"/>
              <w:jc w:val="right"/>
              <w:rPr>
                <w:rFonts w:ascii="Arial" w:hAnsi="Arial" w:cs="Arial"/>
                <w:sz w:val="20"/>
                <w:lang w:val="es-UY"/>
              </w:rPr>
            </w:pPr>
          </w:p>
        </w:tc>
      </w:tr>
    </w:tbl>
    <w:p w:rsidR="0065773C" w:rsidRPr="00F27173" w:rsidRDefault="0065773C">
      <w:pPr>
        <w:pStyle w:val="BodyText"/>
        <w:rPr>
          <w:lang w:val="es-UY"/>
        </w:rPr>
      </w:pPr>
    </w:p>
    <w:p w:rsidR="0065773C" w:rsidRPr="00F27173" w:rsidRDefault="006D6C37">
      <w:pPr>
        <w:pStyle w:val="BodyText"/>
        <w:rPr>
          <w:lang w:val="es-UY"/>
        </w:rPr>
      </w:pPr>
      <w:r>
        <w:rPr>
          <w:lang w:val="es"/>
        </w:rPr>
        <w:t>Los datos de la T</w:t>
      </w:r>
      <w:r w:rsidR="002B2414">
        <w:rPr>
          <w:lang w:val="es"/>
        </w:rPr>
        <w:t xml:space="preserve">abla 9.1 se brindan como parte del kit de herramientas. Para la mayoría de los países, están basados en las fuentes de las autoridades internacionales (datos de población: UNSD; datos </w:t>
      </w:r>
      <w:r>
        <w:rPr>
          <w:lang w:val="es"/>
        </w:rPr>
        <w:t>odontológicos:</w:t>
      </w:r>
      <w:r w:rsidR="002B2414">
        <w:rPr>
          <w:lang w:val="es"/>
        </w:rPr>
        <w:t xml:space="preserve"> </w:t>
      </w:r>
      <w:r>
        <w:rPr>
          <w:lang w:val="es"/>
        </w:rPr>
        <w:t>OMS</w:t>
      </w:r>
      <w:r w:rsidR="002B2414">
        <w:rPr>
          <w:lang w:val="es"/>
        </w:rPr>
        <w:t>, datos de electrificación: IEA). Para algunos países no se tuvo acceso a los datos de estas fuentes y se utilizaron otras fuentes según se describe en el Anexo 8.4 del informe de referencia del kit de herramientas.</w:t>
      </w:r>
    </w:p>
    <w:p w:rsidR="0065773C" w:rsidRDefault="002B2414">
      <w:pPr>
        <w:pStyle w:val="Heading2"/>
        <w:tabs>
          <w:tab w:val="clear" w:pos="1492"/>
        </w:tabs>
        <w:ind w:left="851" w:hanging="851"/>
      </w:pPr>
      <w:r>
        <w:rPr>
          <w:b w:val="0"/>
          <w:lang w:val="es"/>
        </w:rPr>
        <w:t xml:space="preserve"> </w:t>
      </w:r>
      <w:bookmarkStart w:id="23" w:name="_Toc436014311"/>
      <w:r>
        <w:rPr>
          <w:bCs/>
          <w:lang w:val="es"/>
        </w:rPr>
        <w:t>[Nombre de la subcategoría 1]</w:t>
      </w:r>
      <w:bookmarkEnd w:id="23"/>
    </w:p>
    <w:p w:rsidR="0065773C" w:rsidRPr="00F27173" w:rsidRDefault="002B2414">
      <w:pPr>
        <w:pStyle w:val="BodyText"/>
        <w:rPr>
          <w:i/>
          <w:lang w:val="es-UY"/>
        </w:rPr>
      </w:pPr>
      <w:r>
        <w:rPr>
          <w:i/>
          <w:iCs/>
          <w:lang w:val="es"/>
        </w:rPr>
        <w:t>[Para cada subcategoría de fuente en este paso del inventario, presentar los datos y su origen con referencias explícitas y detalladas a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2B2414">
      <w:pPr>
        <w:pStyle w:val="Heading2"/>
        <w:tabs>
          <w:tab w:val="clear" w:pos="1492"/>
        </w:tabs>
        <w:ind w:left="851" w:hanging="851"/>
        <w:rPr>
          <w:lang w:val="es-UY"/>
        </w:rPr>
      </w:pPr>
      <w:bookmarkStart w:id="24" w:name="_Toc436014312"/>
      <w:r>
        <w:rPr>
          <w:bCs/>
          <w:lang w:val="es"/>
        </w:rPr>
        <w:t>[Nombre de la subcategoría 2, etc.]</w:t>
      </w:r>
      <w:bookmarkEnd w:id="24"/>
    </w:p>
    <w:p w:rsidR="0065773C" w:rsidRDefault="002B2414">
      <w:pPr>
        <w:pStyle w:val="BodyText"/>
        <w:rPr>
          <w:i/>
        </w:rPr>
      </w:pPr>
      <w:r>
        <w:rPr>
          <w:i/>
          <w:iCs/>
          <w:lang w:val="es"/>
        </w:rPr>
        <w:t>[</w:t>
      </w:r>
      <w:r w:rsidR="001F4297">
        <w:rPr>
          <w:i/>
          <w:iCs/>
          <w:lang w:val="es"/>
        </w:rPr>
        <w:t>Ídem anterior</w:t>
      </w:r>
      <w:r>
        <w:rPr>
          <w:i/>
          <w:iCs/>
          <w:lang w:val="es"/>
        </w:rPr>
        <w:t>]</w:t>
      </w:r>
    </w:p>
    <w:p w:rsidR="0065773C" w:rsidRPr="00F27173" w:rsidRDefault="002B2414">
      <w:pPr>
        <w:pStyle w:val="Heading1"/>
        <w:rPr>
          <w:lang w:val="es-UY"/>
        </w:rPr>
      </w:pPr>
      <w:bookmarkStart w:id="25" w:name="_Toc436014313"/>
      <w:r>
        <w:rPr>
          <w:bCs/>
          <w:lang w:val="es"/>
        </w:rPr>
        <w:lastRenderedPageBreak/>
        <w:t>Datos e inventario sobre crematorios y cementerios</w:t>
      </w:r>
      <w:bookmarkEnd w:id="25"/>
    </w:p>
    <w:p w:rsidR="0065773C" w:rsidRDefault="002B2414">
      <w:pPr>
        <w:pStyle w:val="Heading2"/>
        <w:tabs>
          <w:tab w:val="clear" w:pos="1492"/>
        </w:tabs>
        <w:ind w:left="851" w:hanging="851"/>
      </w:pPr>
      <w:bookmarkStart w:id="26" w:name="_Toc436014314"/>
      <w:r>
        <w:rPr>
          <w:bCs/>
          <w:lang w:val="es"/>
        </w:rPr>
        <w:t>[Nombre de la subcategoría 1]</w:t>
      </w:r>
      <w:bookmarkEnd w:id="26"/>
    </w:p>
    <w:p w:rsidR="0065773C" w:rsidRPr="00F27173" w:rsidRDefault="002B2414">
      <w:pPr>
        <w:pStyle w:val="BodyText"/>
        <w:rPr>
          <w:i/>
          <w:lang w:val="es-UY"/>
        </w:rPr>
      </w:pPr>
      <w:r>
        <w:rPr>
          <w:i/>
          <w:iCs/>
          <w:lang w:val="es"/>
        </w:rPr>
        <w:t xml:space="preserve">[Para cada subcategoría de fuente en este paso del inventario, presentar los datos y su origen con referencias explícitas y detalladas </w:t>
      </w:r>
      <w:r w:rsidR="006D6C37">
        <w:rPr>
          <w:i/>
          <w:iCs/>
          <w:lang w:val="es"/>
        </w:rPr>
        <w:t>de</w:t>
      </w:r>
      <w:r>
        <w:rPr>
          <w:i/>
          <w:iCs/>
          <w:lang w:val="es"/>
        </w:rPr>
        <w:t xml:space="preserve"> las fuentes para cada conjunto de datos]</w:t>
      </w:r>
    </w:p>
    <w:p w:rsidR="0065773C" w:rsidRPr="00F27173" w:rsidRDefault="002B2414">
      <w:pPr>
        <w:pStyle w:val="BodyText"/>
        <w:rPr>
          <w:i/>
          <w:lang w:val="es-UY"/>
        </w:rPr>
      </w:pPr>
      <w:r>
        <w:rPr>
          <w:i/>
          <w:iCs/>
          <w:lang w:val="es"/>
        </w:rPr>
        <w:t>[Describir los cálculos y aproximaciones realizados.</w:t>
      </w:r>
      <w:r>
        <w:rPr>
          <w:lang w:val="es"/>
        </w:rPr>
        <w:t xml:space="preserve"> </w:t>
      </w:r>
      <w:r>
        <w:rPr>
          <w:i/>
          <w:iCs/>
          <w:lang w:val="es"/>
        </w:rPr>
        <w:t>Por ejemplo, conversión de datos a las unidades necesarias, cálculos de aproximación como extrapolaciones a nivel nacional de los datos representativos, etc.]</w:t>
      </w:r>
    </w:p>
    <w:p w:rsidR="0065773C" w:rsidRPr="00F27173" w:rsidRDefault="002B2414">
      <w:pPr>
        <w:pStyle w:val="Heading4"/>
        <w:rPr>
          <w:lang w:val="es-UY"/>
        </w:rPr>
      </w:pPr>
      <w:r>
        <w:rPr>
          <w:bCs/>
          <w:lang w:val="es"/>
        </w:rPr>
        <w:t>Vacíos de información y prioridades para un posible seguimiento</w:t>
      </w:r>
    </w:p>
    <w:p w:rsidR="0065773C" w:rsidRPr="00F27173" w:rsidRDefault="002B2414">
      <w:pPr>
        <w:pStyle w:val="BodyText"/>
        <w:rPr>
          <w:i/>
          <w:lang w:val="es-UY"/>
        </w:rPr>
      </w:pPr>
      <w:r>
        <w:rPr>
          <w:i/>
          <w:iCs/>
          <w:lang w:val="es"/>
        </w:rPr>
        <w:t>[Describir los vacíos de información reales, la manera en que se intentó obtener estos datos, y las subcategorías identificadas como de alta incertidumbre o con potencial para una mejor estimación en el nivel de inventario 2]</w:t>
      </w:r>
    </w:p>
    <w:p w:rsidR="0065773C" w:rsidRPr="00F27173" w:rsidRDefault="002B2414">
      <w:pPr>
        <w:pStyle w:val="Heading2"/>
        <w:tabs>
          <w:tab w:val="clear" w:pos="1492"/>
        </w:tabs>
        <w:ind w:left="851" w:hanging="851"/>
        <w:rPr>
          <w:lang w:val="es-UY"/>
        </w:rPr>
      </w:pPr>
      <w:bookmarkStart w:id="27" w:name="_Toc436014315"/>
      <w:r>
        <w:rPr>
          <w:bCs/>
          <w:lang w:val="es"/>
        </w:rPr>
        <w:t>[Nombre de la subcategoría 2, etc.]</w:t>
      </w:r>
      <w:bookmarkEnd w:id="27"/>
    </w:p>
    <w:p w:rsidR="0065773C" w:rsidRPr="00F27173" w:rsidRDefault="002B2414">
      <w:pPr>
        <w:pStyle w:val="BodyText"/>
        <w:rPr>
          <w:i/>
          <w:lang w:val="es-UY"/>
        </w:rPr>
      </w:pPr>
      <w:r>
        <w:rPr>
          <w:i/>
          <w:iCs/>
          <w:lang w:val="es"/>
        </w:rPr>
        <w:t>[</w:t>
      </w:r>
      <w:r w:rsidR="001F4297">
        <w:rPr>
          <w:i/>
          <w:iCs/>
          <w:lang w:val="es"/>
        </w:rPr>
        <w:t>Ídem anterior</w:t>
      </w:r>
      <w:r>
        <w:rPr>
          <w:i/>
          <w:iCs/>
          <w:lang w:val="es"/>
        </w:rPr>
        <w:t>]</w:t>
      </w:r>
    </w:p>
    <w:p w:rsidR="0065773C" w:rsidRPr="00F27173" w:rsidRDefault="002B2414">
      <w:pPr>
        <w:pStyle w:val="Heading1"/>
        <w:numPr>
          <w:ilvl w:val="0"/>
          <w:numId w:val="0"/>
        </w:numPr>
        <w:rPr>
          <w:lang w:val="es-UY"/>
        </w:rPr>
      </w:pPr>
      <w:bookmarkStart w:id="28" w:name="_Toc436014316"/>
      <w:r>
        <w:rPr>
          <w:bCs/>
          <w:lang w:val="es"/>
        </w:rPr>
        <w:lastRenderedPageBreak/>
        <w:t>Referencias</w:t>
      </w:r>
      <w:bookmarkEnd w:id="28"/>
    </w:p>
    <w:p w:rsidR="0065773C" w:rsidRPr="00F27173" w:rsidRDefault="002B2414">
      <w:pPr>
        <w:pStyle w:val="BodyText"/>
        <w:rPr>
          <w:i/>
          <w:lang w:val="es-UY"/>
        </w:rPr>
      </w:pPr>
      <w:r>
        <w:rPr>
          <w:i/>
          <w:iCs/>
          <w:lang w:val="es"/>
        </w:rPr>
        <w:t>[Proporcionar referencias completas sobre todas las fuentes de datos en su informe:</w:t>
      </w:r>
    </w:p>
    <w:p w:rsidR="0065773C" w:rsidRPr="00F27173" w:rsidRDefault="002B2414">
      <w:pPr>
        <w:pStyle w:val="BodyText"/>
        <w:rPr>
          <w:i/>
          <w:lang w:val="es-UY"/>
        </w:rPr>
      </w:pPr>
      <w:r>
        <w:rPr>
          <w:i/>
          <w:iCs/>
          <w:lang w:val="es"/>
        </w:rPr>
        <w:t>Contactos personales:</w:t>
      </w:r>
      <w:r>
        <w:rPr>
          <w:lang w:val="es"/>
        </w:rPr>
        <w:t xml:space="preserve"> </w:t>
      </w:r>
      <w:r>
        <w:rPr>
          <w:i/>
          <w:iCs/>
          <w:lang w:val="es"/>
        </w:rPr>
        <w:t>Nombre de la institución, ciudad de la institución, persona de contacto, fecha del contacto.</w:t>
      </w:r>
    </w:p>
    <w:p w:rsidR="0065773C" w:rsidRPr="00F27173" w:rsidRDefault="002B2414">
      <w:pPr>
        <w:pStyle w:val="BodyText"/>
        <w:rPr>
          <w:i/>
          <w:lang w:val="es-UY"/>
        </w:rPr>
      </w:pPr>
      <w:r>
        <w:rPr>
          <w:i/>
          <w:iCs/>
          <w:lang w:val="es"/>
        </w:rPr>
        <w:t>Bibliografía:</w:t>
      </w:r>
      <w:r>
        <w:rPr>
          <w:lang w:val="es"/>
        </w:rPr>
        <w:t xml:space="preserve"> </w:t>
      </w:r>
      <w:r>
        <w:rPr>
          <w:i/>
          <w:iCs/>
          <w:lang w:val="es"/>
        </w:rPr>
        <w:t>Autor, año de publicación, título de la publicación, año de la publicación, institución o editorial, ciudad, país, dirección de Internet exacta si los datos fueron obtenidos de Internet, fecha de acceso a la página web.</w:t>
      </w:r>
    </w:p>
    <w:p w:rsidR="0065773C" w:rsidRPr="00F27173" w:rsidRDefault="002B2414">
      <w:pPr>
        <w:pStyle w:val="BodyText"/>
        <w:rPr>
          <w:lang w:val="es-UY"/>
        </w:rPr>
      </w:pPr>
      <w:r>
        <w:rPr>
          <w:i/>
          <w:iCs/>
          <w:lang w:val="es"/>
        </w:rPr>
        <w:t>En otras secciones, en las que se utilice la referencia en el texto, destacar las referencias de manera clara en el texto que corresponda, preferiblemente como:</w:t>
      </w:r>
      <w:r>
        <w:rPr>
          <w:lang w:val="es"/>
        </w:rPr>
        <w:t xml:space="preserve"> </w:t>
      </w:r>
      <w:r>
        <w:rPr>
          <w:i/>
          <w:iCs/>
          <w:lang w:val="es"/>
        </w:rPr>
        <w:t>"Autor (año)", o "(Autor, año)".]</w:t>
      </w:r>
    </w:p>
    <w:p w:rsidR="0065773C" w:rsidRPr="00F27173" w:rsidRDefault="0087149C">
      <w:pPr>
        <w:pStyle w:val="Heading1"/>
        <w:numPr>
          <w:ilvl w:val="0"/>
          <w:numId w:val="0"/>
        </w:numPr>
        <w:rPr>
          <w:lang w:val="es-UY"/>
        </w:rPr>
      </w:pPr>
      <w:bookmarkStart w:id="29" w:name="_Toc436014317"/>
      <w:r>
        <w:rPr>
          <w:bCs/>
          <w:lang w:val="es"/>
        </w:rPr>
        <w:lastRenderedPageBreak/>
        <w:t>Apéndice 1 - H</w:t>
      </w:r>
      <w:r w:rsidR="002B2414">
        <w:rPr>
          <w:bCs/>
          <w:lang w:val="es"/>
        </w:rPr>
        <w:t>oja de cálculo para nivel de inventario 1</w:t>
      </w:r>
      <w:bookmarkEnd w:id="29"/>
    </w:p>
    <w:p w:rsidR="0065773C" w:rsidRPr="00F27173" w:rsidRDefault="002B2414">
      <w:pPr>
        <w:pStyle w:val="BodyText"/>
        <w:rPr>
          <w:i/>
          <w:lang w:val="es-UY"/>
        </w:rPr>
      </w:pPr>
      <w:r>
        <w:rPr>
          <w:i/>
          <w:iCs/>
          <w:lang w:val="es"/>
        </w:rPr>
        <w:t>[Publicar/presentar la hoja de cálculo del nivel de inventario 1 final en formato Excel (o PDF, si se desea) junto con el informe.</w:t>
      </w:r>
      <w:r>
        <w:rPr>
          <w:lang w:val="es"/>
        </w:rPr>
        <w:t xml:space="preserve"> </w:t>
      </w:r>
      <w:r>
        <w:rPr>
          <w:i/>
          <w:iCs/>
          <w:lang w:val="es"/>
        </w:rPr>
        <w:t>La hoja de cálculo es una parte esencial de la documentación del inventario].</w:t>
      </w:r>
    </w:p>
    <w:p w:rsidR="0065773C" w:rsidRPr="00F27173" w:rsidRDefault="002B2414">
      <w:pPr>
        <w:pStyle w:val="Heading1"/>
        <w:numPr>
          <w:ilvl w:val="0"/>
          <w:numId w:val="0"/>
        </w:numPr>
        <w:rPr>
          <w:lang w:val="es-UY"/>
        </w:rPr>
      </w:pPr>
      <w:bookmarkStart w:id="30" w:name="_Toc436014318"/>
      <w:r>
        <w:rPr>
          <w:bCs/>
          <w:lang w:val="es"/>
        </w:rPr>
        <w:lastRenderedPageBreak/>
        <w:t xml:space="preserve">Apéndice 2 - </w:t>
      </w:r>
      <w:r w:rsidR="001F4297">
        <w:rPr>
          <w:bCs/>
          <w:lang w:val="es"/>
        </w:rPr>
        <w:t>H</w:t>
      </w:r>
      <w:r>
        <w:rPr>
          <w:bCs/>
          <w:lang w:val="es"/>
        </w:rPr>
        <w:t>ojas de cálculo para nivel de inventario 2 (si corresponde)</w:t>
      </w:r>
      <w:bookmarkEnd w:id="30"/>
    </w:p>
    <w:p w:rsidR="0065773C" w:rsidRPr="00F27173" w:rsidRDefault="002B2414">
      <w:pPr>
        <w:pStyle w:val="BodyText"/>
        <w:rPr>
          <w:lang w:val="es-UY"/>
        </w:rPr>
      </w:pPr>
      <w:r>
        <w:rPr>
          <w:i/>
          <w:iCs/>
          <w:lang w:val="es"/>
        </w:rPr>
        <w:t>[Publicar/presentar la hoja de cálculo del nivel de inventario 2 final en formato Excel (o PDF, si se desea) junto con el informe.</w:t>
      </w:r>
      <w:r>
        <w:rPr>
          <w:lang w:val="es"/>
        </w:rPr>
        <w:t xml:space="preserve"> </w:t>
      </w:r>
      <w:r>
        <w:rPr>
          <w:i/>
          <w:iCs/>
          <w:lang w:val="es"/>
        </w:rPr>
        <w:t>La hoja de cálculo es una parte esencial de la documentación del inventario].</w:t>
      </w:r>
    </w:p>
    <w:p w:rsidR="0065773C" w:rsidRPr="00F27173" w:rsidRDefault="0065773C">
      <w:pPr>
        <w:pStyle w:val="BodyText"/>
        <w:rPr>
          <w:lang w:val="es-UY"/>
        </w:rPr>
      </w:pPr>
    </w:p>
    <w:p w:rsidR="0065773C" w:rsidRPr="00F27173" w:rsidRDefault="0065773C">
      <w:pPr>
        <w:pStyle w:val="BodyText"/>
        <w:rPr>
          <w:lang w:val="es-UY"/>
        </w:rPr>
      </w:pPr>
    </w:p>
    <w:p w:rsidR="0065773C" w:rsidRPr="00F27173" w:rsidRDefault="0065773C">
      <w:pPr>
        <w:pStyle w:val="BodyText"/>
        <w:rPr>
          <w:lang w:val="es-UY"/>
        </w:rPr>
      </w:pPr>
    </w:p>
    <w:sectPr w:rsidR="0065773C" w:rsidRPr="00F27173">
      <w:headerReference w:type="even" r:id="rId8"/>
      <w:headerReference w:type="default" r:id="rId9"/>
      <w:footerReference w:type="even" r:id="rId10"/>
      <w:footerReference w:type="default" r:id="rId11"/>
      <w:headerReference w:type="first" r:id="rId12"/>
      <w:pgSz w:w="11907" w:h="16840" w:code="9"/>
      <w:pgMar w:top="2183" w:right="851" w:bottom="1134" w:left="3686" w:header="1219"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174A" w:rsidRDefault="0088174A">
      <w:r>
        <w:separator/>
      </w:r>
    </w:p>
  </w:endnote>
  <w:endnote w:type="continuationSeparator" w:id="0">
    <w:p w:rsidR="0088174A" w:rsidRDefault="0088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08" w:rsidRDefault="00935308">
    <w:pPr>
      <w:pStyle w:val="FooterFrame"/>
      <w:framePr w:wrap="around"/>
    </w:pPr>
    <w:r>
      <w:rPr>
        <w:lang w:val="es"/>
      </w:rPr>
      <w:fldChar w:fldCharType="begin"/>
    </w:r>
    <w:r w:rsidRPr="00F27173">
      <w:rPr>
        <w:lang w:val="en-US"/>
      </w:rPr>
      <w:instrText xml:space="preserve"> FILENAME \p </w:instrText>
    </w:r>
    <w:r>
      <w:rPr>
        <w:lang w:val="es"/>
      </w:rPr>
      <w:fldChar w:fldCharType="separate"/>
    </w:r>
    <w:r w:rsidRPr="00F27173">
      <w:rPr>
        <w:lang w:val="en-US"/>
      </w:rPr>
      <w:t>C:\DOCUME~1\FUTSAE~1\LOCALS~1\Temp\notes758E9C\UNEP-Hg-Toolkit-IL1-Inventory-Report-Template-DRAFTFINAL-4FEB13-clean.docx</w:t>
    </w:r>
    <w:r>
      <w:rPr>
        <w:lang w:val="es"/>
      </w:rPr>
      <w:fldChar w:fldCharType="end"/>
    </w:r>
  </w:p>
  <w:p w:rsidR="00935308" w:rsidRDefault="00BE4AA5">
    <w:pPr>
      <w:pStyle w:val="FooterEven"/>
    </w:pPr>
    <w:r>
      <w:rPr>
        <w:lang w:val="es"/>
      </w:rPr>
      <w:drawing>
        <wp:inline distT="0" distB="0" distL="0" distR="0">
          <wp:extent cx="381000" cy="114300"/>
          <wp:effectExtent l="0" t="0" r="0" b="0"/>
          <wp:docPr id="1" name="Picture 2" descr="C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W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114300"/>
                  </a:xfrm>
                  <a:prstGeom prst="rect">
                    <a:avLst/>
                  </a:prstGeom>
                  <a:noFill/>
                  <a:ln>
                    <a:noFill/>
                  </a:ln>
                </pic:spPr>
              </pic:pic>
            </a:graphicData>
          </a:graphic>
        </wp:inline>
      </w:drawing>
    </w:r>
    <w:r w:rsidR="00935308">
      <w:rPr>
        <w:lang w:val="es"/>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08" w:rsidRDefault="00935308">
    <w:pPr>
      <w:pStyle w:val="FooterFrameOdd"/>
      <w:framePr w:wrap="around"/>
    </w:pPr>
    <w:r>
      <w:rPr>
        <w:lang w:val="es"/>
      </w:rPr>
      <w:t xml:space="preserve">. </w:t>
    </w:r>
  </w:p>
  <w:p w:rsidR="00935308" w:rsidRDefault="00935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174A" w:rsidRDefault="0088174A">
      <w:r>
        <w:separator/>
      </w:r>
    </w:p>
  </w:footnote>
  <w:footnote w:type="continuationSeparator" w:id="0">
    <w:p w:rsidR="0088174A" w:rsidRDefault="008817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08" w:rsidRPr="00F27173" w:rsidRDefault="00935308">
    <w:pPr>
      <w:pStyle w:val="HeaderFrameEven"/>
      <w:framePr w:wrap="around"/>
      <w:rPr>
        <w:lang w:val="es-UY"/>
      </w:rPr>
    </w:pPr>
    <w:r>
      <w:rPr>
        <w:lang w:val="es"/>
      </w:rPr>
      <w:t>INVENTARIO DE EMISIONES DE MERCURIO EN [</w:t>
    </w:r>
    <w:r w:rsidR="00682F6E">
      <w:rPr>
        <w:lang w:val="es"/>
      </w:rPr>
      <w:t>PAÍS]</w:t>
    </w:r>
  </w:p>
  <w:p w:rsidR="00935308" w:rsidRDefault="00935308">
    <w:pPr>
      <w:pStyle w:val="HeaderEven"/>
    </w:pPr>
    <w:r>
      <w:rPr>
        <w:lang w:val="es"/>
      </w:rPr>
      <w:fldChar w:fldCharType="begin"/>
    </w:r>
    <w:r>
      <w:rPr>
        <w:lang w:val="es"/>
      </w:rPr>
      <w:instrText xml:space="preserve"> PAGE </w:instrText>
    </w:r>
    <w:r>
      <w:rPr>
        <w:lang w:val="es"/>
      </w:rPr>
      <w:fldChar w:fldCharType="separate"/>
    </w:r>
    <w:r>
      <w:rPr>
        <w:noProof/>
        <w:lang w:val="es"/>
      </w:rPr>
      <w:t>24</w:t>
    </w:r>
    <w:r>
      <w:rPr>
        <w:noProof/>
        <w:lang w:val="e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08" w:rsidRDefault="00935308">
    <w:pPr>
      <w:pStyle w:val="HeaderFrame"/>
      <w:framePr w:wrap="around"/>
    </w:pPr>
    <w:r>
      <w:rPr>
        <w:lang w:val="es"/>
      </w:rPr>
      <w:fldChar w:fldCharType="begin"/>
    </w:r>
    <w:r>
      <w:rPr>
        <w:lang w:val="es"/>
      </w:rPr>
      <w:instrText xml:space="preserve"> PAGE </w:instrText>
    </w:r>
    <w:r>
      <w:rPr>
        <w:lang w:val="es"/>
      </w:rPr>
      <w:fldChar w:fldCharType="separate"/>
    </w:r>
    <w:r w:rsidR="005F2CB3">
      <w:rPr>
        <w:noProof/>
        <w:lang w:val="es"/>
      </w:rPr>
      <w:t>2</w:t>
    </w:r>
    <w:r>
      <w:rPr>
        <w:noProof/>
        <w:lang w:val="es"/>
      </w:rPr>
      <w:fldChar w:fldCharType="end"/>
    </w:r>
  </w:p>
  <w:p w:rsidR="00935308" w:rsidRPr="00F27173" w:rsidRDefault="00935308">
    <w:pPr>
      <w:pStyle w:val="Header"/>
      <w:rPr>
        <w:lang w:val="es-UY"/>
      </w:rPr>
    </w:pPr>
    <w:r>
      <w:rPr>
        <w:lang w:val="es"/>
      </w:rPr>
      <w:t>INVENTARIO DE EMISIONES DE MERCURIO EN [PAÍS]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5308" w:rsidRDefault="009353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9AE89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C14A5E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7427F3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4685046"/>
    <w:lvl w:ilvl="0">
      <w:start w:val="1"/>
      <w:numFmt w:val="decimal"/>
      <w:pStyle w:val="TableNumber3NoSpace"/>
      <w:lvlText w:val="%1."/>
      <w:lvlJc w:val="left"/>
      <w:pPr>
        <w:tabs>
          <w:tab w:val="num" w:pos="643"/>
        </w:tabs>
        <w:ind w:left="643" w:hanging="360"/>
      </w:pPr>
      <w:rPr>
        <w:rFonts w:cs="Times New Roman"/>
      </w:rPr>
    </w:lvl>
  </w:abstractNum>
  <w:abstractNum w:abstractNumId="4" w15:restartNumberingAfterBreak="0">
    <w:nsid w:val="FFFFFF80"/>
    <w:multiLevelType w:val="singleLevel"/>
    <w:tmpl w:val="F0CC8C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3EEC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2CFD5C"/>
    <w:lvl w:ilvl="0">
      <w:start w:val="1"/>
      <w:numFmt w:val="bullet"/>
      <w:pStyle w:val="ListNumber5"/>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B2634C"/>
    <w:lvl w:ilvl="0">
      <w:start w:val="1"/>
      <w:numFmt w:val="bullet"/>
      <w:pStyle w:val="ListNumber4"/>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DC61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78C65C2"/>
    <w:lvl w:ilvl="0">
      <w:start w:val="1"/>
      <w:numFmt w:val="bullet"/>
      <w:pStyle w:val="ListBullet4"/>
      <w:lvlText w:val=""/>
      <w:lvlJc w:val="left"/>
      <w:pPr>
        <w:tabs>
          <w:tab w:val="num" w:pos="360"/>
        </w:tabs>
        <w:ind w:left="360" w:hanging="360"/>
      </w:pPr>
      <w:rPr>
        <w:rFonts w:ascii="Symbol" w:hAnsi="Symbol" w:hint="default"/>
      </w:rPr>
    </w:lvl>
  </w:abstractNum>
  <w:abstractNum w:abstractNumId="10" w15:restartNumberingAfterBreak="0">
    <w:nsid w:val="0153782D"/>
    <w:multiLevelType w:val="multilevel"/>
    <w:tmpl w:val="66AE8800"/>
    <w:styleLink w:val="CowiHeaders"/>
    <w:lvl w:ilvl="0">
      <w:start w:val="1"/>
      <w:numFmt w:val="decimal"/>
      <w:pStyle w:val="Heading1"/>
      <w:lvlText w:val="%1"/>
      <w:lvlJc w:val="left"/>
      <w:pPr>
        <w:tabs>
          <w:tab w:val="num" w:pos="851"/>
        </w:tabs>
        <w:ind w:left="851" w:hanging="851"/>
      </w:pPr>
      <w:rPr>
        <w:rFonts w:ascii="Arial" w:hAnsi="Arial" w:cs="Times New Roman" w:hint="default"/>
        <w:b/>
        <w:color w:val="auto"/>
        <w:sz w:val="32"/>
        <w:u w:val="none"/>
      </w:rPr>
    </w:lvl>
    <w:lvl w:ilvl="1">
      <w:start w:val="1"/>
      <w:numFmt w:val="decimal"/>
      <w:pStyle w:val="Heading2"/>
      <w:lvlText w:val="%1.%2"/>
      <w:lvlJc w:val="left"/>
      <w:pPr>
        <w:tabs>
          <w:tab w:val="num" w:pos="851"/>
        </w:tabs>
        <w:ind w:left="851" w:hanging="851"/>
      </w:pPr>
      <w:rPr>
        <w:rFonts w:ascii="Arial" w:hAnsi="Arial" w:cs="Times New Roman" w:hint="default"/>
        <w:b/>
        <w:sz w:val="27"/>
      </w:rPr>
    </w:lvl>
    <w:lvl w:ilvl="2">
      <w:start w:val="1"/>
      <w:numFmt w:val="decimal"/>
      <w:pStyle w:val="Heading3"/>
      <w:lvlText w:val="%1.%2.%3"/>
      <w:lvlJc w:val="left"/>
      <w:pPr>
        <w:tabs>
          <w:tab w:val="num" w:pos="851"/>
        </w:tabs>
        <w:ind w:left="851" w:hanging="851"/>
      </w:pPr>
      <w:rPr>
        <w:rFonts w:ascii="Arial" w:hAnsi="Arial" w:cs="Times New Roman" w:hint="default"/>
        <w:b/>
        <w:color w:val="auto"/>
        <w:sz w:val="23"/>
      </w:rPr>
    </w:lvl>
    <w:lvl w:ilvl="3">
      <w:start w:val="1"/>
      <w:numFmt w:val="decimal"/>
      <w:lvlText w:val="%1.%2.%3.%4"/>
      <w:lvlJc w:val="left"/>
      <w:pPr>
        <w:tabs>
          <w:tab w:val="num" w:pos="1276"/>
        </w:tabs>
        <w:ind w:left="1276" w:hanging="1276"/>
      </w:pPr>
      <w:rPr>
        <w:rFonts w:ascii="Arial" w:hAnsi="Arial" w:cs="Times New Roman" w:hint="default"/>
        <w:b/>
        <w:sz w:val="20"/>
      </w:rPr>
    </w:lvl>
    <w:lvl w:ilvl="4">
      <w:start w:val="1"/>
      <w:numFmt w:val="decimal"/>
      <w:lvlText w:val="%1.%2.%3.%4.%5"/>
      <w:lvlJc w:val="left"/>
      <w:pPr>
        <w:tabs>
          <w:tab w:val="num" w:pos="1276"/>
        </w:tabs>
        <w:ind w:left="1276" w:hanging="1276"/>
      </w:pPr>
      <w:rPr>
        <w:rFonts w:ascii="Arial" w:hAnsi="Arial" w:cs="Times New Roman" w:hint="default"/>
        <w:b/>
        <w:sz w:val="20"/>
      </w:rPr>
    </w:lvl>
    <w:lvl w:ilvl="5">
      <w:start w:val="1"/>
      <w:numFmt w:val="lowerRoman"/>
      <w:lvlText w:val="(%6)"/>
      <w:lvlJc w:val="left"/>
      <w:pPr>
        <w:tabs>
          <w:tab w:val="num" w:pos="851"/>
        </w:tabs>
        <w:ind w:left="851" w:hanging="851"/>
      </w:pPr>
      <w:rPr>
        <w:rFonts w:cs="Times New Roman" w:hint="default"/>
      </w:rPr>
    </w:lvl>
    <w:lvl w:ilvl="6">
      <w:start w:val="1"/>
      <w:numFmt w:val="none"/>
      <w:lvlRestart w:val="0"/>
      <w:suff w:val="nothing"/>
      <w:lvlText w:val=""/>
      <w:lvlJc w:val="left"/>
      <w:rPr>
        <w:rFonts w:ascii="Arial" w:hAnsi="Arial" w:cs="Times New Roman" w:hint="default"/>
        <w:b/>
        <w:sz w:val="32"/>
      </w:rPr>
    </w:lvl>
    <w:lvl w:ilvl="7">
      <w:start w:val="1"/>
      <w:numFmt w:val="lowerLetter"/>
      <w:lvlText w:val="%8."/>
      <w:lvlJc w:val="left"/>
      <w:pPr>
        <w:tabs>
          <w:tab w:val="num" w:pos="851"/>
        </w:tabs>
        <w:ind w:left="851" w:hanging="851"/>
      </w:pPr>
      <w:rPr>
        <w:rFonts w:cs="Times New Roman" w:hint="default"/>
      </w:rPr>
    </w:lvl>
    <w:lvl w:ilvl="8">
      <w:start w:val="1"/>
      <w:numFmt w:val="lowerRoman"/>
      <w:lvlText w:val="%9."/>
      <w:lvlJc w:val="left"/>
      <w:pPr>
        <w:tabs>
          <w:tab w:val="num" w:pos="851"/>
        </w:tabs>
        <w:ind w:left="851" w:hanging="851"/>
      </w:pPr>
      <w:rPr>
        <w:rFonts w:cs="Times New Roman" w:hint="default"/>
      </w:rPr>
    </w:lvl>
  </w:abstractNum>
  <w:abstractNum w:abstractNumId="11" w15:restartNumberingAfterBreak="0">
    <w:nsid w:val="041C5787"/>
    <w:multiLevelType w:val="hybridMultilevel"/>
    <w:tmpl w:val="190AECE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046D7436"/>
    <w:multiLevelType w:val="multilevel"/>
    <w:tmpl w:val="0406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09472922"/>
    <w:multiLevelType w:val="hybridMultilevel"/>
    <w:tmpl w:val="8312EB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0CFD7AD9"/>
    <w:multiLevelType w:val="multilevel"/>
    <w:tmpl w:val="700637C2"/>
    <w:styleLink w:val="CowiBulletList"/>
    <w:lvl w:ilvl="0">
      <w:start w:val="1"/>
      <w:numFmt w:val="bullet"/>
      <w:lvlText w:val="•"/>
      <w:lvlJc w:val="left"/>
      <w:pPr>
        <w:tabs>
          <w:tab w:val="num" w:pos="425"/>
        </w:tabs>
        <w:ind w:left="425" w:hanging="425"/>
      </w:pPr>
      <w:rPr>
        <w:rFonts w:ascii="Times New Roman" w:hAnsi="Times New Roman" w:hint="default"/>
      </w:rPr>
    </w:lvl>
    <w:lvl w:ilvl="1">
      <w:start w:val="1"/>
      <w:numFmt w:val="bullet"/>
      <w:lvlText w:val="-"/>
      <w:lvlJc w:val="left"/>
      <w:pPr>
        <w:tabs>
          <w:tab w:val="num" w:pos="851"/>
        </w:tabs>
        <w:ind w:left="851" w:hanging="426"/>
      </w:pPr>
      <w:rPr>
        <w:rFonts w:ascii="Times New Roman" w:hAnsi="Times New Roman" w:hint="default"/>
      </w:rPr>
    </w:lvl>
    <w:lvl w:ilvl="2">
      <w:start w:val="1"/>
      <w:numFmt w:val="bullet"/>
      <w:lvlText w:val="-"/>
      <w:lvlJc w:val="left"/>
      <w:pPr>
        <w:tabs>
          <w:tab w:val="num" w:pos="1276"/>
        </w:tabs>
        <w:ind w:left="1276" w:hanging="425"/>
      </w:pPr>
      <w:rPr>
        <w:rFonts w:ascii="Times New Roman" w:hAnsi="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15:restartNumberingAfterBreak="0">
    <w:nsid w:val="1B0D7A83"/>
    <w:multiLevelType w:val="multilevel"/>
    <w:tmpl w:val="DB725200"/>
    <w:styleLink w:val="CowiNumberList"/>
    <w:lvl w:ilvl="0">
      <w:start w:val="1"/>
      <w:numFmt w:val="decimal"/>
      <w:lvlText w:val="%1"/>
      <w:lvlJc w:val="left"/>
      <w:pPr>
        <w:tabs>
          <w:tab w:val="num" w:pos="425"/>
        </w:tabs>
        <w:ind w:left="425" w:hanging="425"/>
      </w:pPr>
      <w:rPr>
        <w:rFonts w:cs="Times New Roman" w:hint="default"/>
      </w:rPr>
    </w:lvl>
    <w:lvl w:ilvl="1">
      <w:start w:val="1"/>
      <w:numFmt w:val="decimal"/>
      <w:lvlText w:val="%1.%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lowerRoman"/>
      <w:lvlText w:val="%4)"/>
      <w:lvlJc w:val="left"/>
      <w:pPr>
        <w:tabs>
          <w:tab w:val="num" w:pos="1701"/>
        </w:tabs>
        <w:ind w:left="1701" w:hanging="425"/>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decimal"/>
      <w:lvlText w:val="%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6" w15:restartNumberingAfterBreak="0">
    <w:nsid w:val="1D6D1414"/>
    <w:multiLevelType w:val="multilevel"/>
    <w:tmpl w:val="04060023"/>
    <w:styleLink w:val="ArticleSectio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1E5D05FF"/>
    <w:multiLevelType w:val="hybridMultilevel"/>
    <w:tmpl w:val="4B2C6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331117"/>
    <w:multiLevelType w:val="multilevel"/>
    <w:tmpl w:val="5BDA225C"/>
    <w:styleLink w:val="CowiTableNumberList"/>
    <w:lvl w:ilvl="0">
      <w:start w:val="1"/>
      <w:numFmt w:val="decimal"/>
      <w:lvlText w:val="%1"/>
      <w:lvlJc w:val="left"/>
      <w:pPr>
        <w:tabs>
          <w:tab w:val="num" w:pos="284"/>
        </w:tabs>
        <w:ind w:left="284" w:hanging="284"/>
      </w:pPr>
      <w:rPr>
        <w:rFonts w:cs="Times New Roman" w:hint="default"/>
      </w:rPr>
    </w:lvl>
    <w:lvl w:ilvl="1">
      <w:start w:val="1"/>
      <w:numFmt w:val="decimal"/>
      <w:lvlText w:val="%1.%2"/>
      <w:lvlJc w:val="left"/>
      <w:pPr>
        <w:tabs>
          <w:tab w:val="num" w:pos="567"/>
        </w:tabs>
        <w:ind w:left="567" w:hanging="283"/>
      </w:pPr>
      <w:rPr>
        <w:rFonts w:cs="Times New Roman" w:hint="default"/>
      </w:rPr>
    </w:lvl>
    <w:lvl w:ilvl="2">
      <w:start w:val="1"/>
      <w:numFmt w:val="lowerLetter"/>
      <w:lvlText w:val="%3)"/>
      <w:lvlJc w:val="left"/>
      <w:pPr>
        <w:tabs>
          <w:tab w:val="num" w:pos="851"/>
        </w:tabs>
        <w:ind w:left="851" w:hanging="284"/>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24A04FE2"/>
    <w:multiLevelType w:val="multilevel"/>
    <w:tmpl w:val="FFFFFFFF"/>
    <w:lvl w:ilvl="0">
      <w:start w:val="1"/>
      <w:numFmt w:val="upperRoman"/>
      <w:lvlText w:val="Artículo %1."/>
      <w:lvlJc w:val="left"/>
      <w:pPr>
        <w:ind w:left="0" w:firstLine="0"/>
      </w:pPr>
    </w:lvl>
    <w:lvl w:ilvl="1">
      <w:start w:val="1"/>
      <w:numFmt w:val="decimalZero"/>
      <w:isLgl/>
      <w:lvlText w:val="Secció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E9C1D3F"/>
    <w:multiLevelType w:val="hybridMultilevel"/>
    <w:tmpl w:val="60806C92"/>
    <w:lvl w:ilvl="0" w:tplc="0406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D0661D"/>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9E10E29"/>
    <w:multiLevelType w:val="hybridMultilevel"/>
    <w:tmpl w:val="C898E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F23757"/>
    <w:multiLevelType w:val="hybridMultilevel"/>
    <w:tmpl w:val="86829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56339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405100"/>
    <w:multiLevelType w:val="multilevel"/>
    <w:tmpl w:val="2E1AE494"/>
    <w:styleLink w:val="CowiTableBulletList"/>
    <w:lvl w:ilvl="0">
      <w:start w:val="1"/>
      <w:numFmt w:val="bullet"/>
      <w:lvlText w:val="•"/>
      <w:lvlJc w:val="left"/>
      <w:pPr>
        <w:tabs>
          <w:tab w:val="num" w:pos="284"/>
        </w:tabs>
        <w:ind w:left="284" w:hanging="284"/>
      </w:pPr>
      <w:rPr>
        <w:rFonts w:ascii="Arial" w:hAnsi="Arial" w:hint="default"/>
        <w:sz w:val="18"/>
      </w:rPr>
    </w:lvl>
    <w:lvl w:ilvl="1">
      <w:start w:val="1"/>
      <w:numFmt w:val="bullet"/>
      <w:lvlText w:val="-"/>
      <w:lvlJc w:val="left"/>
      <w:pPr>
        <w:tabs>
          <w:tab w:val="num" w:pos="567"/>
        </w:tabs>
        <w:ind w:left="567" w:hanging="283"/>
      </w:pPr>
      <w:rPr>
        <w:rFonts w:ascii="Times New Roman" w:hAnsi="Times New Roman" w:hint="default"/>
      </w:rPr>
    </w:lvl>
    <w:lvl w:ilvl="2">
      <w:start w:val="1"/>
      <w:numFmt w:val="bullet"/>
      <w:lvlText w:val="-"/>
      <w:lvlJc w:val="left"/>
      <w:pPr>
        <w:tabs>
          <w:tab w:val="num" w:pos="851"/>
        </w:tabs>
        <w:ind w:left="851" w:hanging="284"/>
      </w:pPr>
      <w:rPr>
        <w:rFonts w:ascii="Times New Roman" w:hAnsi="Times New Roman" w:hint="default"/>
      </w:rPr>
    </w:lvl>
    <w:lvl w:ilvl="3">
      <w:start w:val="1"/>
      <w:numFmt w:val="bullet"/>
      <w:lvlText w:val="-"/>
      <w:lvlJc w:val="left"/>
      <w:pPr>
        <w:tabs>
          <w:tab w:val="num" w:pos="1134"/>
        </w:tabs>
        <w:ind w:left="1134" w:hanging="283"/>
      </w:pPr>
      <w:rPr>
        <w:rFonts w:ascii="Times New Roman" w:hAnsi="Times New Roman" w:hint="default"/>
      </w:rPr>
    </w:lvl>
    <w:lvl w:ilvl="4">
      <w:start w:val="1"/>
      <w:numFmt w:val="lowerLetter"/>
      <w:lvlText w:val="(%5)"/>
      <w:lvlJc w:val="left"/>
      <w:pPr>
        <w:ind w:left="1418" w:hanging="284"/>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6" w15:restartNumberingAfterBreak="0">
    <w:nsid w:val="685666B2"/>
    <w:multiLevelType w:val="multilevel"/>
    <w:tmpl w:val="3D402112"/>
    <w:lvl w:ilvl="0">
      <w:start w:val="1"/>
      <w:numFmt w:val="decimal"/>
      <w:lvlText w:val="%1"/>
      <w:lvlJc w:val="left"/>
      <w:pPr>
        <w:tabs>
          <w:tab w:val="num" w:pos="851"/>
        </w:tabs>
        <w:ind w:left="851" w:hanging="851"/>
      </w:pPr>
      <w:rPr>
        <w:rFonts w:cs="Times New Roman" w:hint="default"/>
      </w:rPr>
    </w:lvl>
    <w:lvl w:ilvl="1">
      <w:start w:val="1"/>
      <w:numFmt w:val="decimal"/>
      <w:lvlText w:val="%1.%2"/>
      <w:lvlJc w:val="left"/>
      <w:pPr>
        <w:tabs>
          <w:tab w:val="num" w:pos="851"/>
        </w:tabs>
        <w:ind w:left="851" w:hanging="851"/>
      </w:pPr>
      <w:rPr>
        <w:rFonts w:cs="Times New Roman" w:hint="default"/>
      </w:rPr>
    </w:lvl>
    <w:lvl w:ilvl="2">
      <w:start w:val="1"/>
      <w:numFmt w:val="decimal"/>
      <w:lvlText w:val="%1.%2.%3"/>
      <w:lvlJc w:val="left"/>
      <w:pPr>
        <w:tabs>
          <w:tab w:val="num" w:pos="851"/>
        </w:tabs>
        <w:ind w:left="851" w:hanging="851"/>
      </w:pPr>
      <w:rPr>
        <w:rFonts w:cs="Times New Roman" w:hint="default"/>
      </w:rPr>
    </w:lvl>
    <w:lvl w:ilvl="3">
      <w:start w:val="1"/>
      <w:numFmt w:val="none"/>
      <w:suff w:val="nothing"/>
      <w:lvlText w:val=""/>
      <w:lvlJc w:val="left"/>
      <w:rPr>
        <w:rFonts w:cs="Times New Roman" w:hint="default"/>
      </w:rPr>
    </w:lvl>
    <w:lvl w:ilvl="4">
      <w:start w:val="1"/>
      <w:numFmt w:val="decimal"/>
      <w:lvlText w:val="(%5)"/>
      <w:lvlJc w:val="left"/>
      <w:pPr>
        <w:tabs>
          <w:tab w:val="num" w:pos="0"/>
        </w:tabs>
        <w:ind w:left="2410" w:hanging="708"/>
      </w:pPr>
      <w:rPr>
        <w:rFonts w:cs="Times New Roman" w:hint="default"/>
      </w:rPr>
    </w:lvl>
    <w:lvl w:ilvl="5">
      <w:start w:val="1"/>
      <w:numFmt w:val="lowerLetter"/>
      <w:pStyle w:val="Heading6"/>
      <w:lvlText w:val="(%6)"/>
      <w:lvlJc w:val="left"/>
      <w:pPr>
        <w:tabs>
          <w:tab w:val="num" w:pos="0"/>
        </w:tabs>
        <w:ind w:left="3118" w:hanging="708"/>
      </w:pPr>
      <w:rPr>
        <w:rFonts w:cs="Times New Roman" w:hint="default"/>
      </w:rPr>
    </w:lvl>
    <w:lvl w:ilvl="6">
      <w:start w:val="1"/>
      <w:numFmt w:val="lowerRoman"/>
      <w:lvlText w:val="(%7)"/>
      <w:lvlJc w:val="left"/>
      <w:pPr>
        <w:tabs>
          <w:tab w:val="num" w:pos="0"/>
        </w:tabs>
        <w:ind w:left="3826" w:hanging="708"/>
      </w:pPr>
      <w:rPr>
        <w:rFonts w:cs="Times New Roman" w:hint="default"/>
      </w:rPr>
    </w:lvl>
    <w:lvl w:ilvl="7">
      <w:start w:val="1"/>
      <w:numFmt w:val="lowerLetter"/>
      <w:pStyle w:val="Heading8"/>
      <w:lvlText w:val="(%8)"/>
      <w:lvlJc w:val="left"/>
      <w:pPr>
        <w:tabs>
          <w:tab w:val="num" w:pos="0"/>
        </w:tabs>
        <w:ind w:left="4534" w:hanging="708"/>
      </w:pPr>
      <w:rPr>
        <w:rFonts w:cs="Times New Roman" w:hint="default"/>
      </w:rPr>
    </w:lvl>
    <w:lvl w:ilvl="8">
      <w:start w:val="1"/>
      <w:numFmt w:val="lowerRoman"/>
      <w:pStyle w:val="Heading9"/>
      <w:lvlText w:val="(%9)"/>
      <w:lvlJc w:val="left"/>
      <w:pPr>
        <w:tabs>
          <w:tab w:val="num" w:pos="0"/>
        </w:tabs>
        <w:ind w:left="5242" w:hanging="708"/>
      </w:pPr>
      <w:rPr>
        <w:rFonts w:cs="Times New Roman" w:hint="default"/>
      </w:rPr>
    </w:lvl>
  </w:abstractNum>
  <w:abstractNum w:abstractNumId="27" w15:restartNumberingAfterBreak="0">
    <w:nsid w:val="75505ADC"/>
    <w:multiLevelType w:val="multilevel"/>
    <w:tmpl w:val="040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1"/>
  </w:num>
  <w:num w:numId="10">
    <w:abstractNumId w:val="0"/>
  </w:num>
  <w:num w:numId="11">
    <w:abstractNumId w:val="1"/>
  </w:num>
  <w:num w:numId="12">
    <w:abstractNumId w:val="0"/>
  </w:num>
  <w:num w:numId="13">
    <w:abstractNumId w:val="3"/>
  </w:num>
  <w:num w:numId="14">
    <w:abstractNumId w:val="6"/>
  </w:num>
  <w:num w:numId="15">
    <w:abstractNumId w:val="2"/>
  </w:num>
  <w:num w:numId="16">
    <w:abstractNumId w:val="26"/>
  </w:num>
  <w:num w:numId="17">
    <w:abstractNumId w:val="27"/>
  </w:num>
  <w:num w:numId="18">
    <w:abstractNumId w:val="12"/>
  </w:num>
  <w:num w:numId="19">
    <w:abstractNumId w:val="16"/>
  </w:num>
  <w:num w:numId="20">
    <w:abstractNumId w:val="14"/>
  </w:num>
  <w:num w:numId="21">
    <w:abstractNumId w:val="15"/>
  </w:num>
  <w:num w:numId="22">
    <w:abstractNumId w:val="10"/>
  </w:num>
  <w:num w:numId="23">
    <w:abstractNumId w:val="25"/>
  </w:num>
  <w:num w:numId="24">
    <w:abstractNumId w:val="18"/>
  </w:num>
  <w:num w:numId="25">
    <w:abstractNumId w:val="11"/>
  </w:num>
  <w:num w:numId="26">
    <w:abstractNumId w:val="13"/>
  </w:num>
  <w:num w:numId="27">
    <w:abstractNumId w:val="22"/>
  </w:num>
  <w:num w:numId="28">
    <w:abstractNumId w:val="17"/>
  </w:num>
  <w:num w:numId="29">
    <w:abstractNumId w:val="23"/>
  </w:num>
  <w:num w:numId="30">
    <w:abstractNumId w:val="20"/>
  </w:num>
  <w:num w:numId="31">
    <w:abstractNumId w:val="21"/>
  </w:num>
  <w:num w:numId="32">
    <w:abstractNumId w:val="19"/>
  </w:num>
  <w:num w:numId="33">
    <w:abstractNumId w:val="2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defaultTabStop w:val="425"/>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3C"/>
    <w:rsid w:val="00007EC8"/>
    <w:rsid w:val="00075691"/>
    <w:rsid w:val="0015064B"/>
    <w:rsid w:val="001751D2"/>
    <w:rsid w:val="001C2D30"/>
    <w:rsid w:val="001F3C31"/>
    <w:rsid w:val="001F4297"/>
    <w:rsid w:val="00207D41"/>
    <w:rsid w:val="00210611"/>
    <w:rsid w:val="002215E9"/>
    <w:rsid w:val="00241761"/>
    <w:rsid w:val="002879F9"/>
    <w:rsid w:val="002B2414"/>
    <w:rsid w:val="003761DB"/>
    <w:rsid w:val="003B6C81"/>
    <w:rsid w:val="003F637A"/>
    <w:rsid w:val="00401F4B"/>
    <w:rsid w:val="00407C3B"/>
    <w:rsid w:val="004B317C"/>
    <w:rsid w:val="005D6A9F"/>
    <w:rsid w:val="005F2CB3"/>
    <w:rsid w:val="006354BC"/>
    <w:rsid w:val="0065773C"/>
    <w:rsid w:val="00680A49"/>
    <w:rsid w:val="00682F6E"/>
    <w:rsid w:val="006A55DD"/>
    <w:rsid w:val="006D6C37"/>
    <w:rsid w:val="006F05D3"/>
    <w:rsid w:val="007355D6"/>
    <w:rsid w:val="0077117C"/>
    <w:rsid w:val="0083706B"/>
    <w:rsid w:val="0087149C"/>
    <w:rsid w:val="0088174A"/>
    <w:rsid w:val="0089593A"/>
    <w:rsid w:val="008A56A2"/>
    <w:rsid w:val="008B4B0F"/>
    <w:rsid w:val="008E3BE3"/>
    <w:rsid w:val="00935308"/>
    <w:rsid w:val="00964B11"/>
    <w:rsid w:val="00AA724A"/>
    <w:rsid w:val="00AB4138"/>
    <w:rsid w:val="00AD2884"/>
    <w:rsid w:val="00AF42BF"/>
    <w:rsid w:val="00BE4AA5"/>
    <w:rsid w:val="00CD403B"/>
    <w:rsid w:val="00D50BAD"/>
    <w:rsid w:val="00DB58F8"/>
    <w:rsid w:val="00DC1582"/>
    <w:rsid w:val="00EC7B41"/>
    <w:rsid w:val="00ED43DE"/>
    <w:rsid w:val="00EE4AA9"/>
    <w:rsid w:val="00EE5FD4"/>
    <w:rsid w:val="00F27173"/>
    <w:rsid w:val="00F55C0E"/>
    <w:rsid w:val="00F73118"/>
    <w:rsid w:val="00FD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02112FC4-29C9-4A26-9504-ECDE57A41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UY" w:eastAsia="es-UY"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0" w:lineRule="atLeast"/>
    </w:pPr>
    <w:rPr>
      <w:sz w:val="23"/>
      <w:lang w:val="en-GB" w:eastAsia="da-DK"/>
    </w:rPr>
  </w:style>
  <w:style w:type="paragraph" w:styleId="Heading1">
    <w:name w:val="heading 1"/>
    <w:basedOn w:val="Normal"/>
    <w:next w:val="BodyText"/>
    <w:link w:val="Heading1Char"/>
    <w:uiPriority w:val="99"/>
    <w:qFormat/>
    <w:pPr>
      <w:keepNext/>
      <w:keepLines/>
      <w:pageBreakBefore/>
      <w:numPr>
        <w:numId w:val="22"/>
      </w:numPr>
      <w:suppressAutoHyphens/>
      <w:spacing w:before="2680" w:after="130" w:line="320" w:lineRule="exact"/>
      <w:outlineLvl w:val="0"/>
    </w:pPr>
    <w:rPr>
      <w:rFonts w:ascii="Arial" w:hAnsi="Arial" w:cs="Arial"/>
      <w:b/>
      <w:sz w:val="32"/>
    </w:rPr>
  </w:style>
  <w:style w:type="paragraph" w:styleId="Heading2">
    <w:name w:val="heading 2"/>
    <w:basedOn w:val="Heading1"/>
    <w:next w:val="BodyText"/>
    <w:link w:val="Heading2Char"/>
    <w:uiPriority w:val="99"/>
    <w:qFormat/>
    <w:pPr>
      <w:pageBreakBefore w:val="0"/>
      <w:numPr>
        <w:ilvl w:val="1"/>
      </w:numPr>
      <w:tabs>
        <w:tab w:val="num" w:pos="1492"/>
      </w:tabs>
      <w:spacing w:before="540" w:after="90" w:line="270" w:lineRule="exact"/>
      <w:ind w:left="1492" w:hanging="360"/>
      <w:outlineLvl w:val="1"/>
    </w:pPr>
    <w:rPr>
      <w:sz w:val="27"/>
    </w:rPr>
  </w:style>
  <w:style w:type="paragraph" w:styleId="Heading3">
    <w:name w:val="heading 3"/>
    <w:basedOn w:val="Heading2"/>
    <w:next w:val="BodyText"/>
    <w:link w:val="Heading3Char"/>
    <w:uiPriority w:val="99"/>
    <w:qFormat/>
    <w:pPr>
      <w:numPr>
        <w:ilvl w:val="2"/>
      </w:numPr>
      <w:spacing w:after="60"/>
      <w:ind w:left="1492" w:hanging="360"/>
      <w:outlineLvl w:val="2"/>
    </w:pPr>
    <w:rPr>
      <w:sz w:val="23"/>
    </w:rPr>
  </w:style>
  <w:style w:type="paragraph" w:styleId="Heading4">
    <w:name w:val="heading 4"/>
    <w:basedOn w:val="Normal"/>
    <w:next w:val="BodyText"/>
    <w:link w:val="Heading4Char"/>
    <w:uiPriority w:val="99"/>
    <w:qFormat/>
    <w:pPr>
      <w:keepNext/>
      <w:keepLines/>
      <w:outlineLvl w:val="3"/>
    </w:pPr>
    <w:rPr>
      <w:rFonts w:ascii="Arial" w:hAnsi="Arial"/>
      <w:b/>
      <w:sz w:val="20"/>
    </w:rPr>
  </w:style>
  <w:style w:type="paragraph" w:styleId="Heading5">
    <w:name w:val="heading 5"/>
    <w:basedOn w:val="Normal"/>
    <w:next w:val="Normal"/>
    <w:link w:val="Heading5Char"/>
    <w:uiPriority w:val="99"/>
    <w:qFormat/>
    <w:pPr>
      <w:keepNext/>
      <w:spacing w:before="240" w:after="60"/>
      <w:outlineLvl w:val="4"/>
    </w:pPr>
    <w:rPr>
      <w:rFonts w:ascii="Arial" w:hAnsi="Arial"/>
      <w:b/>
      <w:sz w:val="20"/>
    </w:rPr>
  </w:style>
  <w:style w:type="paragraph" w:styleId="Heading6">
    <w:name w:val="heading 6"/>
    <w:basedOn w:val="Normal"/>
    <w:next w:val="Normal"/>
    <w:link w:val="Heading6Char"/>
    <w:uiPriority w:val="99"/>
    <w:qFormat/>
    <w:pPr>
      <w:numPr>
        <w:ilvl w:val="5"/>
        <w:numId w:val="16"/>
      </w:numPr>
      <w:spacing w:before="240" w:after="60"/>
      <w:outlineLvl w:val="5"/>
    </w:pPr>
    <w:rPr>
      <w:rFonts w:ascii="Arial" w:hAnsi="Arial"/>
      <w:i/>
      <w:sz w:val="22"/>
    </w:rPr>
  </w:style>
  <w:style w:type="paragraph" w:styleId="Heading7">
    <w:name w:val="heading 7"/>
    <w:basedOn w:val="Normal"/>
    <w:next w:val="BodyText"/>
    <w:link w:val="Heading7Char"/>
    <w:uiPriority w:val="99"/>
    <w:qFormat/>
    <w:pPr>
      <w:keepNext/>
      <w:keepLines/>
      <w:pageBreakBefore/>
      <w:suppressAutoHyphens/>
      <w:spacing w:after="130" w:line="320" w:lineRule="exact"/>
      <w:outlineLvl w:val="6"/>
    </w:pPr>
    <w:rPr>
      <w:rFonts w:ascii="Arial" w:hAnsi="Arial"/>
      <w:b/>
      <w:sz w:val="32"/>
      <w:szCs w:val="32"/>
    </w:rPr>
  </w:style>
  <w:style w:type="paragraph" w:styleId="Heading8">
    <w:name w:val="heading 8"/>
    <w:basedOn w:val="Normal"/>
    <w:next w:val="Normal"/>
    <w:link w:val="Heading8Char"/>
    <w:uiPriority w:val="99"/>
    <w:qFormat/>
    <w:pPr>
      <w:numPr>
        <w:ilvl w:val="7"/>
        <w:numId w:val="16"/>
      </w:numPr>
      <w:spacing w:before="240" w:after="60"/>
      <w:outlineLvl w:val="7"/>
    </w:pPr>
    <w:rPr>
      <w:rFonts w:ascii="Arial" w:hAnsi="Arial"/>
      <w:i/>
    </w:rPr>
  </w:style>
  <w:style w:type="paragraph" w:styleId="Heading9">
    <w:name w:val="heading 9"/>
    <w:basedOn w:val="Normal"/>
    <w:next w:val="Normal"/>
    <w:link w:val="Heading9Char"/>
    <w:uiPriority w:val="99"/>
    <w:qFormat/>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Arial" w:hAnsi="Arial" w:cs="Arial"/>
      <w:b/>
      <w:sz w:val="32"/>
      <w:szCs w:val="20"/>
      <w:lang w:val="en-GB" w:eastAsia="da-DK"/>
    </w:rPr>
  </w:style>
  <w:style w:type="character" w:customStyle="1" w:styleId="Heading2Char">
    <w:name w:val="Heading 2 Char"/>
    <w:link w:val="Heading2"/>
    <w:uiPriority w:val="99"/>
    <w:locked/>
    <w:rPr>
      <w:rFonts w:ascii="Arial" w:hAnsi="Arial" w:cs="Arial"/>
      <w:b/>
      <w:sz w:val="27"/>
      <w:szCs w:val="20"/>
      <w:lang w:val="en-GB" w:eastAsia="da-DK"/>
    </w:rPr>
  </w:style>
  <w:style w:type="character" w:customStyle="1" w:styleId="Heading3Char">
    <w:name w:val="Heading 3 Char"/>
    <w:link w:val="Heading3"/>
    <w:uiPriority w:val="99"/>
    <w:locked/>
    <w:rPr>
      <w:rFonts w:ascii="Arial" w:hAnsi="Arial" w:cs="Arial"/>
      <w:b/>
      <w:sz w:val="23"/>
      <w:szCs w:val="20"/>
      <w:lang w:val="en-GB" w:eastAsia="da-DK"/>
    </w:rPr>
  </w:style>
  <w:style w:type="character" w:customStyle="1" w:styleId="Heading4Char">
    <w:name w:val="Heading 4 Char"/>
    <w:link w:val="Heading4"/>
    <w:uiPriority w:val="99"/>
    <w:semiHidden/>
    <w:locked/>
    <w:rPr>
      <w:rFonts w:ascii="Calibri" w:eastAsia="SimSun" w:hAnsi="Calibri" w:cs="Arial"/>
      <w:b/>
      <w:bCs/>
      <w:sz w:val="28"/>
      <w:szCs w:val="28"/>
      <w:lang w:val="en-GB" w:eastAsia="da-DK"/>
    </w:rPr>
  </w:style>
  <w:style w:type="character" w:customStyle="1" w:styleId="Heading5Char">
    <w:name w:val="Heading 5 Char"/>
    <w:link w:val="Heading5"/>
    <w:uiPriority w:val="99"/>
    <w:semiHidden/>
    <w:locked/>
    <w:rPr>
      <w:rFonts w:ascii="Calibri" w:eastAsia="SimSun" w:hAnsi="Calibri" w:cs="Arial"/>
      <w:b/>
      <w:bCs/>
      <w:i/>
      <w:iCs/>
      <w:sz w:val="26"/>
      <w:szCs w:val="26"/>
      <w:lang w:val="en-GB" w:eastAsia="da-DK"/>
    </w:rPr>
  </w:style>
  <w:style w:type="character" w:customStyle="1" w:styleId="Heading6Char">
    <w:name w:val="Heading 6 Char"/>
    <w:link w:val="Heading6"/>
    <w:uiPriority w:val="99"/>
    <w:locked/>
    <w:rPr>
      <w:rFonts w:ascii="Arial" w:hAnsi="Arial"/>
      <w:i/>
      <w:szCs w:val="20"/>
      <w:lang w:val="en-GB" w:eastAsia="da-DK"/>
    </w:rPr>
  </w:style>
  <w:style w:type="character" w:customStyle="1" w:styleId="Heading7Char">
    <w:name w:val="Heading 7 Char"/>
    <w:link w:val="Heading7"/>
    <w:uiPriority w:val="99"/>
    <w:semiHidden/>
    <w:locked/>
    <w:rPr>
      <w:rFonts w:ascii="Calibri" w:eastAsia="SimSun" w:hAnsi="Calibri" w:cs="Arial"/>
      <w:sz w:val="24"/>
      <w:szCs w:val="24"/>
      <w:lang w:val="en-GB" w:eastAsia="da-DK"/>
    </w:rPr>
  </w:style>
  <w:style w:type="character" w:customStyle="1" w:styleId="Heading8Char">
    <w:name w:val="Heading 8 Char"/>
    <w:link w:val="Heading8"/>
    <w:uiPriority w:val="99"/>
    <w:locked/>
    <w:rPr>
      <w:rFonts w:ascii="Arial" w:hAnsi="Arial"/>
      <w:i/>
      <w:sz w:val="23"/>
      <w:szCs w:val="20"/>
      <w:lang w:val="en-GB" w:eastAsia="da-DK"/>
    </w:rPr>
  </w:style>
  <w:style w:type="character" w:customStyle="1" w:styleId="Heading9Char">
    <w:name w:val="Heading 9 Char"/>
    <w:link w:val="Heading9"/>
    <w:uiPriority w:val="99"/>
    <w:locked/>
    <w:rPr>
      <w:rFonts w:ascii="Arial" w:hAnsi="Arial"/>
      <w:i/>
      <w:sz w:val="18"/>
      <w:szCs w:val="20"/>
      <w:lang w:val="en-GB" w:eastAsia="da-DK"/>
    </w:rPr>
  </w:style>
  <w:style w:type="paragraph" w:styleId="Header">
    <w:name w:val="header"/>
    <w:basedOn w:val="HeaderEven"/>
    <w:link w:val="HeaderChar"/>
    <w:uiPriority w:val="99"/>
    <w:rPr>
      <w:rFonts w:ascii="Arial" w:hAnsi="Arial" w:cs="Arial"/>
      <w:sz w:val="16"/>
    </w:rPr>
  </w:style>
  <w:style w:type="character" w:customStyle="1" w:styleId="HeaderChar">
    <w:name w:val="Header Char"/>
    <w:link w:val="Header"/>
    <w:uiPriority w:val="99"/>
    <w:semiHidden/>
    <w:locked/>
    <w:rPr>
      <w:rFonts w:cs="Times New Roman"/>
      <w:sz w:val="20"/>
      <w:szCs w:val="20"/>
      <w:lang w:val="en-GB" w:eastAsia="da-DK"/>
    </w:rPr>
  </w:style>
  <w:style w:type="paragraph" w:styleId="BodyText">
    <w:name w:val="Body Text"/>
    <w:aliases w:val="Body Text Char2,Body Text Char1 Char,Body Text Char2 Char Char,Body Text Char1 Char Char Char,Body Text Char3 Char Char Char Char,Body Text Char2 Char Char Char Char Char,Body Text Char1 Char Char Char Char Char Char"/>
    <w:basedOn w:val="Normal"/>
    <w:link w:val="BodyTextChar"/>
    <w:uiPriority w:val="99"/>
    <w:pPr>
      <w:spacing w:after="270"/>
    </w:pPr>
  </w:style>
  <w:style w:type="character" w:customStyle="1" w:styleId="BodyTextChar">
    <w:name w:val="Body Text Char"/>
    <w:aliases w:val="Body Text Char2 Char,Body Text Char1 Char Char,Body Text Char2 Char Char Char,Body Text Char1 Char Char Char Char,Body Text Char3 Char Char Char Char Char,Body Text Char2 Char Char Char Char Char Char"/>
    <w:link w:val="BodyText"/>
    <w:uiPriority w:val="99"/>
    <w:locked/>
    <w:rPr>
      <w:rFonts w:cs="Times New Roman"/>
      <w:sz w:val="20"/>
      <w:szCs w:val="20"/>
      <w:lang w:val="en-GB" w:eastAsia="da-DK"/>
    </w:rPr>
  </w:style>
  <w:style w:type="paragraph" w:customStyle="1" w:styleId="BodyMargin">
    <w:name w:val="Body Margin"/>
    <w:basedOn w:val="BodyText"/>
    <w:next w:val="BodyText"/>
    <w:uiPriority w:val="99"/>
    <w:pPr>
      <w:ind w:hanging="2268"/>
    </w:pPr>
  </w:style>
  <w:style w:type="paragraph" w:styleId="Footer">
    <w:name w:val="footer"/>
    <w:basedOn w:val="Normal"/>
    <w:link w:val="FooterChar"/>
    <w:uiPriority w:val="99"/>
    <w:semiHidden/>
    <w:pPr>
      <w:tabs>
        <w:tab w:val="right" w:pos="7371"/>
      </w:tabs>
      <w:ind w:left="-2268" w:right="851"/>
    </w:pPr>
    <w:rPr>
      <w:rFonts w:ascii="Arial" w:hAnsi="Arial" w:cs="Arial"/>
      <w:noProof/>
      <w:sz w:val="12"/>
    </w:rPr>
  </w:style>
  <w:style w:type="character" w:customStyle="1" w:styleId="FooterChar">
    <w:name w:val="Footer Char"/>
    <w:link w:val="Footer"/>
    <w:uiPriority w:val="99"/>
    <w:semiHidden/>
    <w:locked/>
    <w:rPr>
      <w:rFonts w:cs="Times New Roman"/>
      <w:sz w:val="20"/>
      <w:szCs w:val="20"/>
      <w:lang w:val="en-GB" w:eastAsia="da-DK"/>
    </w:rPr>
  </w:style>
  <w:style w:type="paragraph" w:customStyle="1" w:styleId="MarginFrame">
    <w:name w:val="Margin Frame"/>
    <w:basedOn w:val="Normal"/>
    <w:uiPriority w:val="99"/>
    <w:pPr>
      <w:keepNext/>
      <w:keepLines/>
      <w:framePr w:w="1985" w:wrap="around" w:vAnchor="text" w:hAnchor="margin" w:x="-2267" w:y="1"/>
    </w:pPr>
  </w:style>
  <w:style w:type="paragraph" w:styleId="TOC1">
    <w:name w:val="toc 1"/>
    <w:basedOn w:val="Normal"/>
    <w:next w:val="Normal"/>
    <w:uiPriority w:val="39"/>
    <w:pPr>
      <w:keepNext/>
      <w:keepLines/>
      <w:tabs>
        <w:tab w:val="right" w:pos="7371"/>
      </w:tabs>
      <w:suppressAutoHyphens/>
      <w:spacing w:before="400" w:after="80" w:line="240" w:lineRule="exact"/>
      <w:ind w:left="851" w:right="1134" w:hanging="851"/>
    </w:pPr>
    <w:rPr>
      <w:rFonts w:ascii="Arial" w:hAnsi="Arial" w:cs="Arial"/>
      <w:b/>
    </w:rPr>
  </w:style>
  <w:style w:type="paragraph" w:customStyle="1" w:styleId="BodyTextNoSpace">
    <w:name w:val="Body Text NoSpace"/>
    <w:basedOn w:val="BodyText"/>
    <w:uiPriority w:val="99"/>
    <w:pPr>
      <w:spacing w:after="0"/>
    </w:pPr>
  </w:style>
  <w:style w:type="paragraph" w:customStyle="1" w:styleId="BodyMarginNoSpace">
    <w:name w:val="Body Margin NoSpace"/>
    <w:basedOn w:val="BodyMargin"/>
    <w:next w:val="BodyTextNoSpace"/>
    <w:uiPriority w:val="99"/>
    <w:pPr>
      <w:spacing w:after="0"/>
    </w:pPr>
  </w:style>
  <w:style w:type="paragraph" w:styleId="TOC2">
    <w:name w:val="toc 2"/>
    <w:basedOn w:val="TOC1"/>
    <w:next w:val="Normal"/>
    <w:uiPriority w:val="39"/>
    <w:pPr>
      <w:keepNext w:val="0"/>
      <w:spacing w:before="0"/>
    </w:pPr>
    <w:rPr>
      <w:b w:val="0"/>
    </w:rPr>
  </w:style>
  <w:style w:type="paragraph" w:styleId="ListBullet">
    <w:name w:val="List Bullet"/>
    <w:basedOn w:val="BodyText"/>
    <w:uiPriority w:val="99"/>
    <w:pPr>
      <w:tabs>
        <w:tab w:val="left" w:pos="425"/>
      </w:tabs>
      <w:ind w:left="425" w:hanging="425"/>
    </w:pPr>
  </w:style>
  <w:style w:type="paragraph" w:styleId="ListBullet2">
    <w:name w:val="List Bullet 2"/>
    <w:basedOn w:val="ListBullet"/>
    <w:uiPriority w:val="99"/>
    <w:pPr>
      <w:numPr>
        <w:ilvl w:val="1"/>
      </w:numPr>
      <w:tabs>
        <w:tab w:val="clear" w:pos="425"/>
        <w:tab w:val="num" w:pos="851"/>
      </w:tabs>
      <w:ind w:left="851" w:hanging="426"/>
    </w:pPr>
  </w:style>
  <w:style w:type="paragraph" w:styleId="Caption">
    <w:name w:val="caption"/>
    <w:basedOn w:val="Normal"/>
    <w:next w:val="BodyText"/>
    <w:uiPriority w:val="99"/>
    <w:qFormat/>
    <w:pPr>
      <w:spacing w:before="140" w:after="140" w:line="250" w:lineRule="atLeast"/>
      <w:ind w:left="1276" w:hanging="1276"/>
    </w:pPr>
    <w:rPr>
      <w:i/>
      <w:sz w:val="21"/>
    </w:rPr>
  </w:style>
  <w:style w:type="paragraph" w:styleId="ListContinue">
    <w:name w:val="List Continue"/>
    <w:basedOn w:val="BodyText"/>
    <w:uiPriority w:val="99"/>
    <w:pPr>
      <w:ind w:left="425"/>
    </w:pPr>
  </w:style>
  <w:style w:type="paragraph" w:styleId="ListContinue2">
    <w:name w:val="List Continue 2"/>
    <w:basedOn w:val="ListContinue"/>
    <w:uiPriority w:val="99"/>
    <w:pPr>
      <w:ind w:left="851"/>
    </w:pPr>
  </w:style>
  <w:style w:type="paragraph" w:styleId="ListNumber">
    <w:name w:val="List Number"/>
    <w:basedOn w:val="BodyText"/>
    <w:uiPriority w:val="99"/>
    <w:pPr>
      <w:tabs>
        <w:tab w:val="num" w:pos="425"/>
      </w:tabs>
      <w:ind w:left="425" w:hanging="425"/>
    </w:pPr>
  </w:style>
  <w:style w:type="paragraph" w:styleId="ListNumber2">
    <w:name w:val="List Number 2"/>
    <w:basedOn w:val="ListNumber"/>
    <w:uiPriority w:val="99"/>
    <w:pPr>
      <w:numPr>
        <w:ilvl w:val="1"/>
      </w:numPr>
      <w:tabs>
        <w:tab w:val="num" w:pos="425"/>
        <w:tab w:val="num" w:pos="851"/>
      </w:tabs>
      <w:ind w:left="851" w:hanging="426"/>
    </w:pPr>
  </w:style>
  <w:style w:type="paragraph" w:customStyle="1" w:styleId="ListContinueNoSpace">
    <w:name w:val="List Continue NoSpace"/>
    <w:basedOn w:val="ListContinue"/>
    <w:uiPriority w:val="99"/>
    <w:pPr>
      <w:spacing w:after="0"/>
    </w:pPr>
  </w:style>
  <w:style w:type="paragraph" w:customStyle="1" w:styleId="ListContinue2NoSpace">
    <w:name w:val="List Continue 2 NoSpace"/>
    <w:basedOn w:val="ListContinue2"/>
    <w:uiPriority w:val="99"/>
    <w:pPr>
      <w:spacing w:after="0"/>
    </w:pPr>
  </w:style>
  <w:style w:type="paragraph" w:customStyle="1" w:styleId="ListBulletNoSpace">
    <w:name w:val="List Bullet NoSpace"/>
    <w:basedOn w:val="ListBullet"/>
    <w:uiPriority w:val="99"/>
    <w:pPr>
      <w:spacing w:after="0"/>
    </w:pPr>
  </w:style>
  <w:style w:type="paragraph" w:customStyle="1" w:styleId="ListHanging">
    <w:name w:val="List Hanging"/>
    <w:basedOn w:val="BodyText"/>
    <w:uiPriority w:val="99"/>
    <w:pPr>
      <w:ind w:left="1701" w:hanging="1701"/>
    </w:pPr>
  </w:style>
  <w:style w:type="paragraph" w:customStyle="1" w:styleId="ListHangingNoSpace">
    <w:name w:val="List Hanging NoSpace"/>
    <w:basedOn w:val="ListHanging"/>
    <w:uiPriority w:val="99"/>
    <w:pPr>
      <w:spacing w:after="0"/>
    </w:pPr>
  </w:style>
  <w:style w:type="paragraph" w:customStyle="1" w:styleId="Table">
    <w:name w:val="Table"/>
    <w:basedOn w:val="Normal"/>
    <w:uiPriority w:val="99"/>
    <w:pPr>
      <w:spacing w:before="60" w:after="120" w:line="220" w:lineRule="atLeast"/>
    </w:pPr>
    <w:rPr>
      <w:rFonts w:ascii="Arial" w:hAnsi="Arial" w:cs="Arial"/>
      <w:sz w:val="18"/>
    </w:rPr>
  </w:style>
  <w:style w:type="paragraph" w:styleId="TOC3">
    <w:name w:val="toc 3"/>
    <w:basedOn w:val="TOC2"/>
    <w:next w:val="Normal"/>
    <w:uiPriority w:val="99"/>
  </w:style>
  <w:style w:type="paragraph" w:styleId="Signature">
    <w:name w:val="Signature"/>
    <w:basedOn w:val="BodyText"/>
    <w:link w:val="SignatureChar"/>
    <w:uiPriority w:val="99"/>
    <w:semiHidden/>
    <w:pPr>
      <w:spacing w:after="0" w:line="220" w:lineRule="atLeast"/>
    </w:pPr>
    <w:rPr>
      <w:sz w:val="18"/>
    </w:rPr>
  </w:style>
  <w:style w:type="character" w:customStyle="1" w:styleId="SignatureChar">
    <w:name w:val="Signature Char"/>
    <w:link w:val="Signature"/>
    <w:uiPriority w:val="99"/>
    <w:semiHidden/>
    <w:locked/>
    <w:rPr>
      <w:rFonts w:cs="Times New Roman"/>
      <w:sz w:val="20"/>
      <w:szCs w:val="20"/>
      <w:lang w:val="en-GB" w:eastAsia="da-DK"/>
    </w:rPr>
  </w:style>
  <w:style w:type="table" w:styleId="TableGrid6">
    <w:name w:val="Table Grid 6"/>
    <w:basedOn w:val="TableNormal"/>
    <w:uiPriority w:val="99"/>
    <w:semiHidden/>
    <w:pPr>
      <w:spacing w:line="27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FrontPage1">
    <w:name w:val="FrontPage1"/>
    <w:basedOn w:val="Normal"/>
    <w:next w:val="BodyText"/>
    <w:uiPriority w:val="99"/>
    <w:semiHidden/>
    <w:pPr>
      <w:suppressAutoHyphens/>
      <w:spacing w:after="160" w:line="320" w:lineRule="exact"/>
    </w:pPr>
    <w:rPr>
      <w:rFonts w:ascii="Arial" w:hAnsi="Arial" w:cs="Arial"/>
      <w:sz w:val="28"/>
    </w:rPr>
  </w:style>
  <w:style w:type="paragraph" w:customStyle="1" w:styleId="CowiTitle">
    <w:name w:val="CowiTitle"/>
    <w:basedOn w:val="FrontPage2"/>
    <w:next w:val="BodyText"/>
    <w:uiPriority w:val="99"/>
    <w:semiHidden/>
  </w:style>
  <w:style w:type="paragraph" w:styleId="ListBullet3">
    <w:name w:val="List Bullet 3"/>
    <w:basedOn w:val="ListBullet2"/>
    <w:uiPriority w:val="99"/>
    <w:pPr>
      <w:numPr>
        <w:ilvl w:val="2"/>
      </w:numPr>
      <w:tabs>
        <w:tab w:val="num" w:pos="851"/>
        <w:tab w:val="left" w:pos="1276"/>
      </w:tabs>
      <w:ind w:left="1276" w:hanging="425"/>
    </w:pPr>
  </w:style>
  <w:style w:type="paragraph" w:styleId="ListContinue3">
    <w:name w:val="List Continue 3"/>
    <w:basedOn w:val="ListContinue2"/>
    <w:uiPriority w:val="99"/>
    <w:pPr>
      <w:ind w:left="1276"/>
    </w:pPr>
  </w:style>
  <w:style w:type="paragraph" w:styleId="ListNumber3">
    <w:name w:val="List Number 3"/>
    <w:basedOn w:val="ListNumber2"/>
    <w:uiPriority w:val="99"/>
    <w:pPr>
      <w:numPr>
        <w:ilvl w:val="2"/>
      </w:numPr>
      <w:tabs>
        <w:tab w:val="num" w:pos="425"/>
        <w:tab w:val="left" w:pos="1276"/>
      </w:tabs>
      <w:ind w:left="1276" w:hanging="425"/>
    </w:pPr>
  </w:style>
  <w:style w:type="paragraph" w:customStyle="1" w:styleId="ListBullet2NoSpace">
    <w:name w:val="List Bullet 2 NoSpace"/>
    <w:basedOn w:val="ListBullet2"/>
    <w:uiPriority w:val="99"/>
    <w:pPr>
      <w:spacing w:after="0"/>
      <w:ind w:left="850" w:hanging="425"/>
    </w:pPr>
  </w:style>
  <w:style w:type="paragraph" w:customStyle="1" w:styleId="ListContinue3NoSpace">
    <w:name w:val="List Continue 3 NoSpace"/>
    <w:basedOn w:val="ListContinue3"/>
    <w:uiPriority w:val="99"/>
    <w:pPr>
      <w:spacing w:after="0"/>
    </w:pPr>
  </w:style>
  <w:style w:type="paragraph" w:customStyle="1" w:styleId="ListBullet3NoSpace">
    <w:name w:val="List Bullet 3 NoSpace"/>
    <w:basedOn w:val="ListBullet3"/>
    <w:uiPriority w:val="99"/>
    <w:pPr>
      <w:spacing w:after="0"/>
    </w:pPr>
  </w:style>
  <w:style w:type="paragraph" w:customStyle="1" w:styleId="ListContinue0">
    <w:name w:val="List Continue 0"/>
    <w:basedOn w:val="ListContinue"/>
    <w:uiPriority w:val="99"/>
    <w:pPr>
      <w:ind w:left="0"/>
    </w:pPr>
  </w:style>
  <w:style w:type="paragraph" w:customStyle="1" w:styleId="ListContinue0NoSpace">
    <w:name w:val="List Continue 0 NoSpace"/>
    <w:basedOn w:val="ListContinue0"/>
    <w:uiPriority w:val="99"/>
    <w:pPr>
      <w:spacing w:after="0"/>
    </w:pPr>
  </w:style>
  <w:style w:type="paragraph" w:customStyle="1" w:styleId="CaptionMargin">
    <w:name w:val="Caption Margin"/>
    <w:basedOn w:val="Caption"/>
    <w:next w:val="BodyText"/>
    <w:uiPriority w:val="99"/>
    <w:pPr>
      <w:ind w:left="-992"/>
    </w:pPr>
  </w:style>
  <w:style w:type="paragraph" w:customStyle="1" w:styleId="CowiDate">
    <w:name w:val="CowiDate"/>
    <w:basedOn w:val="FrontPageFrame"/>
    <w:next w:val="FrontPageFrame"/>
    <w:uiPriority w:val="99"/>
    <w:semiHidden/>
    <w:pPr>
      <w:framePr w:wrap="around"/>
    </w:pPr>
  </w:style>
  <w:style w:type="paragraph" w:customStyle="1" w:styleId="CowiAuthor">
    <w:name w:val="CowiAuthor"/>
    <w:basedOn w:val="FrontPageFrame"/>
    <w:next w:val="FrontPageFrame"/>
    <w:uiPriority w:val="99"/>
    <w:semiHidden/>
    <w:pPr>
      <w:framePr w:wrap="around"/>
    </w:pPr>
  </w:style>
  <w:style w:type="paragraph" w:customStyle="1" w:styleId="CowiClient">
    <w:name w:val="CowiClient"/>
    <w:basedOn w:val="FrontPage1"/>
    <w:next w:val="BlockText"/>
    <w:uiPriority w:val="99"/>
    <w:semiHidden/>
  </w:style>
  <w:style w:type="paragraph" w:styleId="TOC7">
    <w:name w:val="toc 7"/>
    <w:basedOn w:val="TOC2"/>
    <w:next w:val="Normal"/>
    <w:uiPriority w:val="99"/>
    <w:semiHidden/>
    <w:pPr>
      <w:ind w:right="0"/>
    </w:pPr>
  </w:style>
  <w:style w:type="paragraph" w:customStyle="1" w:styleId="HeaderFirstLogo">
    <w:name w:val="HeaderFirstLogo"/>
    <w:basedOn w:val="Normal"/>
    <w:next w:val="Normal"/>
    <w:uiPriority w:val="99"/>
    <w:semiHidden/>
    <w:pPr>
      <w:framePr w:w="3799" w:wrap="around" w:vAnchor="page" w:hAnchor="page" w:xAlign="right" w:y="795"/>
    </w:pPr>
  </w:style>
  <w:style w:type="paragraph" w:customStyle="1" w:styleId="HeaderFrame">
    <w:name w:val="HeaderFrame"/>
    <w:basedOn w:val="Normal"/>
    <w:next w:val="Normal"/>
    <w:uiPriority w:val="99"/>
    <w:semiHidden/>
    <w:pPr>
      <w:framePr w:hSpace="284" w:wrap="around" w:vAnchor="text" w:hAnchor="margin" w:xAlign="right" w:y="1"/>
    </w:pPr>
  </w:style>
  <w:style w:type="paragraph" w:customStyle="1" w:styleId="FooterFrame">
    <w:name w:val="FooterFrame"/>
    <w:basedOn w:val="Normal"/>
    <w:next w:val="Normal"/>
    <w:uiPriority w:val="99"/>
    <w:semiHidden/>
    <w:pPr>
      <w:framePr w:hSpace="284" w:wrap="around" w:vAnchor="text" w:hAnchor="margin" w:xAlign="right" w:y="1"/>
    </w:pPr>
    <w:rPr>
      <w:rFonts w:ascii="Arial" w:hAnsi="Arial" w:cs="Arial"/>
      <w:noProof/>
      <w:sz w:val="12"/>
    </w:rPr>
  </w:style>
  <w:style w:type="paragraph" w:customStyle="1" w:styleId="FrontPage2">
    <w:name w:val="FrontPage2"/>
    <w:basedOn w:val="FrontPage1"/>
    <w:next w:val="BodyText"/>
    <w:uiPriority w:val="99"/>
    <w:semiHidden/>
    <w:pPr>
      <w:spacing w:line="400" w:lineRule="exact"/>
    </w:pPr>
    <w:rPr>
      <w:rFonts w:ascii="Arial Black" w:hAnsi="Arial Black"/>
      <w:sz w:val="36"/>
    </w:rPr>
  </w:style>
  <w:style w:type="paragraph" w:customStyle="1" w:styleId="FrontPage3">
    <w:name w:val="FrontPage3"/>
    <w:basedOn w:val="FrontPage1"/>
    <w:next w:val="BlockText"/>
    <w:uiPriority w:val="99"/>
    <w:semiHidden/>
    <w:pPr>
      <w:spacing w:before="320" w:after="0"/>
    </w:pPr>
    <w:rPr>
      <w:sz w:val="20"/>
    </w:rPr>
  </w:style>
  <w:style w:type="paragraph" w:styleId="BlockText">
    <w:name w:val="Block Text"/>
    <w:basedOn w:val="Normal"/>
    <w:uiPriority w:val="99"/>
    <w:semiHidden/>
    <w:pPr>
      <w:spacing w:after="120"/>
      <w:ind w:left="1440" w:right="1440"/>
    </w:pPr>
  </w:style>
  <w:style w:type="paragraph" w:customStyle="1" w:styleId="FrontPageFrame">
    <w:name w:val="FrontPageFrame"/>
    <w:basedOn w:val="Normal"/>
    <w:uiPriority w:val="99"/>
    <w:semiHidden/>
    <w:pPr>
      <w:framePr w:wrap="around" w:hAnchor="margin" w:x="-2267" w:yAlign="bottom"/>
      <w:tabs>
        <w:tab w:val="left" w:pos="1134"/>
      </w:tabs>
      <w:spacing w:line="240" w:lineRule="atLeast"/>
    </w:pPr>
    <w:rPr>
      <w:rFonts w:ascii="Arial" w:hAnsi="Arial" w:cs="Arial"/>
      <w:sz w:val="14"/>
    </w:rPr>
  </w:style>
  <w:style w:type="paragraph" w:customStyle="1" w:styleId="ContentsPage">
    <w:name w:val="ContentsPage"/>
    <w:basedOn w:val="Normal"/>
    <w:next w:val="BodyText"/>
    <w:uiPriority w:val="99"/>
    <w:semiHidden/>
    <w:pPr>
      <w:pageBreakBefore/>
      <w:suppressAutoHyphens/>
      <w:spacing w:before="2680" w:line="320" w:lineRule="exact"/>
    </w:pPr>
    <w:rPr>
      <w:rFonts w:ascii="Arial Black" w:hAnsi="Arial Black"/>
      <w:b/>
      <w:sz w:val="32"/>
    </w:rPr>
  </w:style>
  <w:style w:type="paragraph" w:customStyle="1" w:styleId="AppendixPage">
    <w:name w:val="AppendixPage"/>
    <w:basedOn w:val="ContentsPage"/>
    <w:next w:val="BodyTextNoSpace"/>
    <w:uiPriority w:val="99"/>
    <w:semiHidden/>
    <w:pPr>
      <w:pageBreakBefore w:val="0"/>
      <w:spacing w:before="120" w:after="320"/>
    </w:pPr>
  </w:style>
  <w:style w:type="paragraph" w:customStyle="1" w:styleId="Appendix">
    <w:name w:val="Appendix"/>
    <w:basedOn w:val="Normal"/>
    <w:next w:val="BodyText"/>
    <w:uiPriority w:val="99"/>
    <w:semiHidden/>
    <w:pPr>
      <w:keepNext/>
      <w:keepLines/>
      <w:pageBreakBefore/>
      <w:suppressAutoHyphens/>
      <w:spacing w:after="130" w:line="320" w:lineRule="exact"/>
      <w:outlineLvl w:val="6"/>
    </w:pPr>
    <w:rPr>
      <w:rFonts w:ascii="Arial" w:hAnsi="Arial" w:cs="Arial"/>
      <w:b/>
      <w:sz w:val="32"/>
    </w:rPr>
  </w:style>
  <w:style w:type="paragraph" w:customStyle="1" w:styleId="HeaderFrameEven">
    <w:name w:val="HeaderFrameEven"/>
    <w:basedOn w:val="HeaderFrame"/>
    <w:uiPriority w:val="99"/>
    <w:semiHidden/>
    <w:pPr>
      <w:framePr w:wrap="around"/>
    </w:pPr>
    <w:rPr>
      <w:rFonts w:ascii="Arial" w:hAnsi="Arial" w:cs="Arial"/>
      <w:sz w:val="16"/>
    </w:rPr>
  </w:style>
  <w:style w:type="paragraph" w:customStyle="1" w:styleId="HeaderEven">
    <w:name w:val="HeaderEven"/>
    <w:basedOn w:val="Normal"/>
    <w:uiPriority w:val="99"/>
    <w:semiHidden/>
    <w:pPr>
      <w:tabs>
        <w:tab w:val="right" w:pos="7371"/>
      </w:tabs>
      <w:ind w:left="-2268"/>
    </w:pPr>
  </w:style>
  <w:style w:type="paragraph" w:customStyle="1" w:styleId="FooterEven">
    <w:name w:val="FooterEven"/>
    <w:basedOn w:val="Footer"/>
    <w:uiPriority w:val="99"/>
    <w:semiHidden/>
    <w:rPr>
      <w:color w:val="FFFFFF"/>
      <w:szCs w:val="12"/>
    </w:rPr>
  </w:style>
  <w:style w:type="paragraph" w:customStyle="1" w:styleId="FooterFrameOdd">
    <w:name w:val="FooterFrameOdd"/>
    <w:basedOn w:val="FooterFrame"/>
    <w:uiPriority w:val="99"/>
    <w:semiHidden/>
    <w:pPr>
      <w:framePr w:wrap="around"/>
    </w:pPr>
    <w:rPr>
      <w:color w:val="FFFFFF"/>
      <w:szCs w:val="12"/>
    </w:rPr>
  </w:style>
  <w:style w:type="paragraph" w:customStyle="1" w:styleId="CowiDocNo">
    <w:name w:val="CowiDocNo"/>
    <w:basedOn w:val="FrontPageFrame"/>
    <w:uiPriority w:val="99"/>
    <w:semiHidden/>
    <w:pPr>
      <w:framePr w:wrap="around"/>
    </w:pPr>
  </w:style>
  <w:style w:type="paragraph" w:customStyle="1" w:styleId="CowiVerNo">
    <w:name w:val="CowiVerNo"/>
    <w:basedOn w:val="FrontPageFrame"/>
    <w:uiPriority w:val="99"/>
    <w:semiHidden/>
    <w:pPr>
      <w:framePr w:wrap="around"/>
    </w:pPr>
  </w:style>
  <w:style w:type="paragraph" w:customStyle="1" w:styleId="CowiChecker">
    <w:name w:val="CowiChecker"/>
    <w:basedOn w:val="FrontPageFrame"/>
    <w:uiPriority w:val="99"/>
    <w:semiHidden/>
    <w:pPr>
      <w:framePr w:wrap="around"/>
    </w:pPr>
  </w:style>
  <w:style w:type="paragraph" w:customStyle="1" w:styleId="CowiApprover">
    <w:name w:val="CowiApprover"/>
    <w:basedOn w:val="FrontPageFrame"/>
    <w:uiPriority w:val="99"/>
    <w:semiHidden/>
    <w:pPr>
      <w:framePr w:wrap="around"/>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cs="Times New Roman"/>
      <w:sz w:val="2"/>
      <w:lang w:val="en-GB" w:eastAsia="da-DK"/>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cs="Times New Roman"/>
      <w:sz w:val="20"/>
      <w:szCs w:val="20"/>
      <w:lang w:val="en-GB" w:eastAsia="da-DK"/>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cs="Times New Roman"/>
      <w:sz w:val="16"/>
      <w:szCs w:val="16"/>
      <w:lang w:val="en-GB" w:eastAsia="da-DK"/>
    </w:rPr>
  </w:style>
  <w:style w:type="paragraph" w:styleId="BodyTextFirstIndent">
    <w:name w:val="Body Text First Indent"/>
    <w:basedOn w:val="BodyText"/>
    <w:link w:val="BodyTextFirstIndentChar"/>
    <w:uiPriority w:val="99"/>
    <w:semiHidden/>
    <w:pPr>
      <w:spacing w:after="120"/>
      <w:ind w:firstLine="210"/>
    </w:pPr>
  </w:style>
  <w:style w:type="character" w:customStyle="1" w:styleId="BodyTextFirstIndentChar">
    <w:name w:val="Body Text First Indent Char"/>
    <w:link w:val="BodyTextFirstIndent"/>
    <w:uiPriority w:val="99"/>
    <w:semiHidden/>
    <w:locked/>
    <w:rPr>
      <w:rFonts w:cs="Times New Roman"/>
      <w:sz w:val="20"/>
      <w:szCs w:val="20"/>
      <w:lang w:val="en-GB" w:eastAsia="da-DK"/>
    </w:rPr>
  </w:style>
  <w:style w:type="paragraph" w:styleId="BodyTextIndent">
    <w:name w:val="Body Text Indent"/>
    <w:basedOn w:val="Normal"/>
    <w:link w:val="BodyTextIndentChar"/>
    <w:uiPriority w:val="99"/>
    <w:semiHidden/>
    <w:pPr>
      <w:spacing w:after="120"/>
      <w:ind w:left="283"/>
    </w:pPr>
  </w:style>
  <w:style w:type="character" w:customStyle="1" w:styleId="BodyTextIndentChar">
    <w:name w:val="Body Text Indent Char"/>
    <w:link w:val="BodyTextIndent"/>
    <w:uiPriority w:val="99"/>
    <w:semiHidden/>
    <w:locked/>
    <w:rPr>
      <w:rFonts w:cs="Times New Roman"/>
      <w:sz w:val="20"/>
      <w:szCs w:val="20"/>
      <w:lang w:val="en-GB" w:eastAsia="da-DK"/>
    </w:rPr>
  </w:style>
  <w:style w:type="paragraph" w:styleId="BodyTextFirstIndent2">
    <w:name w:val="Body Text First Indent 2"/>
    <w:basedOn w:val="BodyTextIndent"/>
    <w:link w:val="BodyTextFirstIndent2Char"/>
    <w:uiPriority w:val="99"/>
    <w:semiHidden/>
    <w:pPr>
      <w:ind w:firstLine="210"/>
    </w:pPr>
  </w:style>
  <w:style w:type="character" w:customStyle="1" w:styleId="BodyTextFirstIndent2Char">
    <w:name w:val="Body Text First Indent 2 Char"/>
    <w:link w:val="BodyTextFirstIndent2"/>
    <w:uiPriority w:val="99"/>
    <w:semiHidden/>
    <w:locked/>
    <w:rPr>
      <w:rFonts w:cs="Times New Roman"/>
      <w:sz w:val="20"/>
      <w:szCs w:val="20"/>
      <w:lang w:val="en-GB" w:eastAsia="da-DK"/>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cs="Times New Roman"/>
      <w:sz w:val="20"/>
      <w:szCs w:val="20"/>
      <w:lang w:val="en-GB" w:eastAsia="da-DK"/>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cs="Times New Roman"/>
      <w:sz w:val="16"/>
      <w:szCs w:val="16"/>
      <w:lang w:val="en-GB" w:eastAsia="da-DK"/>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cs="Times New Roman"/>
      <w:sz w:val="20"/>
      <w:szCs w:val="20"/>
      <w:lang w:val="en-GB" w:eastAsia="da-DK"/>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rPr>
      <w:sz w:val="20"/>
    </w:rPr>
  </w:style>
  <w:style w:type="character" w:customStyle="1" w:styleId="CommentTextChar">
    <w:name w:val="Comment Text Char"/>
    <w:link w:val="CommentText"/>
    <w:uiPriority w:val="99"/>
    <w:semiHidden/>
    <w:locked/>
    <w:rPr>
      <w:rFonts w:cs="Times New Roman"/>
      <w:sz w:val="20"/>
      <w:szCs w:val="20"/>
      <w:lang w:val="en-GB" w:eastAsia="da-DK"/>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sz w:val="20"/>
      <w:szCs w:val="20"/>
      <w:lang w:val="en-GB" w:eastAsia="da-DK"/>
    </w:r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cs="Times New Roman"/>
      <w:sz w:val="20"/>
      <w:szCs w:val="20"/>
      <w:lang w:val="en-GB" w:eastAsia="da-DK"/>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cs="Times New Roman"/>
      <w:sz w:val="2"/>
      <w:lang w:val="en-GB" w:eastAsia="da-DK"/>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cs="Times New Roman"/>
      <w:sz w:val="20"/>
      <w:szCs w:val="20"/>
      <w:lang w:val="en-GB" w:eastAsia="da-DK"/>
    </w:rPr>
  </w:style>
  <w:style w:type="character" w:styleId="Emphasis">
    <w:name w:val="Emphasis"/>
    <w:uiPriority w:val="99"/>
    <w:qFormat/>
    <w:rPr>
      <w:rFonts w:cs="Times New Roman"/>
      <w:i/>
      <w:iCs/>
    </w:rPr>
  </w:style>
  <w:style w:type="character" w:styleId="EndnoteReference">
    <w:name w:val="endnote reference"/>
    <w:uiPriority w:val="99"/>
    <w:semiHidden/>
    <w:rPr>
      <w:rFonts w:cs="Times New Roman"/>
      <w:vertAlign w:val="superscript"/>
    </w:rPr>
  </w:style>
  <w:style w:type="paragraph" w:styleId="EndnoteText">
    <w:name w:val="endnote text"/>
    <w:basedOn w:val="Normal"/>
    <w:link w:val="EndnoteTextChar"/>
    <w:uiPriority w:val="99"/>
    <w:semiHidden/>
    <w:rPr>
      <w:sz w:val="20"/>
    </w:rPr>
  </w:style>
  <w:style w:type="character" w:customStyle="1" w:styleId="EndnoteTextChar">
    <w:name w:val="Endnote Text Char"/>
    <w:link w:val="EndnoteText"/>
    <w:uiPriority w:val="99"/>
    <w:semiHidden/>
    <w:locked/>
    <w:rPr>
      <w:rFonts w:cs="Times New Roman"/>
      <w:sz w:val="20"/>
      <w:szCs w:val="20"/>
      <w:lang w:val="en-GB" w:eastAsia="da-DK"/>
    </w:rPr>
  </w:style>
  <w:style w:type="paragraph" w:styleId="EnvelopeAddress">
    <w:name w:val="envelope address"/>
    <w:basedOn w:val="Normal"/>
    <w:uiPriority w:val="99"/>
    <w:semiHidden/>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semiHidden/>
    <w:rPr>
      <w:rFonts w:ascii="Arial" w:hAnsi="Arial" w:cs="Arial"/>
      <w:sz w:val="20"/>
    </w:rPr>
  </w:style>
  <w:style w:type="character" w:styleId="FollowedHyperlink">
    <w:name w:val="FollowedHyperlink"/>
    <w:uiPriority w:val="99"/>
    <w:semiHidden/>
    <w:rPr>
      <w:rFonts w:cs="Times New Roman"/>
      <w:color w:val="800080"/>
      <w:u w:val="single"/>
    </w:rPr>
  </w:style>
  <w:style w:type="character" w:styleId="FootnoteReference">
    <w:name w:val="footnote reference"/>
    <w:uiPriority w:val="99"/>
    <w:semiHidden/>
    <w:rPr>
      <w:rFonts w:cs="Times New Roman"/>
      <w:vertAlign w:val="superscript"/>
    </w:rPr>
  </w:style>
  <w:style w:type="paragraph" w:styleId="FootnoteText">
    <w:name w:val="footnote text"/>
    <w:basedOn w:val="Normal"/>
    <w:link w:val="FootnoteTextChar"/>
    <w:uiPriority w:val="99"/>
    <w:semiHidden/>
    <w:rPr>
      <w:sz w:val="20"/>
    </w:rPr>
  </w:style>
  <w:style w:type="character" w:customStyle="1" w:styleId="FootnoteTextChar">
    <w:name w:val="Footnote Text Char"/>
    <w:link w:val="FootnoteText"/>
    <w:uiPriority w:val="99"/>
    <w:semiHidden/>
    <w:locked/>
    <w:rPr>
      <w:rFonts w:cs="Times New Roman"/>
      <w:sz w:val="20"/>
      <w:szCs w:val="20"/>
      <w:lang w:val="en-GB" w:eastAsia="da-DK"/>
    </w:rPr>
  </w:style>
  <w:style w:type="character" w:styleId="HTMLAcronym">
    <w:name w:val="HTML Acronym"/>
    <w:uiPriority w:val="99"/>
    <w:semiHidden/>
    <w:rPr>
      <w:rFonts w:cs="Times New Roman"/>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cs="Times New Roman"/>
      <w:i/>
      <w:iCs/>
      <w:sz w:val="20"/>
      <w:szCs w:val="20"/>
      <w:lang w:val="en-GB" w:eastAsia="da-DK"/>
    </w:rPr>
  </w:style>
  <w:style w:type="character" w:styleId="HTMLCite">
    <w:name w:val="HTML Cite"/>
    <w:uiPriority w:val="99"/>
    <w:semiHidden/>
    <w:rPr>
      <w:rFonts w:cs="Times New Roman"/>
      <w:i/>
      <w:iCs/>
    </w:rPr>
  </w:style>
  <w:style w:type="character" w:styleId="HTMLCode">
    <w:name w:val="HTML Code"/>
    <w:uiPriority w:val="99"/>
    <w:semiHidden/>
    <w:rPr>
      <w:rFonts w:ascii="Courier New" w:hAnsi="Courier New" w:cs="Courier New"/>
      <w:sz w:val="20"/>
      <w:szCs w:val="20"/>
    </w:rPr>
  </w:style>
  <w:style w:type="character" w:styleId="HTMLDefinition">
    <w:name w:val="HTML Definition"/>
    <w:uiPriority w:val="99"/>
    <w:semiHidden/>
    <w:rPr>
      <w:rFonts w:cs="Times New Roman"/>
      <w:i/>
      <w:iCs/>
    </w:rPr>
  </w:style>
  <w:style w:type="character" w:styleId="HTMLKeyboard">
    <w:name w:val="HTML Keyboard"/>
    <w:uiPriority w:val="99"/>
    <w:semiHidden/>
    <w:rPr>
      <w:rFonts w:ascii="Courier New" w:hAnsi="Courier New" w:cs="Courier New"/>
      <w:sz w:val="20"/>
      <w:szCs w:val="20"/>
    </w:rPr>
  </w:style>
  <w:style w:type="paragraph" w:styleId="HTMLPreformatted">
    <w:name w:val="HTML Preformatted"/>
    <w:basedOn w:val="Normal"/>
    <w:link w:val="HTMLPreformattedChar"/>
    <w:uiPriority w:val="99"/>
    <w:semiHidden/>
    <w:rPr>
      <w:rFonts w:ascii="Courier New" w:hAnsi="Courier New" w:cs="Courier New"/>
      <w:sz w:val="20"/>
    </w:rPr>
  </w:style>
  <w:style w:type="character" w:customStyle="1" w:styleId="HTMLPreformattedChar">
    <w:name w:val="HTML Preformatted Char"/>
    <w:link w:val="HTMLPreformatted"/>
    <w:uiPriority w:val="99"/>
    <w:semiHidden/>
    <w:locked/>
    <w:rPr>
      <w:rFonts w:ascii="Courier New" w:hAnsi="Courier New" w:cs="Courier New"/>
      <w:sz w:val="20"/>
      <w:szCs w:val="20"/>
      <w:lang w:val="en-GB" w:eastAsia="da-DK"/>
    </w:rPr>
  </w:style>
  <w:style w:type="character" w:styleId="HTMLSample">
    <w:name w:val="HTML Sample"/>
    <w:uiPriority w:val="99"/>
    <w:semiHidden/>
    <w:rPr>
      <w:rFonts w:ascii="Courier New" w:hAnsi="Courier New" w:cs="Courier New"/>
    </w:rPr>
  </w:style>
  <w:style w:type="character" w:styleId="HTMLTypewriter">
    <w:name w:val="HTML Typewriter"/>
    <w:uiPriority w:val="99"/>
    <w:semiHidden/>
    <w:rPr>
      <w:rFonts w:ascii="Courier New" w:hAnsi="Courier New" w:cs="Courier New"/>
      <w:sz w:val="20"/>
      <w:szCs w:val="20"/>
    </w:rPr>
  </w:style>
  <w:style w:type="character" w:styleId="HTMLVariable">
    <w:name w:val="HTML Variable"/>
    <w:uiPriority w:val="99"/>
    <w:semiHidden/>
    <w:rPr>
      <w:rFonts w:cs="Times New Roman"/>
      <w:i/>
      <w:iCs/>
    </w:rPr>
  </w:style>
  <w:style w:type="character" w:styleId="Hyperlink">
    <w:name w:val="Hyperlink"/>
    <w:uiPriority w:val="99"/>
    <w:rPr>
      <w:rFonts w:cs="Times New Roman"/>
      <w:color w:val="0000FF"/>
      <w:u w:val="single"/>
    </w:rPr>
  </w:style>
  <w:style w:type="paragraph" w:styleId="Index1">
    <w:name w:val="index 1"/>
    <w:basedOn w:val="Normal"/>
    <w:next w:val="Normal"/>
    <w:autoRedefine/>
    <w:uiPriority w:val="99"/>
    <w:semiHidden/>
    <w:pPr>
      <w:ind w:left="230" w:hanging="230"/>
    </w:pPr>
  </w:style>
  <w:style w:type="paragraph" w:styleId="Index2">
    <w:name w:val="index 2"/>
    <w:basedOn w:val="Normal"/>
    <w:next w:val="Normal"/>
    <w:autoRedefine/>
    <w:uiPriority w:val="99"/>
    <w:semiHidden/>
    <w:pPr>
      <w:ind w:left="460" w:hanging="230"/>
    </w:pPr>
  </w:style>
  <w:style w:type="paragraph" w:styleId="Index3">
    <w:name w:val="index 3"/>
    <w:basedOn w:val="Normal"/>
    <w:next w:val="Normal"/>
    <w:autoRedefine/>
    <w:uiPriority w:val="99"/>
    <w:semiHidden/>
    <w:pPr>
      <w:ind w:left="690" w:hanging="230"/>
    </w:pPr>
  </w:style>
  <w:style w:type="paragraph" w:styleId="Index4">
    <w:name w:val="index 4"/>
    <w:basedOn w:val="Normal"/>
    <w:next w:val="Normal"/>
    <w:autoRedefine/>
    <w:uiPriority w:val="99"/>
    <w:semiHidden/>
    <w:pPr>
      <w:ind w:left="920" w:hanging="230"/>
    </w:pPr>
  </w:style>
  <w:style w:type="paragraph" w:styleId="Index5">
    <w:name w:val="index 5"/>
    <w:basedOn w:val="Normal"/>
    <w:next w:val="Normal"/>
    <w:autoRedefine/>
    <w:uiPriority w:val="99"/>
    <w:semiHidden/>
    <w:pPr>
      <w:ind w:left="1150" w:hanging="230"/>
    </w:pPr>
  </w:style>
  <w:style w:type="paragraph" w:styleId="Index6">
    <w:name w:val="index 6"/>
    <w:basedOn w:val="Normal"/>
    <w:next w:val="Normal"/>
    <w:autoRedefine/>
    <w:uiPriority w:val="99"/>
    <w:semiHidden/>
    <w:pPr>
      <w:ind w:left="1380" w:hanging="230"/>
    </w:pPr>
  </w:style>
  <w:style w:type="paragraph" w:styleId="Index7">
    <w:name w:val="index 7"/>
    <w:basedOn w:val="Normal"/>
    <w:next w:val="Normal"/>
    <w:autoRedefine/>
    <w:uiPriority w:val="99"/>
    <w:semiHidden/>
    <w:pPr>
      <w:ind w:left="1610" w:hanging="230"/>
    </w:pPr>
  </w:style>
  <w:style w:type="paragraph" w:styleId="Index8">
    <w:name w:val="index 8"/>
    <w:basedOn w:val="Normal"/>
    <w:next w:val="Normal"/>
    <w:autoRedefine/>
    <w:uiPriority w:val="99"/>
    <w:semiHidden/>
    <w:pPr>
      <w:ind w:left="1840" w:hanging="230"/>
    </w:pPr>
  </w:style>
  <w:style w:type="paragraph" w:styleId="Index9">
    <w:name w:val="index 9"/>
    <w:basedOn w:val="Normal"/>
    <w:next w:val="Normal"/>
    <w:autoRedefine/>
    <w:uiPriority w:val="99"/>
    <w:semiHidden/>
    <w:pPr>
      <w:ind w:left="2070" w:hanging="230"/>
    </w:pPr>
  </w:style>
  <w:style w:type="paragraph" w:styleId="IndexHeading">
    <w:name w:val="index heading"/>
    <w:basedOn w:val="Normal"/>
    <w:next w:val="Index1"/>
    <w:uiPriority w:val="99"/>
    <w:semiHidden/>
    <w:rPr>
      <w:rFonts w:ascii="Arial" w:hAnsi="Arial" w:cs="Arial"/>
      <w:b/>
      <w:bCs/>
    </w:rPr>
  </w:style>
  <w:style w:type="character" w:styleId="LineNumber">
    <w:name w:val="line number"/>
    <w:uiPriority w:val="99"/>
    <w:semiHidden/>
    <w:rPr>
      <w:rFonts w:cs="Times New Roman"/>
    </w:rPr>
  </w:style>
  <w:style w:type="paragraph" w:styleId="List">
    <w:name w:val="List"/>
    <w:basedOn w:val="Normal"/>
    <w:uiPriority w:val="99"/>
    <w:semiHidden/>
    <w:pPr>
      <w:ind w:left="283" w:hanging="283"/>
    </w:pPr>
  </w:style>
  <w:style w:type="paragraph" w:styleId="List2">
    <w:name w:val="List 2"/>
    <w:basedOn w:val="Normal"/>
    <w:uiPriority w:val="99"/>
    <w:semiHidden/>
    <w:pPr>
      <w:ind w:left="566" w:hanging="283"/>
    </w:pPr>
  </w:style>
  <w:style w:type="paragraph" w:styleId="List3">
    <w:name w:val="List 3"/>
    <w:basedOn w:val="Normal"/>
    <w:uiPriority w:val="99"/>
    <w:semiHidden/>
    <w:pPr>
      <w:ind w:left="849" w:hanging="283"/>
    </w:pPr>
  </w:style>
  <w:style w:type="paragraph" w:styleId="List4">
    <w:name w:val="List 4"/>
    <w:basedOn w:val="Normal"/>
    <w:uiPriority w:val="99"/>
    <w:semiHidden/>
    <w:pPr>
      <w:ind w:left="1132" w:hanging="283"/>
    </w:pPr>
  </w:style>
  <w:style w:type="paragraph" w:styleId="List5">
    <w:name w:val="List 5"/>
    <w:basedOn w:val="Normal"/>
    <w:uiPriority w:val="99"/>
    <w:semiHidden/>
    <w:pPr>
      <w:ind w:left="1415" w:hanging="283"/>
    </w:pPr>
  </w:style>
  <w:style w:type="paragraph" w:styleId="ListBullet4">
    <w:name w:val="List Bullet 4"/>
    <w:basedOn w:val="Normal"/>
    <w:uiPriority w:val="99"/>
    <w:semiHidden/>
    <w:pPr>
      <w:numPr>
        <w:ilvl w:val="3"/>
        <w:numId w:val="1"/>
      </w:numPr>
      <w:tabs>
        <w:tab w:val="clear" w:pos="360"/>
        <w:tab w:val="num" w:pos="1701"/>
      </w:tabs>
      <w:ind w:left="1701" w:hanging="425"/>
    </w:pPr>
  </w:style>
  <w:style w:type="paragraph" w:styleId="ListBullet5">
    <w:name w:val="List Bullet 5"/>
    <w:basedOn w:val="Normal"/>
    <w:uiPriority w:val="99"/>
    <w:semiHidden/>
    <w:pPr>
      <w:tabs>
        <w:tab w:val="num" w:pos="1492"/>
      </w:tabs>
      <w:ind w:left="1492" w:hanging="360"/>
    </w:pPr>
  </w:style>
  <w:style w:type="paragraph" w:styleId="ListContinue4">
    <w:name w:val="List Continue 4"/>
    <w:basedOn w:val="Normal"/>
    <w:uiPriority w:val="99"/>
    <w:semiHidden/>
    <w:pPr>
      <w:spacing w:after="120"/>
      <w:ind w:left="1132"/>
    </w:pPr>
  </w:style>
  <w:style w:type="paragraph" w:styleId="ListContinue5">
    <w:name w:val="List Continue 5"/>
    <w:basedOn w:val="Normal"/>
    <w:uiPriority w:val="99"/>
    <w:semiHidden/>
    <w:pPr>
      <w:spacing w:after="120"/>
      <w:ind w:left="1415"/>
    </w:pPr>
  </w:style>
  <w:style w:type="paragraph" w:styleId="ListNumber4">
    <w:name w:val="List Number 4"/>
    <w:basedOn w:val="Normal"/>
    <w:uiPriority w:val="99"/>
    <w:semiHidden/>
    <w:pPr>
      <w:numPr>
        <w:ilvl w:val="3"/>
        <w:numId w:val="2"/>
      </w:numPr>
      <w:tabs>
        <w:tab w:val="clear" w:pos="643"/>
        <w:tab w:val="num" w:pos="1701"/>
      </w:tabs>
      <w:ind w:left="1701" w:hanging="425"/>
    </w:pPr>
  </w:style>
  <w:style w:type="paragraph" w:styleId="ListNumber5">
    <w:name w:val="List Number 5"/>
    <w:basedOn w:val="Normal"/>
    <w:uiPriority w:val="99"/>
    <w:semiHidden/>
    <w:pPr>
      <w:numPr>
        <w:numId w:val="5"/>
      </w:numPr>
      <w:tabs>
        <w:tab w:val="clear" w:pos="926"/>
        <w:tab w:val="num" w:pos="1492"/>
      </w:tabs>
      <w:ind w:left="1492"/>
    </w:p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line="270" w:lineRule="atLeast"/>
    </w:pPr>
    <w:rPr>
      <w:rFonts w:ascii="Courier New" w:hAnsi="Courier New" w:cs="Courier New"/>
      <w:lang w:val="da-DK" w:eastAsia="da-DK"/>
    </w:rPr>
  </w:style>
  <w:style w:type="character" w:customStyle="1" w:styleId="MacroTextChar">
    <w:name w:val="Macro Text Char"/>
    <w:link w:val="MacroText"/>
    <w:uiPriority w:val="99"/>
    <w:semiHidden/>
    <w:locked/>
    <w:rPr>
      <w:rFonts w:ascii="Courier New" w:hAnsi="Courier New" w:cs="Courier New"/>
      <w:lang w:val="da-DK" w:eastAsia="da-DK" w:bidi="ar-SA"/>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link w:val="MessageHeader"/>
    <w:uiPriority w:val="99"/>
    <w:semiHidden/>
    <w:locked/>
    <w:rPr>
      <w:rFonts w:ascii="Cambria" w:eastAsia="SimSun" w:hAnsi="Cambria" w:cs="Times New Roman"/>
      <w:sz w:val="24"/>
      <w:szCs w:val="24"/>
      <w:shd w:val="pct20" w:color="auto" w:fill="auto"/>
      <w:lang w:val="en-GB" w:eastAsia="da-DK"/>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425"/>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cs="Times New Roman"/>
      <w:sz w:val="20"/>
      <w:szCs w:val="20"/>
      <w:lang w:val="en-GB" w:eastAsia="da-DK"/>
    </w:rPr>
  </w:style>
  <w:style w:type="character" w:styleId="PageNumber">
    <w:name w:val="page number"/>
    <w:uiPriority w:val="99"/>
    <w:semiHidden/>
    <w:rPr>
      <w:rFonts w:cs="Times New Roman"/>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locked/>
    <w:rPr>
      <w:rFonts w:ascii="Courier New" w:hAnsi="Courier New" w:cs="Courier New"/>
      <w:sz w:val="20"/>
      <w:szCs w:val="20"/>
      <w:lang w:val="en-GB" w:eastAsia="da-DK"/>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cs="Times New Roman"/>
      <w:sz w:val="20"/>
      <w:szCs w:val="20"/>
      <w:lang w:val="en-GB" w:eastAsia="da-DK"/>
    </w:rPr>
  </w:style>
  <w:style w:type="character" w:styleId="Strong">
    <w:name w:val="Strong"/>
    <w:uiPriority w:val="99"/>
    <w:qFormat/>
    <w:rPr>
      <w:rFonts w:cs="Times New Roman"/>
      <w:b/>
      <w:bCs/>
    </w:rPr>
  </w:style>
  <w:style w:type="paragraph" w:styleId="Subtitle">
    <w:name w:val="Subtitle"/>
    <w:basedOn w:val="Normal"/>
    <w:link w:val="SubtitleChar"/>
    <w:uiPriority w:val="99"/>
    <w:qFormat/>
    <w:pPr>
      <w:spacing w:after="60"/>
      <w:jc w:val="center"/>
      <w:outlineLvl w:val="1"/>
    </w:pPr>
    <w:rPr>
      <w:rFonts w:ascii="Arial" w:hAnsi="Arial" w:cs="Arial"/>
      <w:sz w:val="24"/>
      <w:szCs w:val="24"/>
    </w:rPr>
  </w:style>
  <w:style w:type="character" w:customStyle="1" w:styleId="SubtitleChar">
    <w:name w:val="Subtitle Char"/>
    <w:link w:val="Subtitle"/>
    <w:uiPriority w:val="99"/>
    <w:locked/>
    <w:rPr>
      <w:rFonts w:ascii="Cambria" w:eastAsia="SimSun" w:hAnsi="Cambria" w:cs="Times New Roman"/>
      <w:sz w:val="24"/>
      <w:szCs w:val="24"/>
      <w:lang w:val="en-GB" w:eastAsia="da-DK"/>
    </w:rPr>
  </w:style>
  <w:style w:type="table" w:styleId="Table3Deffects1">
    <w:name w:val="Table 3D effects 1"/>
    <w:basedOn w:val="TableNormal"/>
    <w:uiPriority w:val="99"/>
    <w:pPr>
      <w:spacing w:line="270" w:lineRule="atLeast"/>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pPr>
      <w:spacing w:line="270" w:lineRule="atLeast"/>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pPr>
      <w:spacing w:line="270" w:lineRule="atLeast"/>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pPr>
      <w:spacing w:line="270" w:lineRule="atLeast"/>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pPr>
      <w:spacing w:line="270" w:lineRule="atLeast"/>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pPr>
      <w:spacing w:line="27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pPr>
      <w:spacing w:line="270" w:lineRule="atLeast"/>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pPr>
      <w:spacing w:line="27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pPr>
      <w:spacing w:line="270" w:lineRule="atLeast"/>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pPr>
      <w:spacing w:line="27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pPr>
      <w:spacing w:line="27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pPr>
      <w:spacing w:line="270" w:lineRule="atLeast"/>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pPr>
      <w:spacing w:line="27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pPr>
      <w:spacing w:line="270" w:lineRule="atLeast"/>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pPr>
      <w:spacing w:line="27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pPr>
      <w:spacing w:line="270" w:lineRule="atLeast"/>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pPr>
      <w:spacing w:line="27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pPr>
      <w:spacing w:line="270" w:lineRule="atLeast"/>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pPr>
      <w:spacing w:line="27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pPr>
      <w:spacing w:line="270" w:lineRule="atLeast"/>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pPr>
      <w:spacing w:line="27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pPr>
      <w:spacing w:line="27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pPr>
      <w:spacing w:line="27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pPr>
      <w:spacing w:line="270" w:lineRule="atLeast"/>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pPr>
      <w:spacing w:line="270" w:lineRule="atLeast"/>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pPr>
      <w:spacing w:line="27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pPr>
      <w:spacing w:line="27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pPr>
      <w:spacing w:line="27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pPr>
      <w:ind w:left="230" w:hanging="230"/>
    </w:pPr>
  </w:style>
  <w:style w:type="paragraph" w:styleId="TableofFigures">
    <w:name w:val="table of figures"/>
    <w:basedOn w:val="Normal"/>
    <w:next w:val="Normal"/>
    <w:uiPriority w:val="99"/>
    <w:semiHidden/>
    <w:pPr>
      <w:ind w:left="460" w:hanging="460"/>
    </w:pPr>
  </w:style>
  <w:style w:type="table" w:styleId="TableProfessional">
    <w:name w:val="Table Professional"/>
    <w:basedOn w:val="TableNormal"/>
    <w:uiPriority w:val="99"/>
    <w:pPr>
      <w:spacing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pPr>
      <w:spacing w:line="27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pPr>
      <w:spacing w:line="270" w:lineRule="atLeast"/>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pPr>
      <w:spacing w:line="27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pPr>
      <w:spacing w:line="270" w:lineRule="atLeast"/>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pPr>
      <w:spacing w:line="270" w:lineRule="atLeast"/>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pPr>
      <w:spacing w:line="27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pPr>
      <w:spacing w:line="27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pPr>
      <w:spacing w:line="27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pPr>
      <w:spacing w:line="27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Title">
    <w:name w:val="Title"/>
    <w:basedOn w:val="Normal"/>
    <w:link w:val="TitleChar"/>
    <w:uiPriority w:val="99"/>
    <w:qFormat/>
    <w:pPr>
      <w:spacing w:before="240" w:after="60"/>
      <w:jc w:val="center"/>
      <w:outlineLvl w:val="0"/>
    </w:pPr>
    <w:rPr>
      <w:rFonts w:ascii="Arial" w:hAnsi="Arial" w:cs="Arial"/>
      <w:b/>
      <w:bCs/>
      <w:kern w:val="28"/>
      <w:sz w:val="32"/>
      <w:szCs w:val="32"/>
    </w:rPr>
  </w:style>
  <w:style w:type="character" w:customStyle="1" w:styleId="TitleChar">
    <w:name w:val="Title Char"/>
    <w:link w:val="Title"/>
    <w:uiPriority w:val="99"/>
    <w:locked/>
    <w:rPr>
      <w:rFonts w:ascii="Cambria" w:eastAsia="SimSun" w:hAnsi="Cambria" w:cs="Times New Roman"/>
      <w:b/>
      <w:bCs/>
      <w:kern w:val="28"/>
      <w:sz w:val="32"/>
      <w:szCs w:val="32"/>
      <w:lang w:val="en-GB" w:eastAsia="da-DK"/>
    </w:rPr>
  </w:style>
  <w:style w:type="paragraph" w:styleId="TOAHeading">
    <w:name w:val="toa heading"/>
    <w:basedOn w:val="Normal"/>
    <w:next w:val="Normal"/>
    <w:uiPriority w:val="99"/>
    <w:semiHidden/>
    <w:pPr>
      <w:spacing w:before="120"/>
    </w:pPr>
    <w:rPr>
      <w:rFonts w:ascii="Arial" w:hAnsi="Arial" w:cs="Arial"/>
      <w:b/>
      <w:bCs/>
      <w:sz w:val="24"/>
      <w:szCs w:val="24"/>
    </w:rPr>
  </w:style>
  <w:style w:type="paragraph" w:styleId="TOC4">
    <w:name w:val="toc 4"/>
    <w:basedOn w:val="Normal"/>
    <w:next w:val="Normal"/>
    <w:autoRedefine/>
    <w:uiPriority w:val="99"/>
    <w:semiHidden/>
    <w:pPr>
      <w:ind w:left="690"/>
    </w:pPr>
  </w:style>
  <w:style w:type="paragraph" w:styleId="TOC5">
    <w:name w:val="toc 5"/>
    <w:basedOn w:val="Normal"/>
    <w:next w:val="Normal"/>
    <w:autoRedefine/>
    <w:uiPriority w:val="99"/>
    <w:semiHidden/>
    <w:pPr>
      <w:ind w:left="920"/>
    </w:pPr>
  </w:style>
  <w:style w:type="paragraph" w:styleId="TOC6">
    <w:name w:val="toc 6"/>
    <w:basedOn w:val="Normal"/>
    <w:next w:val="Normal"/>
    <w:autoRedefine/>
    <w:uiPriority w:val="99"/>
    <w:semiHidden/>
    <w:pPr>
      <w:ind w:left="1150"/>
    </w:pPr>
  </w:style>
  <w:style w:type="paragraph" w:styleId="TOC8">
    <w:name w:val="toc 8"/>
    <w:basedOn w:val="Normal"/>
    <w:next w:val="Normal"/>
    <w:autoRedefine/>
    <w:uiPriority w:val="99"/>
    <w:semiHidden/>
    <w:pPr>
      <w:ind w:left="1610"/>
    </w:pPr>
  </w:style>
  <w:style w:type="paragraph" w:styleId="TOC9">
    <w:name w:val="toc 9"/>
    <w:basedOn w:val="Normal"/>
    <w:next w:val="Normal"/>
    <w:autoRedefine/>
    <w:uiPriority w:val="99"/>
    <w:semiHidden/>
    <w:pPr>
      <w:ind w:left="1840"/>
    </w:pPr>
  </w:style>
  <w:style w:type="paragraph" w:customStyle="1" w:styleId="COWIAddress">
    <w:name w:val="COWI Address"/>
    <w:basedOn w:val="Normal"/>
    <w:uiPriority w:val="99"/>
    <w:semiHidden/>
    <w:pPr>
      <w:framePr w:w="2722" w:hSpace="851" w:vSpace="142" w:wrap="around" w:vAnchor="page" w:hAnchor="page" w:xAlign="right" w:y="1855" w:anchorLock="1"/>
      <w:spacing w:line="200" w:lineRule="exact"/>
    </w:pPr>
    <w:rPr>
      <w:rFonts w:ascii="Arial" w:hAnsi="Arial" w:cs="Arial"/>
      <w:b/>
      <w:noProof/>
      <w:sz w:val="16"/>
    </w:rPr>
  </w:style>
  <w:style w:type="paragraph" w:customStyle="1" w:styleId="ListNumberNoSpace">
    <w:name w:val="List Number NoSpace"/>
    <w:basedOn w:val="ListNumber"/>
    <w:uiPriority w:val="99"/>
    <w:pPr>
      <w:spacing w:after="0"/>
    </w:pPr>
  </w:style>
  <w:style w:type="paragraph" w:customStyle="1" w:styleId="ListNumber2NoSpace">
    <w:name w:val="List Number 2 NoSpace"/>
    <w:basedOn w:val="ListNumber2"/>
    <w:uiPriority w:val="99"/>
    <w:pPr>
      <w:spacing w:after="0"/>
      <w:ind w:left="850" w:hanging="425"/>
    </w:pPr>
  </w:style>
  <w:style w:type="paragraph" w:customStyle="1" w:styleId="ListNumber3NoSpace">
    <w:name w:val="List Number 3 NoSpace"/>
    <w:basedOn w:val="ListNumber3"/>
    <w:uiPriority w:val="99"/>
    <w:pPr>
      <w:spacing w:after="0"/>
    </w:pPr>
  </w:style>
  <w:style w:type="paragraph" w:customStyle="1" w:styleId="TableNoSpace">
    <w:name w:val="Table NoSpace"/>
    <w:basedOn w:val="Table"/>
    <w:uiPriority w:val="99"/>
    <w:pPr>
      <w:spacing w:after="60"/>
    </w:pPr>
  </w:style>
  <w:style w:type="paragraph" w:customStyle="1" w:styleId="FrontPageImage">
    <w:name w:val="FrontPageImage"/>
    <w:basedOn w:val="Normal"/>
    <w:next w:val="BodyText"/>
    <w:uiPriority w:val="99"/>
    <w:pPr>
      <w:spacing w:before="840"/>
      <w:ind w:left="-1418"/>
    </w:pPr>
  </w:style>
  <w:style w:type="table" w:customStyle="1" w:styleId="CowiTableGrid">
    <w:name w:val="Cowi Table Grid"/>
    <w:basedOn w:val="TableGrid5"/>
    <w:uiPriority w:val="99"/>
    <w:rPr>
      <w:sz w:val="23"/>
      <w:szCs w:val="23"/>
    </w:rPr>
    <w:tblPr>
      <w:tblCellMar>
        <w:top w:w="108" w:type="dxa"/>
        <w:bottom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r2bl w:val="none" w:sz="0" w:space="0" w:color="auto"/>
        </w:tcBorders>
        <w:shd w:val="clear" w:color="auto" w:fill="auto"/>
      </w:tcPr>
    </w:tblStylePr>
  </w:style>
  <w:style w:type="table" w:customStyle="1" w:styleId="CowiTableLines">
    <w:name w:val="Cowi Table Lines"/>
    <w:basedOn w:val="TableGrid6"/>
    <w:uiPriority w:val="99"/>
    <w:rPr>
      <w:sz w:val="23"/>
      <w:szCs w:val="23"/>
    </w:rPr>
    <w:tblPr>
      <w:tblCellMar>
        <w:top w:w="108" w:type="dxa"/>
        <w:bottom w:w="108" w:type="dxa"/>
      </w:tblCellMar>
    </w:tblPr>
    <w:tblStylePr w:type="firstRow">
      <w:rPr>
        <w:rFonts w:cs="Times New Roman"/>
        <w:b w:val="0"/>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nil"/>
        </w:tcBorders>
        <w:shd w:val="clear" w:color="auto" w:fill="auto"/>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nil"/>
        </w:tcBorders>
        <w:shd w:val="clear" w:color="auto" w:fill="auto"/>
      </w:tcPr>
    </w:tblStylePr>
  </w:style>
  <w:style w:type="paragraph" w:customStyle="1" w:styleId="TableBullet">
    <w:name w:val="Table Bullet"/>
    <w:basedOn w:val="TableText"/>
    <w:uiPriority w:val="99"/>
    <w:pPr>
      <w:tabs>
        <w:tab w:val="num" w:pos="284"/>
        <w:tab w:val="num" w:pos="1440"/>
      </w:tabs>
      <w:ind w:left="284" w:hanging="284"/>
    </w:pPr>
  </w:style>
  <w:style w:type="paragraph" w:customStyle="1" w:styleId="TableBullet2">
    <w:name w:val="Table Bullet 2"/>
    <w:basedOn w:val="TableBullet"/>
    <w:uiPriority w:val="99"/>
    <w:pPr>
      <w:numPr>
        <w:ilvl w:val="1"/>
      </w:numPr>
      <w:tabs>
        <w:tab w:val="num" w:pos="284"/>
        <w:tab w:val="num" w:pos="567"/>
      </w:tabs>
      <w:ind w:left="567" w:hanging="283"/>
    </w:pPr>
  </w:style>
  <w:style w:type="paragraph" w:customStyle="1" w:styleId="TableBulletNoSpace">
    <w:name w:val="Table Bullet NoSpace"/>
    <w:basedOn w:val="TableBullet"/>
    <w:uiPriority w:val="99"/>
    <w:pPr>
      <w:spacing w:after="0"/>
    </w:pPr>
  </w:style>
  <w:style w:type="paragraph" w:customStyle="1" w:styleId="TableBullet3">
    <w:name w:val="Table Bullet 3"/>
    <w:basedOn w:val="TableBullet2"/>
    <w:uiPriority w:val="99"/>
    <w:pPr>
      <w:numPr>
        <w:ilvl w:val="2"/>
      </w:numPr>
      <w:tabs>
        <w:tab w:val="num" w:pos="284"/>
        <w:tab w:val="num" w:pos="720"/>
        <w:tab w:val="num" w:pos="851"/>
      </w:tabs>
      <w:ind w:left="851" w:hanging="284"/>
    </w:pPr>
  </w:style>
  <w:style w:type="paragraph" w:customStyle="1" w:styleId="TableBullet2NoSpace">
    <w:name w:val="Table Bullet 2 NoSpace"/>
    <w:basedOn w:val="TableBullet2"/>
    <w:uiPriority w:val="99"/>
    <w:pPr>
      <w:spacing w:after="0"/>
      <w:ind w:left="568" w:hanging="284"/>
    </w:pPr>
  </w:style>
  <w:style w:type="paragraph" w:customStyle="1" w:styleId="TableBullet3NoSpace">
    <w:name w:val="Table Bullet 3 NoSpace"/>
    <w:basedOn w:val="TableBullet3"/>
    <w:uiPriority w:val="99"/>
    <w:pPr>
      <w:spacing w:after="0"/>
    </w:pPr>
  </w:style>
  <w:style w:type="paragraph" w:customStyle="1" w:styleId="TableContinue0">
    <w:name w:val="Table Continue 0"/>
    <w:basedOn w:val="TableText"/>
    <w:uiPriority w:val="99"/>
  </w:style>
  <w:style w:type="paragraph" w:customStyle="1" w:styleId="TableContinue">
    <w:name w:val="Table Continue"/>
    <w:basedOn w:val="TableContinue0"/>
    <w:uiPriority w:val="99"/>
    <w:pPr>
      <w:ind w:left="284"/>
    </w:pPr>
  </w:style>
  <w:style w:type="paragraph" w:customStyle="1" w:styleId="TableContinue0NoSpace">
    <w:name w:val="Table Continue 0 NoSpace"/>
    <w:basedOn w:val="TableContinue0"/>
    <w:uiPriority w:val="99"/>
    <w:pPr>
      <w:spacing w:after="0"/>
    </w:pPr>
  </w:style>
  <w:style w:type="paragraph" w:customStyle="1" w:styleId="TableContinue2">
    <w:name w:val="Table Continue 2"/>
    <w:basedOn w:val="TableContinue"/>
    <w:uiPriority w:val="99"/>
    <w:pPr>
      <w:ind w:left="567"/>
    </w:pPr>
  </w:style>
  <w:style w:type="paragraph" w:customStyle="1" w:styleId="TableContinue2NoSpace">
    <w:name w:val="Table Continue 2 NoSpace"/>
    <w:basedOn w:val="TableContinue2"/>
    <w:uiPriority w:val="99"/>
    <w:pPr>
      <w:spacing w:after="0"/>
    </w:pPr>
  </w:style>
  <w:style w:type="paragraph" w:customStyle="1" w:styleId="TableContinue3">
    <w:name w:val="Table Continue 3"/>
    <w:basedOn w:val="TableContinue2"/>
    <w:uiPriority w:val="99"/>
    <w:pPr>
      <w:ind w:left="851"/>
    </w:pPr>
  </w:style>
  <w:style w:type="paragraph" w:customStyle="1" w:styleId="TableContinue3NoSpace">
    <w:name w:val="Table Continue 3 NoSpace"/>
    <w:basedOn w:val="TableContinue3"/>
    <w:uiPriority w:val="99"/>
    <w:pPr>
      <w:spacing w:after="0"/>
    </w:pPr>
  </w:style>
  <w:style w:type="paragraph" w:customStyle="1" w:styleId="TableContinueNoSpace">
    <w:name w:val="Table Continue NoSpace"/>
    <w:basedOn w:val="TableContinue"/>
    <w:uiPriority w:val="99"/>
    <w:pPr>
      <w:spacing w:after="0"/>
    </w:pPr>
  </w:style>
  <w:style w:type="paragraph" w:customStyle="1" w:styleId="TableNumber">
    <w:name w:val="Table Number"/>
    <w:basedOn w:val="TableText"/>
    <w:uiPriority w:val="99"/>
    <w:pPr>
      <w:tabs>
        <w:tab w:val="num" w:pos="284"/>
        <w:tab w:val="num" w:pos="1492"/>
      </w:tabs>
      <w:ind w:left="284" w:hanging="284"/>
    </w:pPr>
  </w:style>
  <w:style w:type="paragraph" w:customStyle="1" w:styleId="TableNumber2">
    <w:name w:val="Table Number 2"/>
    <w:basedOn w:val="TableNumber"/>
    <w:uiPriority w:val="99"/>
    <w:pPr>
      <w:numPr>
        <w:ilvl w:val="1"/>
      </w:numPr>
      <w:tabs>
        <w:tab w:val="num" w:pos="284"/>
        <w:tab w:val="num" w:pos="567"/>
      </w:tabs>
      <w:ind w:left="567" w:hanging="283"/>
    </w:pPr>
  </w:style>
  <w:style w:type="paragraph" w:customStyle="1" w:styleId="TableNumberNoSpace">
    <w:name w:val="Table Number NoSpace"/>
    <w:basedOn w:val="TableNumber"/>
    <w:uiPriority w:val="99"/>
    <w:pPr>
      <w:spacing w:after="0"/>
    </w:pPr>
  </w:style>
  <w:style w:type="paragraph" w:customStyle="1" w:styleId="TableNumber3">
    <w:name w:val="Table Number 3"/>
    <w:uiPriority w:val="99"/>
    <w:pPr>
      <w:numPr>
        <w:ilvl w:val="2"/>
        <w:numId w:val="4"/>
      </w:numPr>
      <w:tabs>
        <w:tab w:val="clear" w:pos="643"/>
        <w:tab w:val="num" w:pos="851"/>
        <w:tab w:val="num" w:pos="1492"/>
      </w:tabs>
      <w:spacing w:after="120" w:line="220" w:lineRule="atLeast"/>
      <w:ind w:left="851" w:hanging="284"/>
    </w:pPr>
    <w:rPr>
      <w:rFonts w:ascii="Arial" w:hAnsi="Arial"/>
      <w:sz w:val="18"/>
      <w:szCs w:val="23"/>
      <w:lang w:val="en-GB" w:eastAsia="da-DK"/>
    </w:rPr>
  </w:style>
  <w:style w:type="paragraph" w:customStyle="1" w:styleId="TableNumber2NoSpace">
    <w:name w:val="Table Number 2 NoSpace"/>
    <w:uiPriority w:val="99"/>
    <w:pPr>
      <w:numPr>
        <w:ilvl w:val="1"/>
        <w:numId w:val="4"/>
      </w:numPr>
      <w:tabs>
        <w:tab w:val="clear" w:pos="643"/>
        <w:tab w:val="num" w:pos="567"/>
        <w:tab w:val="num" w:pos="1492"/>
      </w:tabs>
      <w:spacing w:line="220" w:lineRule="atLeast"/>
      <w:ind w:left="568" w:hanging="284"/>
    </w:pPr>
    <w:rPr>
      <w:rFonts w:ascii="Arial" w:hAnsi="Arial"/>
      <w:sz w:val="18"/>
      <w:szCs w:val="23"/>
      <w:lang w:val="en-GB" w:eastAsia="da-DK"/>
    </w:rPr>
  </w:style>
  <w:style w:type="paragraph" w:customStyle="1" w:styleId="TableNumber3NoSpace">
    <w:name w:val="Table Number 3 NoSpace"/>
    <w:basedOn w:val="TableNumber3"/>
    <w:uiPriority w:val="99"/>
    <w:pPr>
      <w:spacing w:after="0"/>
    </w:pPr>
  </w:style>
  <w:style w:type="paragraph" w:customStyle="1" w:styleId="TableText">
    <w:name w:val="Table Text"/>
    <w:basedOn w:val="Normal"/>
    <w:uiPriority w:val="99"/>
    <w:pPr>
      <w:spacing w:after="120" w:line="220" w:lineRule="atLeast"/>
    </w:pPr>
    <w:rPr>
      <w:rFonts w:ascii="Arial" w:hAnsi="Arial"/>
      <w:sz w:val="18"/>
      <w:szCs w:val="23"/>
    </w:rPr>
  </w:style>
  <w:style w:type="paragraph" w:customStyle="1" w:styleId="TableTextNoSpace">
    <w:name w:val="Table Text NoSpace"/>
    <w:basedOn w:val="TableText"/>
    <w:uiPriority w:val="99"/>
    <w:pPr>
      <w:spacing w:after="0"/>
    </w:pPr>
  </w:style>
  <w:style w:type="paragraph" w:styleId="ListParagraph">
    <w:name w:val="List Paragraph"/>
    <w:basedOn w:val="Normal"/>
    <w:uiPriority w:val="99"/>
    <w:qFormat/>
    <w:pPr>
      <w:ind w:left="720"/>
      <w:contextualSpacing/>
    </w:pPr>
  </w:style>
  <w:style w:type="paragraph" w:customStyle="1" w:styleId="TableChar1">
    <w:name w:val="Table Char1"/>
    <w:basedOn w:val="Normal"/>
    <w:uiPriority w:val="99"/>
    <w:pPr>
      <w:keepNext/>
      <w:spacing w:before="40" w:after="40" w:line="220" w:lineRule="atLeast"/>
    </w:pPr>
    <w:rPr>
      <w:rFonts w:ascii="Arial" w:hAnsi="Arial" w:cs="Arial"/>
      <w:sz w:val="16"/>
      <w:szCs w:val="16"/>
    </w:rPr>
  </w:style>
  <w:style w:type="paragraph" w:styleId="Revision">
    <w:name w:val="Revision"/>
    <w:hidden/>
    <w:uiPriority w:val="99"/>
    <w:semiHidden/>
    <w:rPr>
      <w:sz w:val="23"/>
      <w:lang w:val="en-GB" w:eastAsia="da-DK"/>
    </w:rPr>
  </w:style>
  <w:style w:type="numbering" w:customStyle="1" w:styleId="CowiHeaders">
    <w:name w:val="CowiHeaders"/>
    <w:pPr>
      <w:numPr>
        <w:numId w:val="22"/>
      </w:numPr>
    </w:pPr>
  </w:style>
  <w:style w:type="numbering" w:styleId="1ai">
    <w:name w:val="Outline List 1"/>
    <w:basedOn w:val="NoList"/>
    <w:uiPriority w:val="99"/>
    <w:semiHidden/>
    <w:unhideWhenUsed/>
    <w:pPr>
      <w:numPr>
        <w:numId w:val="18"/>
      </w:numPr>
    </w:pPr>
  </w:style>
  <w:style w:type="numbering" w:customStyle="1" w:styleId="CowiBulletList">
    <w:name w:val="CowiBulletList"/>
    <w:pPr>
      <w:numPr>
        <w:numId w:val="20"/>
      </w:numPr>
    </w:pPr>
  </w:style>
  <w:style w:type="numbering" w:customStyle="1" w:styleId="CowiNumberList">
    <w:name w:val="CowiNumberList"/>
    <w:pPr>
      <w:numPr>
        <w:numId w:val="21"/>
      </w:numPr>
    </w:pPr>
  </w:style>
  <w:style w:type="numbering" w:styleId="ArticleSection">
    <w:name w:val="Outline List 3"/>
    <w:basedOn w:val="NoList"/>
    <w:uiPriority w:val="99"/>
    <w:semiHidden/>
    <w:unhideWhenUsed/>
    <w:pPr>
      <w:numPr>
        <w:numId w:val="19"/>
      </w:numPr>
    </w:pPr>
  </w:style>
  <w:style w:type="numbering" w:customStyle="1" w:styleId="CowiTableNumberList">
    <w:name w:val="CowiTableNumberList"/>
    <w:pPr>
      <w:numPr>
        <w:numId w:val="24"/>
      </w:numPr>
    </w:pPr>
  </w:style>
  <w:style w:type="numbering" w:customStyle="1" w:styleId="CowiTableBulletList">
    <w:name w:val="CowiTableBulletList"/>
    <w:pPr>
      <w:numPr>
        <w:numId w:val="23"/>
      </w:numPr>
    </w:pPr>
  </w:style>
  <w:style w:type="numbering" w:styleId="111111">
    <w:name w:val="Outline List 2"/>
    <w:basedOn w:val="NoList"/>
    <w:uiPriority w:val="99"/>
    <w:semiHidden/>
    <w:unhideWhenUsed/>
    <w:pPr>
      <w:numPr>
        <w:numId w:val="17"/>
      </w:numPr>
    </w:pPr>
  </w:style>
  <w:style w:type="character" w:customStyle="1" w:styleId="BodyTextChar1">
    <w:name w:val="Body Text Char1"/>
    <w:aliases w:val="Body Text Char Char,Body Text Char Char Char Char Char Char,Body Text Char Char Char Char1 Char,Body Text Char Char1 Char,Body Text Char1 Char Char1 Char,Body Text Char1 Char Char Char Char1 Char"/>
    <w:uiPriority w:val="99"/>
    <w:semiHidden/>
    <w:locked/>
    <w:rsid w:val="00D50BAD"/>
    <w:rPr>
      <w:rFonts w:cs="Times New Roman"/>
      <w:sz w:val="20"/>
      <w:szCs w:val="20"/>
      <w:lang w:val="en-GB"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8328151">
      <w:marLeft w:val="0"/>
      <w:marRight w:val="0"/>
      <w:marTop w:val="0"/>
      <w:marBottom w:val="0"/>
      <w:divBdr>
        <w:top w:val="none" w:sz="0" w:space="0" w:color="auto"/>
        <w:left w:val="none" w:sz="0" w:space="0" w:color="auto"/>
        <w:bottom w:val="none" w:sz="0" w:space="0" w:color="auto"/>
        <w:right w:val="none" w:sz="0" w:space="0" w:color="auto"/>
      </w:divBdr>
    </w:div>
    <w:div w:id="1148328152">
      <w:marLeft w:val="0"/>
      <w:marRight w:val="0"/>
      <w:marTop w:val="0"/>
      <w:marBottom w:val="0"/>
      <w:divBdr>
        <w:top w:val="none" w:sz="0" w:space="0" w:color="auto"/>
        <w:left w:val="none" w:sz="0" w:space="0" w:color="auto"/>
        <w:bottom w:val="none" w:sz="0" w:space="0" w:color="auto"/>
        <w:right w:val="none" w:sz="0" w:space="0" w:color="auto"/>
      </w:divBdr>
    </w:div>
    <w:div w:id="1148328153">
      <w:marLeft w:val="0"/>
      <w:marRight w:val="0"/>
      <w:marTop w:val="0"/>
      <w:marBottom w:val="0"/>
      <w:divBdr>
        <w:top w:val="none" w:sz="0" w:space="0" w:color="auto"/>
        <w:left w:val="none" w:sz="0" w:space="0" w:color="auto"/>
        <w:bottom w:val="none" w:sz="0" w:space="0" w:color="auto"/>
        <w:right w:val="none" w:sz="0" w:space="0" w:color="auto"/>
      </w:divBdr>
    </w:div>
    <w:div w:id="1148328154">
      <w:marLeft w:val="0"/>
      <w:marRight w:val="0"/>
      <w:marTop w:val="0"/>
      <w:marBottom w:val="0"/>
      <w:divBdr>
        <w:top w:val="none" w:sz="0" w:space="0" w:color="auto"/>
        <w:left w:val="none" w:sz="0" w:space="0" w:color="auto"/>
        <w:bottom w:val="none" w:sz="0" w:space="0" w:color="auto"/>
        <w:right w:val="none" w:sz="0" w:space="0" w:color="auto"/>
      </w:divBdr>
    </w:div>
    <w:div w:id="1148328155">
      <w:marLeft w:val="0"/>
      <w:marRight w:val="0"/>
      <w:marTop w:val="0"/>
      <w:marBottom w:val="0"/>
      <w:divBdr>
        <w:top w:val="none" w:sz="0" w:space="0" w:color="auto"/>
        <w:left w:val="none" w:sz="0" w:space="0" w:color="auto"/>
        <w:bottom w:val="none" w:sz="0" w:space="0" w:color="auto"/>
        <w:right w:val="none" w:sz="0" w:space="0" w:color="auto"/>
      </w:divBdr>
    </w:div>
    <w:div w:id="1148328156">
      <w:marLeft w:val="0"/>
      <w:marRight w:val="0"/>
      <w:marTop w:val="0"/>
      <w:marBottom w:val="0"/>
      <w:divBdr>
        <w:top w:val="none" w:sz="0" w:space="0" w:color="auto"/>
        <w:left w:val="none" w:sz="0" w:space="0" w:color="auto"/>
        <w:bottom w:val="none" w:sz="0" w:space="0" w:color="auto"/>
        <w:right w:val="none" w:sz="0" w:space="0" w:color="auto"/>
      </w:divBdr>
    </w:div>
    <w:div w:id="1148328157">
      <w:marLeft w:val="0"/>
      <w:marRight w:val="0"/>
      <w:marTop w:val="0"/>
      <w:marBottom w:val="0"/>
      <w:divBdr>
        <w:top w:val="none" w:sz="0" w:space="0" w:color="auto"/>
        <w:left w:val="none" w:sz="0" w:space="0" w:color="auto"/>
        <w:bottom w:val="none" w:sz="0" w:space="0" w:color="auto"/>
        <w:right w:val="none" w:sz="0" w:space="0" w:color="auto"/>
      </w:divBdr>
    </w:div>
    <w:div w:id="1148328158">
      <w:marLeft w:val="0"/>
      <w:marRight w:val="0"/>
      <w:marTop w:val="0"/>
      <w:marBottom w:val="0"/>
      <w:divBdr>
        <w:top w:val="none" w:sz="0" w:space="0" w:color="auto"/>
        <w:left w:val="none" w:sz="0" w:space="0" w:color="auto"/>
        <w:bottom w:val="none" w:sz="0" w:space="0" w:color="auto"/>
        <w:right w:val="none" w:sz="0" w:space="0" w:color="auto"/>
      </w:divBdr>
    </w:div>
    <w:div w:id="1148328159">
      <w:marLeft w:val="0"/>
      <w:marRight w:val="0"/>
      <w:marTop w:val="0"/>
      <w:marBottom w:val="0"/>
      <w:divBdr>
        <w:top w:val="none" w:sz="0" w:space="0" w:color="auto"/>
        <w:left w:val="none" w:sz="0" w:space="0" w:color="auto"/>
        <w:bottom w:val="none" w:sz="0" w:space="0" w:color="auto"/>
        <w:right w:val="none" w:sz="0" w:space="0" w:color="auto"/>
      </w:divBdr>
    </w:div>
    <w:div w:id="1148328160">
      <w:marLeft w:val="0"/>
      <w:marRight w:val="0"/>
      <w:marTop w:val="0"/>
      <w:marBottom w:val="0"/>
      <w:divBdr>
        <w:top w:val="none" w:sz="0" w:space="0" w:color="auto"/>
        <w:left w:val="none" w:sz="0" w:space="0" w:color="auto"/>
        <w:bottom w:val="none" w:sz="0" w:space="0" w:color="auto"/>
        <w:right w:val="none" w:sz="0" w:space="0" w:color="auto"/>
      </w:divBdr>
    </w:div>
    <w:div w:id="11483281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nep.org/hazardoussubstances/Mercury/MercuryPublications/GuidanceTrainingMaterialToolkits/MercuryToolkit/tabid/4566/language/en-US/Default.aspx"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icrosoft\templates\Obsolete\COWI\COWI%20REPOR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COWI REPORT.DOTM</Template>
  <TotalTime>1</TotalTime>
  <Pages>30</Pages>
  <Words>6852</Words>
  <Characters>39057</Characters>
  <Application>Microsoft Office Word</Application>
  <DocSecurity>0</DocSecurity>
  <Lines>325</Lines>
  <Paragraphs>91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INVENTORY OF MERCURY RELEASES IN [COUNTRY]</vt:lpstr>
      <vt:lpstr>INVENTORY OF MERCURY RELEASES IN [COUNTRY]</vt:lpstr>
    </vt:vector>
  </TitlesOfParts>
  <Company>COWI</Company>
  <LinksUpToDate>false</LinksUpToDate>
  <CharactersWithSpaces>45818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OF MERCURY RELEASES IN [COUNTRY]</dc:title>
  <dc:subject/>
  <dc:creator>Jakob Maag</dc:creator>
  <cp:keywords/>
  <dc:description/>
  <cp:lastModifiedBy>Angeline Djampou</cp:lastModifiedBy>
  <cp:revision>2</cp:revision>
  <cp:lastPrinted>2013-04-09T13:54:00Z</cp:lastPrinted>
  <dcterms:created xsi:type="dcterms:W3CDTF">2019-11-25T08:47:00Z</dcterms:created>
  <dcterms:modified xsi:type="dcterms:W3CDTF">2019-11-25T08:47:00Z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wiSubject">
    <vt:lpwstr> </vt:lpwstr>
  </property>
  <property fmtid="{D5CDD505-2E9C-101B-9397-08002B2CF9AE}" pid="3" name="CowiTitle">
    <vt:lpwstr>INVENTORY OF MERCURY RELEASES IN [COUNTRY]</vt:lpwstr>
  </property>
  <property fmtid="{D5CDD505-2E9C-101B-9397-08002B2CF9AE}" pid="4" name="CowiDate">
    <vt:lpwstr/>
  </property>
  <property fmtid="{D5CDD505-2E9C-101B-9397-08002B2CF9AE}" pid="5" name="CowiClient">
    <vt:lpwstr/>
  </property>
  <property fmtid="{D5CDD505-2E9C-101B-9397-08002B2CF9AE}" pid="6" name="CowiAuthor">
    <vt:lpwstr/>
  </property>
  <property fmtid="{D5CDD505-2E9C-101B-9397-08002B2CF9AE}" pid="7" name="Client">
    <vt:lpwstr/>
  </property>
  <property fmtid="{D5CDD505-2E9C-101B-9397-08002B2CF9AE}" pid="8" name="Date completed">
    <vt:lpwstr/>
  </property>
  <property fmtid="{D5CDD505-2E9C-101B-9397-08002B2CF9AE}" pid="9" name="Project">
    <vt:lpwstr> </vt:lpwstr>
  </property>
  <property fmtid="{D5CDD505-2E9C-101B-9397-08002B2CF9AE}" pid="10" name="Language">
    <vt:lpwstr>English [UK]</vt:lpwstr>
  </property>
  <property fmtid="{D5CDD505-2E9C-101B-9397-08002B2CF9AE}" pid="11" name="Office">
    <vt:lpwstr>Vejle</vt:lpwstr>
  </property>
  <property fmtid="{D5CDD505-2E9C-101B-9397-08002B2CF9AE}" pid="12" name="CowiChecker">
    <vt:lpwstr/>
  </property>
  <property fmtid="{D5CDD505-2E9C-101B-9397-08002B2CF9AE}" pid="13" name="CowiApprover">
    <vt:lpwstr/>
  </property>
  <property fmtid="{D5CDD505-2E9C-101B-9397-08002B2CF9AE}" pid="14" name="CowiDocNo">
    <vt:lpwstr/>
  </property>
  <property fmtid="{D5CDD505-2E9C-101B-9397-08002B2CF9AE}" pid="15" name="CowiRevNo">
    <vt:lpwstr/>
  </property>
  <property fmtid="{D5CDD505-2E9C-101B-9397-08002B2CF9AE}" pid="16" name="Approved by">
    <vt:lpwstr/>
  </property>
  <property fmtid="{D5CDD505-2E9C-101B-9397-08002B2CF9AE}" pid="17" name="Checked by">
    <vt:lpwstr/>
  </property>
  <property fmtid="{D5CDD505-2E9C-101B-9397-08002B2CF9AE}" pid="18" name="Revision no">
    <vt:lpwstr/>
  </property>
  <property fmtid="{D5CDD505-2E9C-101B-9397-08002B2CF9AE}" pid="19" name="Document no">
    <vt:lpwstr/>
  </property>
  <property fmtid="{D5CDD505-2E9C-101B-9397-08002B2CF9AE}" pid="20" name="ContentType">
    <vt:lpwstr>COWI Report</vt:lpwstr>
  </property>
  <property fmtid="{D5CDD505-2E9C-101B-9397-08002B2CF9AE}" pid="21" name="PortalLanguage">
    <vt:lpwstr>English [UK]</vt:lpwstr>
  </property>
  <property fmtid="{D5CDD505-2E9C-101B-9397-08002B2CF9AE}" pid="22" name="PortalAuthor">
    <vt:lpwstr/>
  </property>
  <property fmtid="{D5CDD505-2E9C-101B-9397-08002B2CF9AE}" pid="23" name="Version no">
    <vt:lpwstr/>
  </property>
  <property fmtid="{D5CDD505-2E9C-101B-9397-08002B2CF9AE}" pid="24" name="CowiVerNo">
    <vt:lpwstr/>
  </property>
  <property fmtid="{D5CDD505-2E9C-101B-9397-08002B2CF9AE}" pid="25" name="_AdHocReviewCycleID">
    <vt:i4>-1769855855</vt:i4>
  </property>
  <property fmtid="{D5CDD505-2E9C-101B-9397-08002B2CF9AE}" pid="26" name="_NewReviewCycle">
    <vt:lpwstr/>
  </property>
  <property fmtid="{D5CDD505-2E9C-101B-9397-08002B2CF9AE}" pid="27" name="_EmailSubject">
    <vt:lpwstr>Hg-Toolkit-Inventory-Report-Templates for IL1 og IL2 til din KS (inden i morgen kl 16)</vt:lpwstr>
  </property>
  <property fmtid="{D5CDD505-2E9C-101B-9397-08002B2CF9AE}" pid="28" name="_AuthorEmail">
    <vt:lpwstr>CRL@cowi.dk</vt:lpwstr>
  </property>
  <property fmtid="{D5CDD505-2E9C-101B-9397-08002B2CF9AE}" pid="29" name="_AuthorEmailDisplayName">
    <vt:lpwstr>Carsten Lassen</vt:lpwstr>
  </property>
  <property fmtid="{D5CDD505-2E9C-101B-9397-08002B2CF9AE}" pid="30" name="_ReviewingToolsShownOnce">
    <vt:lpwstr/>
  </property>
</Properties>
</file>