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62" w:type="dxa"/>
        <w:tblInd w:w="-34" w:type="dxa"/>
        <w:tblBorders>
          <w:bottom w:val="single" w:sz="24" w:space="0" w:color="auto"/>
          <w:insideH w:val="single" w:sz="8" w:space="0" w:color="auto"/>
        </w:tblBorders>
        <w:tblLayout w:type="fixed"/>
        <w:tblCellMar>
          <w:top w:w="28" w:type="dxa"/>
          <w:left w:w="85" w:type="dxa"/>
          <w:bottom w:w="28" w:type="dxa"/>
          <w:right w:w="85" w:type="dxa"/>
        </w:tblCellMar>
        <w:tblLook w:val="0000" w:firstRow="0" w:lastRow="0" w:firstColumn="0" w:lastColumn="0" w:noHBand="0" w:noVBand="0"/>
      </w:tblPr>
      <w:tblGrid>
        <w:gridCol w:w="2707"/>
        <w:gridCol w:w="5407"/>
        <w:gridCol w:w="1526"/>
        <w:gridCol w:w="22"/>
      </w:tblGrid>
      <w:tr w:rsidR="00DE796A" w14:paraId="65151BD3" w14:textId="77777777" w:rsidTr="00C07A4A">
        <w:trPr>
          <w:gridAfter w:val="1"/>
          <w:wAfter w:w="22" w:type="dxa"/>
          <w:cantSplit/>
          <w:trHeight w:val="708"/>
        </w:trPr>
        <w:tc>
          <w:tcPr>
            <w:tcW w:w="2707" w:type="dxa"/>
            <w:tcBorders>
              <w:bottom w:val="nil"/>
            </w:tcBorders>
          </w:tcPr>
          <w:p w14:paraId="43EA6F7E" w14:textId="77777777" w:rsidR="00DE796A" w:rsidRPr="00C811BE" w:rsidRDefault="00C811BE">
            <w:pPr>
              <w:bidi w:val="0"/>
              <w:rPr>
                <w:rFonts w:cs="Times New Roman"/>
                <w:b/>
                <w:bCs/>
                <w:sz w:val="60"/>
                <w:szCs w:val="60"/>
                <w:rtl/>
              </w:rPr>
            </w:pPr>
            <w:r w:rsidRPr="00C811BE">
              <w:rPr>
                <w:rFonts w:ascii="Univers" w:hAnsi="Univers" w:cs="Times New Roman"/>
                <w:b/>
                <w:sz w:val="60"/>
                <w:szCs w:val="60"/>
              </w:rPr>
              <w:t>EP</w:t>
            </w:r>
          </w:p>
        </w:tc>
        <w:tc>
          <w:tcPr>
            <w:tcW w:w="6933" w:type="dxa"/>
            <w:gridSpan w:val="2"/>
            <w:tcBorders>
              <w:bottom w:val="nil"/>
            </w:tcBorders>
          </w:tcPr>
          <w:p w14:paraId="13C4198E" w14:textId="77777777" w:rsidR="00DE796A" w:rsidRPr="000844F9" w:rsidRDefault="00DE796A">
            <w:pPr>
              <w:jc w:val="both"/>
              <w:rPr>
                <w:rFonts w:cs="Traditional Arabic"/>
                <w:b/>
                <w:bCs/>
                <w:sz w:val="44"/>
                <w:szCs w:val="44"/>
              </w:rPr>
            </w:pPr>
            <w:r w:rsidRPr="000844F9">
              <w:rPr>
                <w:rFonts w:cs="Traditional Arabic" w:hint="cs"/>
                <w:b/>
                <w:bCs/>
                <w:sz w:val="44"/>
                <w:szCs w:val="44"/>
                <w:rtl/>
              </w:rPr>
              <w:t>الأمم المتحدة</w:t>
            </w:r>
          </w:p>
        </w:tc>
      </w:tr>
      <w:tr w:rsidR="004B0A17" w14:paraId="47203BE6" w14:textId="77777777" w:rsidTr="009C06F1">
        <w:trPr>
          <w:gridAfter w:val="1"/>
          <w:wAfter w:w="22" w:type="dxa"/>
          <w:cantSplit/>
          <w:trHeight w:val="312"/>
        </w:trPr>
        <w:tc>
          <w:tcPr>
            <w:tcW w:w="2707" w:type="dxa"/>
            <w:tcBorders>
              <w:top w:val="nil"/>
              <w:bottom w:val="single" w:sz="4" w:space="0" w:color="auto"/>
            </w:tcBorders>
            <w:vAlign w:val="bottom"/>
          </w:tcPr>
          <w:p w14:paraId="75D9532D" w14:textId="4E50EA35" w:rsidR="004B0A17" w:rsidRPr="009C06F1" w:rsidRDefault="00FC1DEC" w:rsidP="0039606B">
            <w:pPr>
              <w:bidi w:val="0"/>
              <w:spacing w:before="60" w:line="300" w:lineRule="exact"/>
              <w:rPr>
                <w:rFonts w:cs="Times New Roman"/>
                <w:b/>
                <w:bCs/>
                <w:sz w:val="20"/>
                <w:szCs w:val="20"/>
              </w:rPr>
            </w:pPr>
            <w:r w:rsidRPr="00A4434B">
              <w:rPr>
                <w:b/>
                <w:bCs/>
                <w:sz w:val="28"/>
                <w:lang w:val="en-GB"/>
              </w:rPr>
              <w:t>UNEP</w:t>
            </w:r>
            <w:r w:rsidRPr="00A4434B">
              <w:rPr>
                <w:lang w:val="en-GB"/>
              </w:rPr>
              <w:t>/</w:t>
            </w:r>
            <w:r w:rsidRPr="00004629">
              <w:rPr>
                <w:sz w:val="20"/>
                <w:szCs w:val="20"/>
                <w:lang w:val="en-GB"/>
              </w:rPr>
              <w:t>EA.</w:t>
            </w:r>
            <w:r w:rsidR="00900B6E">
              <w:rPr>
                <w:sz w:val="20"/>
                <w:szCs w:val="20"/>
                <w:lang w:val="en-GB"/>
              </w:rPr>
              <w:t>4</w:t>
            </w:r>
            <w:r w:rsidRPr="00B4256C">
              <w:rPr>
                <w:sz w:val="20"/>
                <w:szCs w:val="20"/>
                <w:lang w:val="en-GB"/>
              </w:rPr>
              <w:t>/</w:t>
            </w:r>
            <w:r w:rsidR="00FF5087">
              <w:rPr>
                <w:rFonts w:cs="Times New Roman"/>
                <w:sz w:val="20"/>
                <w:szCs w:val="20"/>
              </w:rPr>
              <w:t>14</w:t>
            </w:r>
          </w:p>
        </w:tc>
        <w:tc>
          <w:tcPr>
            <w:tcW w:w="6933" w:type="dxa"/>
            <w:gridSpan w:val="2"/>
            <w:tcBorders>
              <w:top w:val="nil"/>
              <w:bottom w:val="single" w:sz="4" w:space="0" w:color="auto"/>
            </w:tcBorders>
            <w:vAlign w:val="bottom"/>
          </w:tcPr>
          <w:p w14:paraId="2D58EA46" w14:textId="77777777" w:rsidR="004B0A17" w:rsidRPr="009C06F1" w:rsidRDefault="004B0A17" w:rsidP="009C06F1">
            <w:pPr>
              <w:bidi w:val="0"/>
              <w:spacing w:line="300" w:lineRule="exact"/>
              <w:jc w:val="both"/>
              <w:rPr>
                <w:rFonts w:cs="Times New Roman"/>
                <w:b/>
                <w:bCs/>
                <w:sz w:val="20"/>
                <w:szCs w:val="20"/>
                <w:rtl/>
              </w:rPr>
            </w:pPr>
          </w:p>
        </w:tc>
      </w:tr>
      <w:tr w:rsidR="00DE796A" w14:paraId="6AA30135" w14:textId="77777777" w:rsidTr="009C06F1">
        <w:trPr>
          <w:cantSplit/>
          <w:trHeight w:val="2475"/>
        </w:trPr>
        <w:tc>
          <w:tcPr>
            <w:tcW w:w="2707" w:type="dxa"/>
            <w:tcBorders>
              <w:top w:val="single" w:sz="4" w:space="0" w:color="auto"/>
            </w:tcBorders>
          </w:tcPr>
          <w:p w14:paraId="3AA6B06F" w14:textId="77777777" w:rsidR="00DE796A" w:rsidRPr="00A969A0" w:rsidRDefault="00DE796A" w:rsidP="00386B73">
            <w:pPr>
              <w:bidi w:val="0"/>
              <w:spacing w:before="160"/>
              <w:jc w:val="both"/>
              <w:rPr>
                <w:rFonts w:cs="Times New Roman"/>
                <w:sz w:val="20"/>
                <w:szCs w:val="20"/>
                <w:lang w:val="en-GB"/>
              </w:rPr>
            </w:pPr>
            <w:r w:rsidRPr="00A969A0">
              <w:rPr>
                <w:rFonts w:cs="Times New Roman"/>
                <w:sz w:val="20"/>
                <w:szCs w:val="20"/>
              </w:rPr>
              <w:t>Distr.</w:t>
            </w:r>
            <w:r w:rsidR="006C560D" w:rsidRPr="00A969A0">
              <w:rPr>
                <w:rFonts w:cs="Times New Roman"/>
                <w:sz w:val="20"/>
                <w:szCs w:val="20"/>
                <w:lang w:val="en-GB"/>
              </w:rPr>
              <w:t>: General</w:t>
            </w:r>
          </w:p>
          <w:p w14:paraId="27CB6FE9" w14:textId="490D0B06" w:rsidR="00DE796A" w:rsidRPr="00A969A0" w:rsidRDefault="00086A6A">
            <w:pPr>
              <w:bidi w:val="0"/>
              <w:jc w:val="both"/>
              <w:rPr>
                <w:rFonts w:cs="Times New Roman"/>
                <w:sz w:val="20"/>
                <w:szCs w:val="20"/>
              </w:rPr>
            </w:pPr>
            <w:r>
              <w:rPr>
                <w:rFonts w:cs="Times New Roman"/>
                <w:sz w:val="20"/>
                <w:szCs w:val="20"/>
              </w:rPr>
              <w:t>23 November</w:t>
            </w:r>
            <w:r w:rsidR="00A576F2">
              <w:rPr>
                <w:rFonts w:cs="Times New Roman"/>
                <w:sz w:val="20"/>
                <w:szCs w:val="20"/>
              </w:rPr>
              <w:t xml:space="preserve"> </w:t>
            </w:r>
            <w:r w:rsidR="00A576F2" w:rsidRPr="00A969A0">
              <w:rPr>
                <w:rFonts w:cs="Times New Roman"/>
                <w:sz w:val="20"/>
                <w:szCs w:val="20"/>
              </w:rPr>
              <w:t>20</w:t>
            </w:r>
            <w:r w:rsidR="00A576F2">
              <w:rPr>
                <w:rFonts w:cs="Times New Roman"/>
                <w:sz w:val="20"/>
                <w:szCs w:val="20"/>
              </w:rPr>
              <w:t>1</w:t>
            </w:r>
            <w:r w:rsidR="00900B6E">
              <w:rPr>
                <w:rFonts w:cs="Times New Roman"/>
                <w:sz w:val="20"/>
                <w:szCs w:val="20"/>
              </w:rPr>
              <w:t>8</w:t>
            </w:r>
          </w:p>
          <w:p w14:paraId="42911277" w14:textId="77777777" w:rsidR="00DE796A" w:rsidRPr="00A969A0" w:rsidRDefault="009819E2" w:rsidP="00A969A0">
            <w:pPr>
              <w:pStyle w:val="Heading5"/>
              <w:bidi w:val="0"/>
              <w:spacing w:before="240"/>
              <w:ind w:left="34"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14:paraId="527E2A62" w14:textId="77777777" w:rsidR="00DE796A" w:rsidRDefault="009819E2" w:rsidP="00A969A0">
            <w:pPr>
              <w:bidi w:val="0"/>
              <w:ind w:right="34"/>
              <w:jc w:val="both"/>
            </w:pPr>
            <w:r w:rsidRPr="00A969A0">
              <w:rPr>
                <w:rFonts w:cs="Times New Roman"/>
                <w:sz w:val="20"/>
                <w:szCs w:val="20"/>
              </w:rPr>
              <w:t>Original: English</w:t>
            </w:r>
          </w:p>
        </w:tc>
        <w:tc>
          <w:tcPr>
            <w:tcW w:w="5407" w:type="dxa"/>
            <w:tcBorders>
              <w:top w:val="single" w:sz="4" w:space="0" w:color="auto"/>
            </w:tcBorders>
            <w:vAlign w:val="bottom"/>
          </w:tcPr>
          <w:p w14:paraId="4D2CD28F" w14:textId="77777777" w:rsidR="00DE796A" w:rsidRPr="002B0E93" w:rsidRDefault="00324C76" w:rsidP="00086A6A">
            <w:pPr>
              <w:spacing w:before="840" w:after="120" w:line="460" w:lineRule="exact"/>
              <w:ind w:right="2767" w:firstLine="17"/>
              <w:jc w:val="both"/>
              <w:rPr>
                <w:sz w:val="48"/>
                <w:szCs w:val="48"/>
                <w:rtl/>
              </w:rPr>
            </w:pPr>
            <w:r w:rsidRPr="002B0E93">
              <w:rPr>
                <w:rFonts w:cs="Traditional Arabic" w:hint="cs"/>
                <w:b/>
                <w:bCs/>
                <w:sz w:val="48"/>
                <w:szCs w:val="48"/>
                <w:rtl/>
              </w:rPr>
              <w:t xml:space="preserve">جمعية الأمم المتحدة للبيئة </w:t>
            </w:r>
            <w:r w:rsidR="000255EE" w:rsidRPr="002B0E93">
              <w:rPr>
                <w:rFonts w:cs="Traditional Arabic" w:hint="cs"/>
                <w:b/>
                <w:bCs/>
                <w:sz w:val="48"/>
                <w:szCs w:val="48"/>
                <w:rtl/>
              </w:rPr>
              <w:t xml:space="preserve">التابعة </w:t>
            </w:r>
            <w:r w:rsidR="007C0FF8" w:rsidRPr="002B0E93">
              <w:rPr>
                <w:rFonts w:cs="Traditional Arabic" w:hint="cs"/>
                <w:b/>
                <w:bCs/>
                <w:sz w:val="48"/>
                <w:szCs w:val="48"/>
                <w:rtl/>
              </w:rPr>
              <w:t>ل</w:t>
            </w:r>
            <w:r w:rsidRPr="002B0E93">
              <w:rPr>
                <w:rFonts w:cs="Traditional Arabic" w:hint="cs"/>
                <w:b/>
                <w:bCs/>
                <w:sz w:val="48"/>
                <w:szCs w:val="48"/>
                <w:rtl/>
              </w:rPr>
              <w:t>برنامج الأمم المتحدة للبيئة</w:t>
            </w:r>
          </w:p>
        </w:tc>
        <w:tc>
          <w:tcPr>
            <w:tcW w:w="1548" w:type="dxa"/>
            <w:gridSpan w:val="2"/>
            <w:tcBorders>
              <w:top w:val="single" w:sz="4" w:space="0" w:color="auto"/>
            </w:tcBorders>
          </w:tcPr>
          <w:p w14:paraId="4B969370" w14:textId="77777777" w:rsidR="00DE796A" w:rsidRDefault="000C095D" w:rsidP="002B0E93">
            <w:pPr>
              <w:spacing w:line="20" w:lineRule="exact"/>
              <w:jc w:val="right"/>
            </w:pPr>
            <w:r>
              <w:rPr>
                <w:noProof/>
              </w:rPr>
              <w:drawing>
                <wp:anchor distT="0" distB="0" distL="114300" distR="114300" simplePos="0" relativeHeight="251658240" behindDoc="0" locked="0" layoutInCell="1" allowOverlap="1" wp14:anchorId="669A1AFD" wp14:editId="4A6DAA64">
                  <wp:simplePos x="0" y="0"/>
                  <wp:positionH relativeFrom="column">
                    <wp:posOffset>148590</wp:posOffset>
                  </wp:positionH>
                  <wp:positionV relativeFrom="paragraph">
                    <wp:posOffset>831215</wp:posOffset>
                  </wp:positionV>
                  <wp:extent cx="756000" cy="706154"/>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b="9727"/>
                          <a:stretch>
                            <a:fillRect/>
                          </a:stretch>
                        </pic:blipFill>
                        <pic:spPr bwMode="auto">
                          <a:xfrm>
                            <a:off x="0" y="0"/>
                            <a:ext cx="756000" cy="706154"/>
                          </a:xfrm>
                          <a:prstGeom prst="rect">
                            <a:avLst/>
                          </a:prstGeom>
                          <a:noFill/>
                        </pic:spPr>
                      </pic:pic>
                    </a:graphicData>
                  </a:graphic>
                  <wp14:sizeRelH relativeFrom="page">
                    <wp14:pctWidth>0</wp14:pctWidth>
                  </wp14:sizeRelH>
                  <wp14:sizeRelV relativeFrom="page">
                    <wp14:pctHeight>0</wp14:pctHeight>
                  </wp14:sizeRelV>
                </wp:anchor>
              </w:drawing>
            </w:r>
            <w:r w:rsidR="003B6C4E">
              <w:rPr>
                <w:noProof/>
              </w:rPr>
              <w:object w:dxaOrig="1440" w:dyaOrig="1440" w14:anchorId="42CAB5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pt;margin-top:5.65pt;width:65.55pt;height:61.85pt;z-index:251660288;mso-position-horizontal-relative:text;mso-position-vertical-relative:text;mso-width-relative:page;mso-height-relative:page" wrapcoords="-248 0 -248 18439 19117 18439 19117 0 -248 0" fillcolor="window">
                  <v:imagedata r:id="rId9" o:title=""/>
                  <w10:wrap type="tight"/>
                </v:shape>
                <o:OLEObject Type="Embed" ProgID="Word.Picture.8" ShapeID="_x0000_s1026" DrawAspect="Content" ObjectID="_1609939947" r:id="rId10"/>
              </w:object>
            </w:r>
          </w:p>
        </w:tc>
      </w:tr>
    </w:tbl>
    <w:p w14:paraId="0A724013" w14:textId="77777777" w:rsidR="00A81553" w:rsidRDefault="00A81553" w:rsidP="00C07A4A">
      <w:pPr>
        <w:spacing w:before="40" w:line="360" w:lineRule="exact"/>
        <w:ind w:right="6662"/>
        <w:jc w:val="both"/>
        <w:rPr>
          <w:rFonts w:cs="Traditional Arabic"/>
          <w:b/>
          <w:bCs/>
          <w:sz w:val="30"/>
          <w:szCs w:val="30"/>
          <w:rtl/>
        </w:rPr>
      </w:pPr>
      <w:r>
        <w:rPr>
          <w:rFonts w:cs="Traditional Arabic" w:hint="cs"/>
          <w:b/>
          <w:bCs/>
          <w:sz w:val="30"/>
          <w:szCs w:val="30"/>
          <w:rtl/>
        </w:rPr>
        <w:t xml:space="preserve">جمعية الأمم المتحدة للبيئة </w:t>
      </w:r>
      <w:r w:rsidR="000255EE">
        <w:rPr>
          <w:rFonts w:cs="Traditional Arabic" w:hint="cs"/>
          <w:b/>
          <w:bCs/>
          <w:sz w:val="30"/>
          <w:szCs w:val="30"/>
          <w:rtl/>
        </w:rPr>
        <w:t xml:space="preserve">التابعة </w:t>
      </w:r>
      <w:r w:rsidR="007C0FF8">
        <w:rPr>
          <w:rFonts w:cs="Traditional Arabic" w:hint="cs"/>
          <w:b/>
          <w:bCs/>
          <w:sz w:val="30"/>
          <w:szCs w:val="30"/>
          <w:rtl/>
        </w:rPr>
        <w:t>ل</w:t>
      </w:r>
      <w:r>
        <w:rPr>
          <w:rFonts w:cs="Traditional Arabic" w:hint="cs"/>
          <w:b/>
          <w:bCs/>
          <w:sz w:val="30"/>
          <w:szCs w:val="30"/>
          <w:rtl/>
        </w:rPr>
        <w:t>برنامج الأمم المتحدة للبيئة</w:t>
      </w:r>
    </w:p>
    <w:p w14:paraId="5C10C901" w14:textId="060CCA7F" w:rsidR="00A81553" w:rsidRPr="00A579D1" w:rsidRDefault="00A81553" w:rsidP="00C07A4A">
      <w:pPr>
        <w:spacing w:line="360" w:lineRule="exact"/>
        <w:ind w:left="-2" w:right="6946"/>
        <w:jc w:val="both"/>
        <w:rPr>
          <w:rFonts w:cs="Traditional Arabic"/>
          <w:b/>
          <w:bCs/>
          <w:sz w:val="30"/>
          <w:szCs w:val="30"/>
          <w:rtl/>
        </w:rPr>
      </w:pPr>
      <w:r>
        <w:rPr>
          <w:rFonts w:cs="Traditional Arabic" w:hint="cs"/>
          <w:b/>
          <w:bCs/>
          <w:sz w:val="30"/>
          <w:szCs w:val="30"/>
          <w:rtl/>
        </w:rPr>
        <w:t xml:space="preserve">الدورة </w:t>
      </w:r>
      <w:r w:rsidR="003B6C4E">
        <w:rPr>
          <w:rFonts w:cs="Traditional Arabic" w:hint="cs"/>
          <w:b/>
          <w:bCs/>
          <w:sz w:val="30"/>
          <w:szCs w:val="30"/>
          <w:rtl/>
        </w:rPr>
        <w:t>الراب</w:t>
      </w:r>
      <w:bookmarkStart w:id="0" w:name="_GoBack"/>
      <w:bookmarkEnd w:id="0"/>
      <w:r w:rsidR="003B6C4E">
        <w:rPr>
          <w:rFonts w:cs="Traditional Arabic" w:hint="cs"/>
          <w:b/>
          <w:bCs/>
          <w:sz w:val="30"/>
          <w:szCs w:val="30"/>
          <w:rtl/>
        </w:rPr>
        <w:t>عة</w:t>
      </w:r>
    </w:p>
    <w:p w14:paraId="0AFC1CBC" w14:textId="07FBA291" w:rsidR="00A81553" w:rsidRDefault="00A81553" w:rsidP="00C07A4A">
      <w:pPr>
        <w:spacing w:line="360" w:lineRule="exact"/>
        <w:ind w:right="5812"/>
        <w:jc w:val="both"/>
        <w:rPr>
          <w:rFonts w:ascii="Traditional Arabic" w:hAnsi="Traditional Arabic" w:cs="Traditional Arabic"/>
          <w:sz w:val="30"/>
          <w:szCs w:val="30"/>
          <w:rtl/>
        </w:rPr>
      </w:pPr>
      <w:r w:rsidRPr="00A579D1">
        <w:rPr>
          <w:rFonts w:cs="Traditional Arabic" w:hint="cs"/>
          <w:sz w:val="30"/>
          <w:szCs w:val="30"/>
          <w:rtl/>
        </w:rPr>
        <w:t>نيروبي،</w:t>
      </w:r>
      <w:r w:rsidR="00A576F2">
        <w:rPr>
          <w:rFonts w:cs="Traditional Arabic" w:hint="cs"/>
          <w:sz w:val="30"/>
          <w:szCs w:val="30"/>
          <w:rtl/>
        </w:rPr>
        <w:t xml:space="preserve"> </w:t>
      </w:r>
      <w:r w:rsidR="00900B6E">
        <w:rPr>
          <w:rFonts w:cs="Traditional Arabic" w:hint="cs"/>
          <w:sz w:val="30"/>
          <w:szCs w:val="30"/>
          <w:rtl/>
        </w:rPr>
        <w:t>11</w:t>
      </w:r>
      <w:r w:rsidR="00A576F2">
        <w:rPr>
          <w:rFonts w:cs="Traditional Arabic" w:hint="cs"/>
          <w:sz w:val="30"/>
          <w:szCs w:val="30"/>
          <w:rtl/>
        </w:rPr>
        <w:t>-</w:t>
      </w:r>
      <w:r w:rsidR="00900B6E">
        <w:rPr>
          <w:rFonts w:cs="Traditional Arabic" w:hint="cs"/>
          <w:sz w:val="30"/>
          <w:szCs w:val="30"/>
          <w:rtl/>
        </w:rPr>
        <w:t>15</w:t>
      </w:r>
      <w:r w:rsidR="00A576F2">
        <w:rPr>
          <w:rFonts w:cs="Traditional Arabic" w:hint="cs"/>
          <w:sz w:val="30"/>
          <w:szCs w:val="30"/>
          <w:rtl/>
        </w:rPr>
        <w:t xml:space="preserve"> كانون </w:t>
      </w:r>
      <w:r w:rsidR="00900B6E">
        <w:rPr>
          <w:rFonts w:cs="Traditional Arabic" w:hint="cs"/>
          <w:sz w:val="30"/>
          <w:szCs w:val="30"/>
          <w:rtl/>
        </w:rPr>
        <w:t>آذار</w:t>
      </w:r>
      <w:r w:rsidR="00A576F2">
        <w:rPr>
          <w:rFonts w:cs="Traditional Arabic" w:hint="cs"/>
          <w:sz w:val="30"/>
          <w:szCs w:val="30"/>
          <w:rtl/>
        </w:rPr>
        <w:t>/</w:t>
      </w:r>
      <w:r w:rsidR="00900B6E">
        <w:rPr>
          <w:rFonts w:cs="Traditional Arabic" w:hint="cs"/>
          <w:sz w:val="30"/>
          <w:szCs w:val="30"/>
          <w:rtl/>
        </w:rPr>
        <w:t>مارس</w:t>
      </w:r>
      <w:r w:rsidR="00A576F2">
        <w:rPr>
          <w:rFonts w:cs="Traditional Arabic" w:hint="cs"/>
          <w:sz w:val="30"/>
          <w:szCs w:val="30"/>
          <w:rtl/>
        </w:rPr>
        <w:t xml:space="preserve"> </w:t>
      </w:r>
      <w:r w:rsidRPr="00924796">
        <w:rPr>
          <w:rFonts w:ascii="Traditional Arabic" w:hAnsi="Traditional Arabic" w:cs="Traditional Arabic"/>
          <w:sz w:val="30"/>
          <w:szCs w:val="30"/>
          <w:rtl/>
        </w:rPr>
        <w:t>201</w:t>
      </w:r>
      <w:r w:rsidR="00900B6E">
        <w:rPr>
          <w:rFonts w:ascii="Traditional Arabic" w:hAnsi="Traditional Arabic" w:cs="Traditional Arabic" w:hint="cs"/>
          <w:sz w:val="30"/>
          <w:szCs w:val="30"/>
          <w:rtl/>
        </w:rPr>
        <w:t>9</w:t>
      </w:r>
    </w:p>
    <w:p w14:paraId="04E704F5" w14:textId="631CA92A" w:rsidR="00B4256C" w:rsidRDefault="00B4256C" w:rsidP="00C07A4A">
      <w:pPr>
        <w:pStyle w:val="AATitle"/>
        <w:bidi/>
        <w:spacing w:line="360" w:lineRule="exact"/>
        <w:ind w:left="-2"/>
        <w:jc w:val="both"/>
        <w:textDirection w:val="tbRlV"/>
        <w:rPr>
          <w:rStyle w:val="FootnoteReference"/>
          <w:rFonts w:hint="default"/>
          <w:rtl/>
          <w:lang w:eastAsia="zh-TW"/>
        </w:rPr>
      </w:pPr>
      <w:r>
        <w:rPr>
          <w:rtl/>
          <w:lang w:eastAsia="zh-TW"/>
        </w:rPr>
        <w:t xml:space="preserve">البند </w:t>
      </w:r>
      <w:r w:rsidR="00086A6A">
        <w:rPr>
          <w:rtl/>
          <w:lang w:eastAsia="zh-TW"/>
        </w:rPr>
        <w:t>6</w:t>
      </w:r>
      <w:r w:rsidR="00F2495E">
        <w:rPr>
          <w:rtl/>
          <w:lang w:eastAsia="zh-TW"/>
        </w:rPr>
        <w:t xml:space="preserve"> </w:t>
      </w:r>
      <w:r>
        <w:rPr>
          <w:rtl/>
          <w:lang w:eastAsia="zh-TW"/>
        </w:rPr>
        <w:t>من جدول الأعمال المؤقت</w:t>
      </w:r>
      <w:r>
        <w:rPr>
          <w:rStyle w:val="FootnoteReference"/>
          <w:rtl/>
          <w:lang w:eastAsia="zh-TW"/>
        </w:rPr>
        <w:footnoteReference w:customMarkFollows="1" w:id="1"/>
        <w:t>*</w:t>
      </w:r>
    </w:p>
    <w:p w14:paraId="2DB5E85F" w14:textId="59921536" w:rsidR="004D3BED" w:rsidRPr="007825F3" w:rsidRDefault="00086A6A" w:rsidP="00086A6A">
      <w:pPr>
        <w:pStyle w:val="AATitle"/>
        <w:bidi/>
        <w:spacing w:after="240" w:line="360" w:lineRule="exact"/>
        <w:ind w:right="5954"/>
        <w:jc w:val="both"/>
        <w:textDirection w:val="tbRlV"/>
        <w:rPr>
          <w:rFonts w:hint="default"/>
          <w:b w:val="0"/>
          <w:bCs/>
          <w:sz w:val="28"/>
          <w:szCs w:val="28"/>
          <w:rtl/>
          <w:lang w:eastAsia="zh-TW"/>
        </w:rPr>
      </w:pPr>
      <w:r w:rsidRPr="007825F3">
        <w:rPr>
          <w:bCs/>
          <w:sz w:val="28"/>
          <w:szCs w:val="28"/>
          <w:rtl/>
        </w:rPr>
        <w:t>برنامج العمل والميزانية وغير ذلك من المسائل الإدارية والمتعلقة بالميزانية</w:t>
      </w:r>
    </w:p>
    <w:p w14:paraId="0ADD192B" w14:textId="34FF27E2" w:rsidR="00086A6A" w:rsidRDefault="00086A6A" w:rsidP="008E382F">
      <w:pPr>
        <w:spacing w:before="120" w:after="240" w:line="400" w:lineRule="exact"/>
        <w:ind w:left="1134"/>
        <w:jc w:val="both"/>
        <w:rPr>
          <w:rFonts w:cs="Traditional Arabic"/>
          <w:b/>
          <w:bCs/>
          <w:sz w:val="20"/>
          <w:szCs w:val="34"/>
          <w:rtl/>
        </w:rPr>
      </w:pPr>
      <w:r>
        <w:rPr>
          <w:rFonts w:cs="Traditional Arabic" w:hint="cs"/>
          <w:b/>
          <w:bCs/>
          <w:sz w:val="20"/>
          <w:szCs w:val="34"/>
          <w:rtl/>
        </w:rPr>
        <w:t>التقدم المحرز</w:t>
      </w:r>
      <w:r w:rsidR="00DD7535">
        <w:rPr>
          <w:rFonts w:cs="Traditional Arabic" w:hint="cs"/>
          <w:b/>
          <w:bCs/>
          <w:sz w:val="20"/>
          <w:szCs w:val="34"/>
          <w:rtl/>
        </w:rPr>
        <w:t xml:space="preserve"> على صعيد تنفيذ </w:t>
      </w:r>
      <w:r>
        <w:rPr>
          <w:rFonts w:cs="Traditional Arabic" w:hint="cs"/>
          <w:b/>
          <w:bCs/>
          <w:sz w:val="20"/>
          <w:szCs w:val="34"/>
          <w:rtl/>
        </w:rPr>
        <w:t>القرار</w:t>
      </w:r>
      <w:r w:rsidR="00DD7535">
        <w:rPr>
          <w:rFonts w:cs="Traditional Arabic" w:hint="cs"/>
          <w:b/>
          <w:bCs/>
          <w:sz w:val="20"/>
          <w:szCs w:val="34"/>
          <w:rtl/>
        </w:rPr>
        <w:t xml:space="preserve"> 3/9 بشأن </w:t>
      </w:r>
      <w:r w:rsidR="008E382F" w:rsidRPr="008E382F">
        <w:rPr>
          <w:rFonts w:cs="Traditional Arabic"/>
          <w:b/>
          <w:bCs/>
          <w:sz w:val="20"/>
          <w:szCs w:val="34"/>
          <w:rtl/>
        </w:rPr>
        <w:t xml:space="preserve">القضاء على </w:t>
      </w:r>
      <w:r w:rsidR="008E382F">
        <w:rPr>
          <w:rFonts w:cs="Traditional Arabic" w:hint="cs"/>
          <w:b/>
          <w:bCs/>
          <w:sz w:val="20"/>
          <w:szCs w:val="34"/>
          <w:rtl/>
        </w:rPr>
        <w:t xml:space="preserve">التعرض </w:t>
      </w:r>
      <w:r w:rsidR="009562C0">
        <w:rPr>
          <w:rFonts w:cs="Traditional Arabic" w:hint="cs"/>
          <w:b/>
          <w:bCs/>
          <w:sz w:val="20"/>
          <w:szCs w:val="34"/>
          <w:rtl/>
        </w:rPr>
        <w:t>ل</w:t>
      </w:r>
      <w:r w:rsidR="008E382F" w:rsidRPr="008E382F">
        <w:rPr>
          <w:rFonts w:cs="Traditional Arabic" w:hint="cs"/>
          <w:b/>
          <w:bCs/>
          <w:sz w:val="20"/>
          <w:szCs w:val="34"/>
          <w:rtl/>
        </w:rPr>
        <w:t>لدهان</w:t>
      </w:r>
      <w:r w:rsidR="008E382F" w:rsidRPr="008E382F">
        <w:rPr>
          <w:rFonts w:cs="Traditional Arabic"/>
          <w:b/>
          <w:bCs/>
          <w:sz w:val="20"/>
          <w:szCs w:val="34"/>
          <w:rtl/>
        </w:rPr>
        <w:t xml:space="preserve"> المحتوي على الرصاص</w:t>
      </w:r>
      <w:r w:rsidR="008E382F">
        <w:rPr>
          <w:rFonts w:cs="Traditional Arabic" w:hint="cs"/>
          <w:b/>
          <w:bCs/>
          <w:sz w:val="20"/>
          <w:szCs w:val="34"/>
          <w:rtl/>
        </w:rPr>
        <w:t xml:space="preserve"> وتعزيز الإدارة السليمة بيئياً لنفايات بطاريات الرصاص الحمضية</w:t>
      </w:r>
    </w:p>
    <w:p w14:paraId="3DEB810E" w14:textId="16186ED1" w:rsidR="00BA5FAC" w:rsidRDefault="00BA5FAC" w:rsidP="008E382F">
      <w:pPr>
        <w:spacing w:before="120" w:after="240" w:line="400" w:lineRule="exact"/>
        <w:ind w:left="1134"/>
        <w:jc w:val="both"/>
        <w:rPr>
          <w:rFonts w:cs="Traditional Arabic"/>
          <w:b/>
          <w:bCs/>
          <w:sz w:val="20"/>
          <w:szCs w:val="34"/>
          <w:rtl/>
        </w:rPr>
      </w:pPr>
      <w:r>
        <w:rPr>
          <w:rFonts w:cs="Traditional Arabic" w:hint="cs"/>
          <w:b/>
          <w:bCs/>
          <w:sz w:val="20"/>
          <w:szCs w:val="34"/>
          <w:rtl/>
        </w:rPr>
        <w:t>تقرير المدير التنفيذي</w:t>
      </w:r>
    </w:p>
    <w:tbl>
      <w:tblPr>
        <w:tblStyle w:val="TableGrid"/>
        <w:bidiVisual/>
        <w:tblW w:w="9497" w:type="dxa"/>
        <w:tblInd w:w="141" w:type="dxa"/>
        <w:tblLayout w:type="fixed"/>
        <w:tblLook w:val="04A0" w:firstRow="1" w:lastRow="0" w:firstColumn="1" w:lastColumn="0" w:noHBand="0" w:noVBand="1"/>
      </w:tblPr>
      <w:tblGrid>
        <w:gridCol w:w="9497"/>
      </w:tblGrid>
      <w:tr w:rsidR="00086A6A" w:rsidRPr="00086A6A" w14:paraId="561BDAC5" w14:textId="77777777" w:rsidTr="00086A6A">
        <w:trPr>
          <w:trHeight w:val="1117"/>
        </w:trPr>
        <w:tc>
          <w:tcPr>
            <w:tcW w:w="9497" w:type="dxa"/>
          </w:tcPr>
          <w:p w14:paraId="5F1B41BD" w14:textId="7D4BE4D1" w:rsidR="00086A6A" w:rsidRPr="00086A6A" w:rsidRDefault="00086A6A" w:rsidP="00086A6A">
            <w:pPr>
              <w:tabs>
                <w:tab w:val="left" w:pos="1247"/>
                <w:tab w:val="left" w:pos="1814"/>
                <w:tab w:val="left" w:pos="2381"/>
                <w:tab w:val="left" w:pos="2948"/>
                <w:tab w:val="left" w:pos="3515"/>
                <w:tab w:val="left" w:pos="4082"/>
              </w:tabs>
              <w:suppressAutoHyphens/>
              <w:spacing w:after="120" w:line="400" w:lineRule="exact"/>
              <w:ind w:left="25" w:right="35"/>
              <w:jc w:val="both"/>
              <w:textDirection w:val="tbRlV"/>
              <w:rPr>
                <w:rFonts w:ascii="Traditional Arabic" w:hAnsi="Traditional Arabic" w:cs="Traditional Arabic"/>
                <w:b/>
                <w:i/>
                <w:iCs/>
                <w:color w:val="000000" w:themeColor="text1"/>
                <w:sz w:val="30"/>
                <w:szCs w:val="30"/>
                <w:rtl/>
                <w:lang w:val="en-GB" w:eastAsia="zh-TW"/>
              </w:rPr>
            </w:pPr>
            <w:r w:rsidRPr="00086A6A">
              <w:rPr>
                <w:rFonts w:ascii="Traditional Arabic" w:hAnsi="Traditional Arabic" w:cs="Traditional Arabic"/>
                <w:b/>
                <w:i/>
                <w:iCs/>
                <w:color w:val="000000" w:themeColor="text1"/>
                <w:sz w:val="30"/>
                <w:szCs w:val="30"/>
                <w:rtl/>
                <w:lang w:val="en-GB" w:eastAsia="zh-TW"/>
              </w:rPr>
              <w:t>موجز</w:t>
            </w:r>
          </w:p>
          <w:p w14:paraId="61CED059" w14:textId="3658BC31" w:rsidR="00086A6A" w:rsidRPr="00086A6A" w:rsidRDefault="00086A6A" w:rsidP="004D69EB">
            <w:pPr>
              <w:suppressAutoHyphens/>
              <w:spacing w:after="120" w:line="400" w:lineRule="exact"/>
              <w:ind w:left="457" w:right="35" w:firstLine="567"/>
              <w:jc w:val="both"/>
              <w:textDirection w:val="tbRlV"/>
              <w:rPr>
                <w:rFonts w:ascii="Traditional Arabic" w:hAnsi="Traditional Arabic" w:cs="Traditional Arabic"/>
                <w:b/>
                <w:color w:val="000000" w:themeColor="text1"/>
                <w:sz w:val="30"/>
                <w:szCs w:val="30"/>
                <w:rtl/>
                <w:lang w:val="en-GB" w:eastAsia="zh-TW"/>
              </w:rPr>
            </w:pPr>
            <w:r w:rsidRPr="00086A6A">
              <w:rPr>
                <w:rFonts w:ascii="Traditional Arabic" w:hAnsi="Traditional Arabic" w:cs="Traditional Arabic"/>
                <w:b/>
                <w:color w:val="000000" w:themeColor="text1"/>
                <w:sz w:val="30"/>
                <w:szCs w:val="30"/>
                <w:rtl/>
                <w:lang w:val="en-GB" w:eastAsia="zh-TW"/>
              </w:rPr>
              <w:t>طلبت جمعية الأمم المتحدة للبيئة التابعة لبرنامج الأمم المتحدة للبيئة في قرارها ٣/٩</w:t>
            </w:r>
            <w:r w:rsidR="007825F3">
              <w:rPr>
                <w:rFonts w:ascii="Traditional Arabic" w:hAnsi="Traditional Arabic" w:cs="Traditional Arabic"/>
                <w:b/>
                <w:color w:val="000000" w:themeColor="text1"/>
                <w:sz w:val="30"/>
                <w:szCs w:val="30"/>
                <w:vertAlign w:val="superscript"/>
                <w:lang w:val="en-GB" w:eastAsia="zh-TW"/>
              </w:rPr>
              <w:t>)</w:t>
            </w:r>
            <w:r w:rsidR="009562C0">
              <w:rPr>
                <w:rStyle w:val="FootnoteReference"/>
                <w:rFonts w:ascii="Traditional Arabic" w:hAnsi="Traditional Arabic" w:cs="Traditional Arabic"/>
                <w:b/>
                <w:color w:val="000000" w:themeColor="text1"/>
                <w:sz w:val="30"/>
                <w:szCs w:val="30"/>
                <w:rtl/>
                <w:lang w:val="en-GB" w:eastAsia="zh-TW"/>
              </w:rPr>
              <w:footnoteReference w:id="2"/>
            </w:r>
            <w:r w:rsidR="007825F3">
              <w:rPr>
                <w:rFonts w:ascii="Traditional Arabic" w:hAnsi="Traditional Arabic" w:cs="Traditional Arabic"/>
                <w:b/>
                <w:color w:val="000000" w:themeColor="text1"/>
                <w:sz w:val="30"/>
                <w:szCs w:val="30"/>
                <w:vertAlign w:val="superscript"/>
                <w:lang w:val="en-GB" w:eastAsia="zh-TW"/>
              </w:rPr>
              <w:t>(</w:t>
            </w:r>
            <w:r w:rsidRPr="00086A6A">
              <w:rPr>
                <w:rFonts w:ascii="Traditional Arabic" w:hAnsi="Traditional Arabic" w:cs="Traditional Arabic"/>
                <w:b/>
                <w:color w:val="000000" w:themeColor="text1"/>
                <w:sz w:val="30"/>
                <w:szCs w:val="30"/>
                <w:rtl/>
                <w:lang w:val="en-GB" w:eastAsia="zh-TW"/>
              </w:rPr>
              <w:t>،</w:t>
            </w:r>
            <w:r w:rsidR="009562C0">
              <w:rPr>
                <w:rFonts w:ascii="Traditional Arabic" w:hAnsi="Traditional Arabic" w:cs="Traditional Arabic" w:hint="cs"/>
                <w:b/>
                <w:color w:val="000000" w:themeColor="text1"/>
                <w:sz w:val="30"/>
                <w:szCs w:val="30"/>
                <w:rtl/>
                <w:lang w:val="en-GB" w:eastAsia="zh-TW"/>
              </w:rPr>
              <w:t xml:space="preserve"> </w:t>
            </w:r>
            <w:r w:rsidR="009562C0" w:rsidRPr="009562C0">
              <w:rPr>
                <w:rFonts w:ascii="Traditional Arabic" w:hAnsi="Traditional Arabic" w:cs="Traditional Arabic" w:hint="cs"/>
                <w:color w:val="000000" w:themeColor="text1"/>
                <w:sz w:val="30"/>
                <w:szCs w:val="30"/>
                <w:rtl/>
                <w:lang w:val="en-GB" w:eastAsia="zh-TW"/>
              </w:rPr>
              <w:t xml:space="preserve">بشأن </w:t>
            </w:r>
            <w:r w:rsidR="009562C0" w:rsidRPr="009562C0">
              <w:rPr>
                <w:rFonts w:ascii="Traditional Arabic" w:hAnsi="Traditional Arabic" w:cs="Traditional Arabic"/>
                <w:color w:val="000000" w:themeColor="text1"/>
                <w:sz w:val="30"/>
                <w:szCs w:val="30"/>
                <w:rtl/>
                <w:lang w:val="en-GB" w:eastAsia="zh-TW"/>
              </w:rPr>
              <w:t xml:space="preserve">القضاء على </w:t>
            </w:r>
            <w:r w:rsidR="009562C0" w:rsidRPr="009562C0">
              <w:rPr>
                <w:rFonts w:ascii="Traditional Arabic" w:hAnsi="Traditional Arabic" w:cs="Traditional Arabic" w:hint="cs"/>
                <w:color w:val="000000" w:themeColor="text1"/>
                <w:sz w:val="30"/>
                <w:szCs w:val="30"/>
                <w:rtl/>
                <w:lang w:val="en-GB" w:eastAsia="zh-TW"/>
              </w:rPr>
              <w:t>التعرض للدهان</w:t>
            </w:r>
            <w:r w:rsidR="009562C0" w:rsidRPr="009562C0">
              <w:rPr>
                <w:rFonts w:ascii="Traditional Arabic" w:hAnsi="Traditional Arabic" w:cs="Traditional Arabic"/>
                <w:color w:val="000000" w:themeColor="text1"/>
                <w:sz w:val="30"/>
                <w:szCs w:val="30"/>
                <w:rtl/>
                <w:lang w:val="en-GB" w:eastAsia="zh-TW"/>
              </w:rPr>
              <w:t xml:space="preserve"> المحتوي على الرصاص</w:t>
            </w:r>
            <w:r w:rsidR="009562C0" w:rsidRPr="009562C0">
              <w:rPr>
                <w:rFonts w:ascii="Traditional Arabic" w:hAnsi="Traditional Arabic" w:cs="Traditional Arabic" w:hint="cs"/>
                <w:color w:val="000000" w:themeColor="text1"/>
                <w:sz w:val="30"/>
                <w:szCs w:val="30"/>
                <w:rtl/>
                <w:lang w:val="en-GB" w:eastAsia="zh-TW"/>
              </w:rPr>
              <w:t xml:space="preserve"> وتعزيز الإدارة السليمة بيئياً لنفايات بطاريات الرصاص الحمضية</w:t>
            </w:r>
            <w:r w:rsidR="000B4842">
              <w:rPr>
                <w:rFonts w:ascii="Traditional Arabic" w:hAnsi="Traditional Arabic" w:cs="Traditional Arabic" w:hint="cs"/>
                <w:b/>
                <w:color w:val="000000" w:themeColor="text1"/>
                <w:sz w:val="30"/>
                <w:szCs w:val="30"/>
                <w:rtl/>
                <w:lang w:val="en-GB" w:eastAsia="zh-TW"/>
              </w:rPr>
              <w:t>،</w:t>
            </w:r>
            <w:r w:rsidRPr="00086A6A">
              <w:rPr>
                <w:rFonts w:ascii="Traditional Arabic" w:hAnsi="Traditional Arabic" w:cs="Traditional Arabic"/>
                <w:b/>
                <w:color w:val="000000" w:themeColor="text1"/>
                <w:sz w:val="30"/>
                <w:szCs w:val="30"/>
                <w:rtl/>
                <w:lang w:val="en-GB" w:eastAsia="zh-TW"/>
              </w:rPr>
              <w:t xml:space="preserve"> إلى المدير التنفيذي أن يقدم المساعدة للبلدان في القضاء على استخدام </w:t>
            </w:r>
            <w:r w:rsidRPr="00086A6A">
              <w:rPr>
                <w:rFonts w:ascii="Traditional Arabic" w:hAnsi="Traditional Arabic" w:cs="Traditional Arabic" w:hint="cs"/>
                <w:b/>
                <w:color w:val="000000" w:themeColor="text1"/>
                <w:sz w:val="30"/>
                <w:szCs w:val="30"/>
                <w:rtl/>
                <w:lang w:val="en-GB" w:eastAsia="zh-TW"/>
              </w:rPr>
              <w:t>الدهان</w:t>
            </w:r>
            <w:r w:rsidRPr="00086A6A">
              <w:rPr>
                <w:rFonts w:ascii="Traditional Arabic" w:hAnsi="Traditional Arabic" w:cs="Traditional Arabic"/>
                <w:b/>
                <w:color w:val="000000" w:themeColor="text1"/>
                <w:sz w:val="30"/>
                <w:szCs w:val="30"/>
                <w:rtl/>
                <w:lang w:val="en-GB" w:eastAsia="zh-TW"/>
              </w:rPr>
              <w:t xml:space="preserve"> المحتوي على الرصاص في ظل قيادة التحالف العالمي للتخلص من الدهانات المحتوية على الرصاص ومنظمة الصحة العالمية، وبوجه خاص توفير الأدوات وبناء القدرات من أجل وضع التشريعات والقواعد التنظيمية الوطنية، وأن يعمل على الصعيد الإقليمي حيثما كان ذلك مناسباً؛ وأن يواصل تقديم المساعدة للبلدان، ولا</w:t>
            </w:r>
            <w:r w:rsidR="007825F3">
              <w:rPr>
                <w:rFonts w:ascii="Traditional Arabic" w:hAnsi="Traditional Arabic" w:cs="Traditional Arabic" w:hint="cs"/>
                <w:b/>
                <w:color w:val="000000" w:themeColor="text1"/>
                <w:sz w:val="30"/>
                <w:szCs w:val="30"/>
                <w:rtl/>
                <w:lang w:val="en-GB" w:eastAsia="zh-TW"/>
              </w:rPr>
              <w:t> </w:t>
            </w:r>
            <w:r w:rsidRPr="00086A6A">
              <w:rPr>
                <w:rFonts w:ascii="Traditional Arabic" w:hAnsi="Traditional Arabic" w:cs="Traditional Arabic"/>
                <w:b/>
                <w:color w:val="000000" w:themeColor="text1"/>
                <w:sz w:val="30"/>
                <w:szCs w:val="30"/>
                <w:rtl/>
                <w:lang w:val="en-GB" w:eastAsia="zh-TW"/>
              </w:rPr>
              <w:t>سيما البلدان النامية والبلدان التي تمر اقتصاداتها بمرحلة انتقالية، في جهودها الرامية إلى تعزيز وتحسين تنفيذ الإدارة السليمة بيئياً للنفايات، على الصعد الوطنية ودون الإقليمية والإقليمية وذلك بوسائل منها توفير المزيد من بناء القدرات فيما يتعلق بنفايات بطاريات الرصاص الحمضية لتنفيذ الأطر والبرامج التنظيمية لإعادة التدوير، وتحسين تتبع وتعقب الشحنات، بالتعاون الوثيق مع أمانة اتفاقية بازل بشأن التحكم في نقل النفايات الخطرة والتخلص منها عبر الحدود.</w:t>
            </w:r>
          </w:p>
        </w:tc>
      </w:tr>
    </w:tbl>
    <w:p w14:paraId="05A49BC0" w14:textId="4CF5058B" w:rsidR="00086A6A" w:rsidRPr="007825F3" w:rsidRDefault="0070581A" w:rsidP="00086A6A">
      <w:pPr>
        <w:keepNext/>
        <w:keepLines/>
        <w:suppressAutoHyphens/>
        <w:spacing w:after="120" w:line="400" w:lineRule="exact"/>
        <w:ind w:left="1134" w:hanging="710"/>
        <w:jc w:val="both"/>
        <w:textDirection w:val="tbRlV"/>
        <w:rPr>
          <w:rFonts w:ascii="Traditional Arabic" w:hAnsi="Traditional Arabic" w:cs="Traditional Arabic"/>
          <w:bCs/>
          <w:sz w:val="32"/>
          <w:szCs w:val="32"/>
          <w:rtl/>
          <w:lang w:val="en-GB" w:eastAsia="zh-TW"/>
        </w:rPr>
      </w:pPr>
      <w:r w:rsidRPr="007825F3">
        <w:rPr>
          <w:rFonts w:ascii="Traditional Arabic" w:hAnsi="Traditional Arabic" w:cs="Traditional Arabic" w:hint="cs"/>
          <w:bCs/>
          <w:sz w:val="32"/>
          <w:szCs w:val="32"/>
          <w:rtl/>
          <w:lang w:val="en-GB" w:eastAsia="zh-TW"/>
        </w:rPr>
        <w:lastRenderedPageBreak/>
        <w:t>أولاً</w:t>
      </w:r>
      <w:r w:rsidR="00086A6A" w:rsidRPr="007825F3">
        <w:rPr>
          <w:rFonts w:ascii="Traditional Arabic" w:hAnsi="Traditional Arabic" w:cs="Traditional Arabic" w:hint="cs"/>
          <w:bCs/>
          <w:sz w:val="32"/>
          <w:szCs w:val="32"/>
          <w:rtl/>
          <w:lang w:val="en-GB" w:eastAsia="zh-TW"/>
        </w:rPr>
        <w:t xml:space="preserve"> </w:t>
      </w:r>
      <w:r w:rsidR="00086A6A" w:rsidRPr="007825F3">
        <w:rPr>
          <w:rFonts w:ascii="Traditional Arabic" w:hAnsi="Traditional Arabic" w:cs="Traditional Arabic"/>
          <w:bCs/>
          <w:sz w:val="32"/>
          <w:szCs w:val="32"/>
          <w:rtl/>
          <w:lang w:val="en-GB" w:eastAsia="zh-TW"/>
        </w:rPr>
        <w:t>-</w:t>
      </w:r>
      <w:r w:rsidR="00086A6A" w:rsidRPr="007825F3">
        <w:rPr>
          <w:rFonts w:ascii="Traditional Arabic" w:hAnsi="Traditional Arabic" w:cs="Traditional Arabic"/>
          <w:bCs/>
          <w:sz w:val="32"/>
          <w:szCs w:val="32"/>
          <w:rtl/>
          <w:lang w:val="en-GB" w:eastAsia="zh-TW"/>
        </w:rPr>
        <w:tab/>
        <w:t>التقدم المحرز في تنفيذ القرار 3/9</w:t>
      </w:r>
    </w:p>
    <w:p w14:paraId="16F7C29C" w14:textId="05386E95" w:rsidR="00086A6A" w:rsidRPr="00086A6A" w:rsidRDefault="0070581A" w:rsidP="00086A6A">
      <w:pPr>
        <w:keepNext/>
        <w:keepLines/>
        <w:suppressAutoHyphens/>
        <w:spacing w:after="120" w:line="400" w:lineRule="exact"/>
        <w:ind w:left="1134" w:hanging="710"/>
        <w:jc w:val="both"/>
        <w:textDirection w:val="tbRlV"/>
        <w:rPr>
          <w:rFonts w:ascii="Traditional Arabic" w:hAnsi="Traditional Arabic" w:cs="Traditional Arabic"/>
          <w:bCs/>
          <w:sz w:val="32"/>
          <w:szCs w:val="32"/>
          <w:rtl/>
          <w:lang w:val="en-GB" w:eastAsia="zh-TW"/>
        </w:rPr>
      </w:pPr>
      <w:r>
        <w:rPr>
          <w:rFonts w:ascii="Traditional Arabic" w:hAnsi="Traditional Arabic" w:cs="Traditional Arabic" w:hint="cs"/>
          <w:bCs/>
          <w:sz w:val="32"/>
          <w:szCs w:val="32"/>
          <w:rtl/>
          <w:lang w:val="en-GB" w:eastAsia="zh-TW"/>
        </w:rPr>
        <w:t>ألف</w:t>
      </w:r>
      <w:r w:rsidR="007825F3">
        <w:rPr>
          <w:rFonts w:ascii="Traditional Arabic" w:hAnsi="Traditional Arabic" w:cs="Traditional Arabic" w:hint="cs"/>
          <w:bCs/>
          <w:sz w:val="32"/>
          <w:szCs w:val="32"/>
          <w:rtl/>
          <w:lang w:val="en-GB" w:eastAsia="zh-TW"/>
        </w:rPr>
        <w:t xml:space="preserve"> </w:t>
      </w:r>
      <w:r w:rsidR="00086A6A" w:rsidRPr="00086A6A">
        <w:rPr>
          <w:rFonts w:ascii="Traditional Arabic" w:hAnsi="Traditional Arabic" w:cs="Traditional Arabic"/>
          <w:bCs/>
          <w:sz w:val="32"/>
          <w:szCs w:val="32"/>
          <w:rtl/>
          <w:lang w:val="en-GB" w:eastAsia="zh-TW"/>
        </w:rPr>
        <w:t>-</w:t>
      </w:r>
      <w:r w:rsidR="00086A6A" w:rsidRPr="00086A6A">
        <w:rPr>
          <w:rFonts w:ascii="Traditional Arabic" w:hAnsi="Traditional Arabic" w:cs="Traditional Arabic"/>
          <w:bCs/>
          <w:sz w:val="32"/>
          <w:szCs w:val="32"/>
          <w:rtl/>
          <w:lang w:val="en-GB" w:eastAsia="zh-TW"/>
        </w:rPr>
        <w:tab/>
        <w:t>الرصاص في الدهانات</w:t>
      </w:r>
    </w:p>
    <w:p w14:paraId="39F19471" w14:textId="0004229F" w:rsidR="00086A6A" w:rsidRPr="00086A6A" w:rsidRDefault="00086A6A" w:rsidP="00656018">
      <w:pPr>
        <w:pStyle w:val="ListParagraph"/>
        <w:numPr>
          <w:ilvl w:val="0"/>
          <w:numId w:val="7"/>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CC3DF9">
        <w:rPr>
          <w:rFonts w:ascii="Traditional Arabic" w:hAnsi="Traditional Arabic" w:cs="Traditional Arabic"/>
          <w:sz w:val="30"/>
          <w:szCs w:val="30"/>
          <w:rtl/>
          <w:lang w:val="en-GB" w:eastAsia="zh-TW"/>
        </w:rPr>
        <w:t>التحالف العالمي للتخلّص من الدهانات المحتوية على الرصاص (تحالف الدهان الرصاصي) هو شراكة طوعية أنشأها برنامج الأمم المتحدة للبيئة ومنظمة الصحة العالمية للوقاية من التعرض للرصاص. ويشجع هذا التحالف على التخلص التدريجي من الدهانات المحتوية على الرصاص ويسترشد بفريق استشاري، و</w:t>
      </w:r>
      <w:r w:rsidRPr="00CC3DF9">
        <w:rPr>
          <w:rFonts w:ascii="Traditional Arabic" w:hAnsi="Traditional Arabic" w:cs="Traditional Arabic" w:hint="cs"/>
          <w:sz w:val="30"/>
          <w:szCs w:val="30"/>
          <w:rtl/>
          <w:lang w:val="en-GB" w:eastAsia="zh-TW"/>
        </w:rPr>
        <w:t>ت</w:t>
      </w:r>
      <w:r w:rsidRPr="00CC3DF9">
        <w:rPr>
          <w:rFonts w:ascii="Traditional Arabic" w:hAnsi="Traditional Arabic" w:cs="Traditional Arabic"/>
          <w:sz w:val="30"/>
          <w:szCs w:val="30"/>
          <w:rtl/>
          <w:lang w:val="en-GB" w:eastAsia="zh-TW"/>
        </w:rPr>
        <w:t>رأسه حاليا</w:t>
      </w:r>
      <w:r w:rsidR="007825F3">
        <w:rPr>
          <w:rFonts w:ascii="Traditional Arabic" w:hAnsi="Traditional Arabic" w:cs="Traditional Arabic" w:hint="cs"/>
          <w:sz w:val="30"/>
          <w:szCs w:val="30"/>
          <w:rtl/>
          <w:lang w:val="en-GB" w:eastAsia="zh-TW"/>
        </w:rPr>
        <w:t>ً</w:t>
      </w:r>
      <w:r w:rsidRPr="00CC3DF9">
        <w:rPr>
          <w:rFonts w:ascii="Traditional Arabic" w:hAnsi="Traditional Arabic" w:cs="Traditional Arabic"/>
          <w:sz w:val="30"/>
          <w:szCs w:val="30"/>
          <w:rtl/>
          <w:lang w:val="en-GB" w:eastAsia="zh-TW"/>
        </w:rPr>
        <w:t xml:space="preserve"> الولايات المتحدة الأمريكية من خلال وكالة حماية البيئة فيها، ويتكون من ممثلين حكوميين من كولومبيا، وكينيا، وجمهورية مولدوفا، وتايلند وممثلين للمنظمات التالية: شركة أكزونوبل </w:t>
      </w:r>
      <w:r w:rsidRPr="00656018">
        <w:rPr>
          <w:rFonts w:asciiTheme="majorBidi" w:hAnsiTheme="majorBidi" w:cstheme="majorBidi"/>
          <w:sz w:val="20"/>
          <w:szCs w:val="20"/>
          <w:rtl/>
          <w:lang w:val="en-GB" w:eastAsia="zh-TW"/>
        </w:rPr>
        <w:t>(AkzoNobel)</w:t>
      </w:r>
      <w:r w:rsidRPr="00CC3DF9">
        <w:rPr>
          <w:rFonts w:ascii="Traditional Arabic" w:hAnsi="Traditional Arabic" w:cs="Traditional Arabic"/>
          <w:sz w:val="30"/>
          <w:szCs w:val="30"/>
          <w:rtl/>
          <w:lang w:val="en-GB" w:eastAsia="zh-TW"/>
        </w:rPr>
        <w:t>، وتحالف الصحة والبيئة، وال</w:t>
      </w:r>
      <w:r w:rsidRPr="00CC3DF9">
        <w:rPr>
          <w:rFonts w:ascii="Traditional Arabic" w:hAnsi="Traditional Arabic" w:cs="Traditional Arabic" w:hint="cs"/>
          <w:sz w:val="30"/>
          <w:szCs w:val="30"/>
          <w:rtl/>
          <w:lang w:val="en-GB" w:eastAsia="zh-TW"/>
        </w:rPr>
        <w:t>م</w:t>
      </w:r>
      <w:r w:rsidRPr="00CC3DF9">
        <w:rPr>
          <w:rFonts w:ascii="Traditional Arabic" w:hAnsi="Traditional Arabic" w:cs="Traditional Arabic"/>
          <w:sz w:val="30"/>
          <w:szCs w:val="30"/>
          <w:rtl/>
          <w:lang w:val="en-GB" w:eastAsia="zh-TW"/>
        </w:rPr>
        <w:t>جلس الدولي للدهانات وأحبار الطباعة، والشبكة الدولية للقضاء على الملوثات العضوية الثابتة، ومنظمة الأمم المتحدة للتنمية الصناعية. ولدى التحالف ١٠٤ شركاء. وقد وفر تحالف الدهان الرصاصي أدوات لمساعدة البلدان على اعتماد وتنفيذ تشريعات بشأن الدهان الرصاصي</w:t>
      </w:r>
      <w:r w:rsidRPr="00CC3DF9">
        <w:rPr>
          <w:rFonts w:ascii="Traditional Arabic" w:hAnsi="Traditional Arabic" w:cs="Traditional Arabic" w:hint="cs"/>
          <w:sz w:val="30"/>
          <w:szCs w:val="30"/>
          <w:rtl/>
          <w:lang w:val="en-GB" w:eastAsia="zh-TW"/>
        </w:rPr>
        <w:t>،</w:t>
      </w:r>
      <w:r w:rsidRPr="00CC3DF9">
        <w:rPr>
          <w:rFonts w:ascii="Traditional Arabic" w:hAnsi="Traditional Arabic" w:cs="Traditional Arabic"/>
          <w:sz w:val="30"/>
          <w:szCs w:val="30"/>
          <w:rtl/>
          <w:lang w:val="en-GB" w:eastAsia="zh-TW"/>
        </w:rPr>
        <w:t xml:space="preserve"> و</w:t>
      </w:r>
      <w:r w:rsidRPr="00CC3DF9">
        <w:rPr>
          <w:rFonts w:ascii="Traditional Arabic" w:hAnsi="Traditional Arabic" w:cs="Traditional Arabic" w:hint="cs"/>
          <w:sz w:val="30"/>
          <w:szCs w:val="30"/>
          <w:rtl/>
          <w:lang w:val="en-GB" w:eastAsia="zh-TW"/>
        </w:rPr>
        <w:t>َ</w:t>
      </w:r>
      <w:r w:rsidRPr="00CC3DF9">
        <w:rPr>
          <w:rFonts w:ascii="Traditional Arabic" w:hAnsi="Traditional Arabic" w:cs="Traditional Arabic"/>
          <w:sz w:val="30"/>
          <w:szCs w:val="30"/>
          <w:rtl/>
          <w:lang w:val="en-GB" w:eastAsia="zh-TW"/>
        </w:rPr>
        <w:t>و</w:t>
      </w:r>
      <w:r w:rsidRPr="00CC3DF9">
        <w:rPr>
          <w:rFonts w:ascii="Traditional Arabic" w:hAnsi="Traditional Arabic" w:cs="Traditional Arabic" w:hint="cs"/>
          <w:sz w:val="30"/>
          <w:szCs w:val="30"/>
          <w:rtl/>
          <w:lang w:val="en-GB" w:eastAsia="zh-TW"/>
        </w:rPr>
        <w:t>َ</w:t>
      </w:r>
      <w:r w:rsidRPr="00CC3DF9">
        <w:rPr>
          <w:rFonts w:ascii="Traditional Arabic" w:hAnsi="Traditional Arabic" w:cs="Traditional Arabic"/>
          <w:sz w:val="30"/>
          <w:szCs w:val="30"/>
          <w:rtl/>
          <w:lang w:val="en-GB" w:eastAsia="zh-TW"/>
        </w:rPr>
        <w:t>ض</w:t>
      </w:r>
      <w:r w:rsidRPr="00CC3DF9">
        <w:rPr>
          <w:rFonts w:ascii="Traditional Arabic" w:hAnsi="Traditional Arabic" w:cs="Traditional Arabic" w:hint="cs"/>
          <w:sz w:val="30"/>
          <w:szCs w:val="30"/>
          <w:rtl/>
          <w:lang w:val="en-GB" w:eastAsia="zh-TW"/>
        </w:rPr>
        <w:t>َ</w:t>
      </w:r>
      <w:r w:rsidRPr="00CC3DF9">
        <w:rPr>
          <w:rFonts w:ascii="Traditional Arabic" w:hAnsi="Traditional Arabic" w:cs="Traditional Arabic"/>
          <w:sz w:val="30"/>
          <w:szCs w:val="30"/>
          <w:rtl/>
          <w:lang w:val="en-GB" w:eastAsia="zh-TW"/>
        </w:rPr>
        <w:t>ع</w:t>
      </w:r>
      <w:r w:rsidRPr="00CC3DF9">
        <w:rPr>
          <w:rFonts w:ascii="Traditional Arabic" w:hAnsi="Traditional Arabic" w:cs="Traditional Arabic" w:hint="cs"/>
          <w:sz w:val="30"/>
          <w:szCs w:val="30"/>
          <w:rtl/>
          <w:lang w:val="en-GB" w:eastAsia="zh-TW"/>
        </w:rPr>
        <w:t>َ</w:t>
      </w:r>
      <w:r w:rsidRPr="00CC3DF9">
        <w:rPr>
          <w:rFonts w:ascii="Traditional Arabic" w:hAnsi="Traditional Arabic" w:cs="Traditional Arabic"/>
          <w:sz w:val="30"/>
          <w:szCs w:val="30"/>
          <w:rtl/>
          <w:lang w:val="en-GB" w:eastAsia="zh-TW"/>
        </w:rPr>
        <w:t xml:space="preserve"> </w:t>
      </w:r>
      <w:r w:rsidRPr="00086A6A">
        <w:rPr>
          <w:rFonts w:ascii="Traditional Arabic" w:hAnsi="Traditional Arabic" w:cs="Traditional Arabic"/>
          <w:sz w:val="30"/>
          <w:szCs w:val="30"/>
          <w:rtl/>
          <w:lang w:val="en-GB" w:eastAsia="zh-TW"/>
        </w:rPr>
        <w:t>القانون النموذجي والتوجيهات لتنظيم الدهان الرصاصي</w:t>
      </w:r>
      <w:r w:rsidRPr="00CC3DF9">
        <w:rPr>
          <w:rFonts w:ascii="Traditional Arabic" w:hAnsi="Traditional Arabic" w:cs="Traditional Arabic"/>
          <w:sz w:val="30"/>
          <w:szCs w:val="30"/>
          <w:rtl/>
          <w:lang w:val="en-GB" w:eastAsia="zh-TW"/>
        </w:rPr>
        <w:t xml:space="preserve"> وأتاح</w:t>
      </w:r>
      <w:r w:rsidRPr="00CC3DF9">
        <w:rPr>
          <w:rFonts w:ascii="Traditional Arabic" w:hAnsi="Traditional Arabic" w:cs="Traditional Arabic" w:hint="cs"/>
          <w:sz w:val="30"/>
          <w:szCs w:val="30"/>
          <w:rtl/>
          <w:lang w:val="en-GB" w:eastAsia="zh-TW"/>
        </w:rPr>
        <w:t>َ</w:t>
      </w:r>
      <w:r w:rsidRPr="00CC3DF9">
        <w:rPr>
          <w:rFonts w:ascii="Traditional Arabic" w:hAnsi="Traditional Arabic" w:cs="Traditional Arabic"/>
          <w:sz w:val="30"/>
          <w:szCs w:val="30"/>
          <w:rtl/>
          <w:lang w:val="en-GB" w:eastAsia="zh-TW"/>
        </w:rPr>
        <w:t xml:space="preserve">ه للحكومات باللغات الرسمية الست للأمم المتحدة، وهو يقدم توجيهات بشأن وضع تشريعات بشأن الدهان الرصاصي على الصعيد الوطني. وصدرت مجموعة موارد بشأن زيادة الوعي من أجل القضاء على الدهان الرصاصي في تشرين الأول/أكتوبر ٢٠١٨ خلال الأسبوع الدولي للوقاية من التسمم بالرصاص. وتقدم </w:t>
      </w:r>
      <w:proofErr w:type="gramStart"/>
      <w:r w:rsidRPr="00CC3DF9">
        <w:rPr>
          <w:rFonts w:ascii="Traditional Arabic" w:hAnsi="Traditional Arabic" w:cs="Traditional Arabic"/>
          <w:sz w:val="30"/>
          <w:szCs w:val="30"/>
          <w:rtl/>
          <w:lang w:val="en-GB" w:eastAsia="zh-TW"/>
        </w:rPr>
        <w:t>’’مجموعة</w:t>
      </w:r>
      <w:proofErr w:type="gramEnd"/>
      <w:r w:rsidRPr="00CC3DF9">
        <w:rPr>
          <w:rFonts w:ascii="Traditional Arabic" w:hAnsi="Traditional Arabic" w:cs="Traditional Arabic"/>
          <w:sz w:val="30"/>
          <w:szCs w:val="30"/>
          <w:rtl/>
          <w:lang w:val="en-GB" w:eastAsia="zh-TW"/>
        </w:rPr>
        <w:t xml:space="preserve"> أدوات لوضع قوانين للقضاء على الدهان الرصاصي‘‘ معلومات مفصلة لدعم التشريعات بشأن الدهان الرصاصي. وفي أيلول/سبتمبر ٢٠١٨، صدرت نسخة مستكملة من</w:t>
      </w:r>
      <w:proofErr w:type="gramStart"/>
      <w:r w:rsidRPr="00CC3DF9">
        <w:rPr>
          <w:rFonts w:ascii="Traditional Arabic" w:hAnsi="Traditional Arabic" w:cs="Traditional Arabic"/>
          <w:sz w:val="30"/>
          <w:szCs w:val="30"/>
          <w:rtl/>
          <w:lang w:val="en-GB" w:eastAsia="zh-TW"/>
        </w:rPr>
        <w:t xml:space="preserve"> ’الوضع</w:t>
      </w:r>
      <w:proofErr w:type="gramEnd"/>
      <w:r w:rsidRPr="00CC3DF9">
        <w:rPr>
          <w:rFonts w:ascii="Traditional Arabic" w:hAnsi="Traditional Arabic" w:cs="Traditional Arabic"/>
          <w:sz w:val="30"/>
          <w:szCs w:val="30"/>
          <w:rtl/>
          <w:lang w:val="en-GB" w:eastAsia="zh-TW"/>
        </w:rPr>
        <w:t xml:space="preserve"> العالمي للقيود القانونية بشأن الرصاص في الدهانات</w:t>
      </w:r>
      <w:r w:rsidRPr="00CC3DF9">
        <w:rPr>
          <w:rFonts w:ascii="Traditional Arabic" w:hAnsi="Traditional Arabic" w:cs="Traditional Arabic" w:hint="cs"/>
          <w:sz w:val="30"/>
          <w:szCs w:val="30"/>
          <w:rtl/>
          <w:lang w:val="en-GB" w:eastAsia="zh-TW"/>
        </w:rPr>
        <w:t>‘</w:t>
      </w:r>
      <w:r w:rsidRPr="00CC3DF9">
        <w:rPr>
          <w:rFonts w:ascii="Traditional Arabic" w:hAnsi="Traditional Arabic" w:cs="Traditional Arabic"/>
          <w:sz w:val="30"/>
          <w:szCs w:val="30"/>
          <w:rtl/>
          <w:lang w:val="en-GB" w:eastAsia="zh-TW"/>
        </w:rPr>
        <w:t>، وهي تقدم لمحة عامة إقليمية وعالمية عن التشريعات المتعلقة بالدهان الرصاصي.</w:t>
      </w:r>
    </w:p>
    <w:p w14:paraId="03D88E9E" w14:textId="601A3B80" w:rsidR="00086A6A" w:rsidRPr="00086A6A" w:rsidRDefault="00086A6A" w:rsidP="00656018">
      <w:pPr>
        <w:pStyle w:val="ListParagraph"/>
        <w:numPr>
          <w:ilvl w:val="0"/>
          <w:numId w:val="7"/>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6D7575">
        <w:rPr>
          <w:rFonts w:ascii="Traditional Arabic" w:hAnsi="Traditional Arabic" w:cs="Traditional Arabic"/>
          <w:sz w:val="30"/>
          <w:szCs w:val="30"/>
          <w:rtl/>
          <w:lang w:val="en-GB" w:eastAsia="zh-TW"/>
        </w:rPr>
        <w:t xml:space="preserve">وبحلول ٣٠ أيلول/سبتمبر ٢٠١٨، سنت أربعة بلدان إضافية (إثيوبيا، والعراق، وكازاخستان، والكاميرون) قوانين بشأن الدهان الرصاصي، ليصبح العدد الإجمالي للبلدان التي </w:t>
      </w:r>
      <w:proofErr w:type="gramStart"/>
      <w:r w:rsidRPr="006D7575">
        <w:rPr>
          <w:rFonts w:ascii="Traditional Arabic" w:hAnsi="Traditional Arabic" w:cs="Traditional Arabic"/>
          <w:sz w:val="30"/>
          <w:szCs w:val="30"/>
          <w:rtl/>
          <w:lang w:val="en-GB" w:eastAsia="zh-TW"/>
        </w:rPr>
        <w:t>اشترعت</w:t>
      </w:r>
      <w:proofErr w:type="gramEnd"/>
      <w:r w:rsidRPr="006D7575">
        <w:rPr>
          <w:rFonts w:ascii="Traditional Arabic" w:hAnsi="Traditional Arabic" w:cs="Traditional Arabic"/>
          <w:sz w:val="30"/>
          <w:szCs w:val="30"/>
          <w:rtl/>
          <w:lang w:val="en-GB" w:eastAsia="zh-TW"/>
        </w:rPr>
        <w:t xml:space="preserve"> ضوابط ملزمة قانونا</w:t>
      </w:r>
      <w:r w:rsidR="007825F3">
        <w:rPr>
          <w:rFonts w:ascii="Traditional Arabic" w:hAnsi="Traditional Arabic" w:cs="Traditional Arabic" w:hint="cs"/>
          <w:sz w:val="30"/>
          <w:szCs w:val="30"/>
          <w:rtl/>
          <w:lang w:val="en-GB" w:eastAsia="zh-TW"/>
        </w:rPr>
        <w:t>ً</w:t>
      </w:r>
      <w:r w:rsidRPr="006D7575">
        <w:rPr>
          <w:rFonts w:ascii="Traditional Arabic" w:hAnsi="Traditional Arabic" w:cs="Traditional Arabic"/>
          <w:sz w:val="30"/>
          <w:szCs w:val="30"/>
          <w:rtl/>
          <w:lang w:val="en-GB" w:eastAsia="zh-TW"/>
        </w:rPr>
        <w:t xml:space="preserve"> للحد من إنتاج واستيراد وبيع الدهان الرصاصي ٧١ بلداً من أصل ١٩٤ بلدا</w:t>
      </w:r>
      <w:r w:rsidR="007825F3">
        <w:rPr>
          <w:rFonts w:ascii="Traditional Arabic" w:hAnsi="Traditional Arabic" w:cs="Traditional Arabic" w:hint="cs"/>
          <w:sz w:val="30"/>
          <w:szCs w:val="30"/>
          <w:rtl/>
          <w:lang w:val="en-GB" w:eastAsia="zh-TW"/>
        </w:rPr>
        <w:t>ً</w:t>
      </w:r>
      <w:r w:rsidRPr="006D7575">
        <w:rPr>
          <w:rFonts w:ascii="Traditional Arabic" w:hAnsi="Traditional Arabic" w:cs="Traditional Arabic"/>
          <w:sz w:val="30"/>
          <w:szCs w:val="30"/>
          <w:rtl/>
          <w:lang w:val="en-GB" w:eastAsia="zh-TW"/>
        </w:rPr>
        <w:t xml:space="preserve"> (36.5 في المائة). وعلى الصعيد الإقليمي، حظيت البلدان بدعم نشط من تحالف الدهان الرصاصي في صياغة قوانين تتعلق بالدهان الرصاصي. وتبلغ نسبة البلدان التي </w:t>
      </w:r>
      <w:proofErr w:type="gramStart"/>
      <w:r w:rsidRPr="006D7575">
        <w:rPr>
          <w:rFonts w:ascii="Traditional Arabic" w:hAnsi="Traditional Arabic" w:cs="Traditional Arabic"/>
          <w:sz w:val="30"/>
          <w:szCs w:val="30"/>
          <w:rtl/>
          <w:lang w:val="en-GB" w:eastAsia="zh-TW"/>
        </w:rPr>
        <w:t>اشترعت</w:t>
      </w:r>
      <w:proofErr w:type="gramEnd"/>
      <w:r w:rsidRPr="006D7575">
        <w:rPr>
          <w:rFonts w:ascii="Traditional Arabic" w:hAnsi="Traditional Arabic" w:cs="Traditional Arabic"/>
          <w:sz w:val="30"/>
          <w:szCs w:val="30"/>
          <w:rtl/>
          <w:lang w:val="en-GB" w:eastAsia="zh-TW"/>
        </w:rPr>
        <w:t xml:space="preserve"> قوانين بشأن الدهان الرصاصي في كل منطقة من المناطق ما يلي: أفريقيا: ٦ بلدان (11,1 في المائة)؛ آسيا والمحيط الهادئ: ٨ بلدان (20.2 في المائة)؛ غرب آسيا: ٣ بلدان (27.3 في المائة)؛ أمريكا اللاتينية ومنطقة البحر الكاريبي: ١١ بلداً (٣٣ في المائة)؛ أوروبا: ٤١ بلدا</w:t>
      </w:r>
      <w:r w:rsidR="007825F3">
        <w:rPr>
          <w:rFonts w:ascii="Traditional Arabic" w:hAnsi="Traditional Arabic" w:cs="Traditional Arabic" w:hint="cs"/>
          <w:sz w:val="30"/>
          <w:szCs w:val="30"/>
          <w:rtl/>
          <w:lang w:val="en-GB" w:eastAsia="zh-TW"/>
        </w:rPr>
        <w:t>ً</w:t>
      </w:r>
      <w:r w:rsidRPr="006D7575">
        <w:rPr>
          <w:rFonts w:ascii="Traditional Arabic" w:hAnsi="Traditional Arabic" w:cs="Traditional Arabic"/>
          <w:sz w:val="30"/>
          <w:szCs w:val="30"/>
          <w:rtl/>
          <w:lang w:val="en-GB" w:eastAsia="zh-TW"/>
        </w:rPr>
        <w:t xml:space="preserve"> (74.1 في المائة)؛ أمريكا الشمالية: بَلَدان اثنان (١٠٠ في المائة).</w:t>
      </w:r>
    </w:p>
    <w:p w14:paraId="25E3F587" w14:textId="7546F956" w:rsidR="00086A6A" w:rsidRPr="00086A6A" w:rsidRDefault="00086A6A" w:rsidP="00656018">
      <w:pPr>
        <w:pStyle w:val="ListParagraph"/>
        <w:numPr>
          <w:ilvl w:val="0"/>
          <w:numId w:val="7"/>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6D7575">
        <w:rPr>
          <w:rFonts w:ascii="Traditional Arabic" w:hAnsi="Traditional Arabic" w:cs="Traditional Arabic"/>
          <w:sz w:val="30"/>
          <w:szCs w:val="30"/>
          <w:rtl/>
          <w:lang w:val="en-GB" w:eastAsia="zh-TW"/>
        </w:rPr>
        <w:t>وسيقدم مرفق البيئة العالمية دعما</w:t>
      </w:r>
      <w:r w:rsidR="007825F3">
        <w:rPr>
          <w:rFonts w:ascii="Traditional Arabic" w:hAnsi="Traditional Arabic" w:cs="Traditional Arabic" w:hint="cs"/>
          <w:sz w:val="30"/>
          <w:szCs w:val="30"/>
          <w:rtl/>
          <w:lang w:val="en-GB" w:eastAsia="zh-TW"/>
        </w:rPr>
        <w:t>ً</w:t>
      </w:r>
      <w:r w:rsidRPr="006D7575">
        <w:rPr>
          <w:rFonts w:ascii="Traditional Arabic" w:hAnsi="Traditional Arabic" w:cs="Traditional Arabic"/>
          <w:sz w:val="30"/>
          <w:szCs w:val="30"/>
          <w:rtl/>
          <w:lang w:val="en-GB" w:eastAsia="zh-TW"/>
        </w:rPr>
        <w:t xml:space="preserve"> ماليا</w:t>
      </w:r>
      <w:r w:rsidR="007825F3">
        <w:rPr>
          <w:rFonts w:ascii="Traditional Arabic" w:hAnsi="Traditional Arabic" w:cs="Traditional Arabic" w:hint="cs"/>
          <w:sz w:val="30"/>
          <w:szCs w:val="30"/>
          <w:rtl/>
          <w:lang w:val="en-GB" w:eastAsia="zh-TW"/>
        </w:rPr>
        <w:t>ً</w:t>
      </w:r>
      <w:r w:rsidRPr="006D7575">
        <w:rPr>
          <w:rFonts w:ascii="Traditional Arabic" w:hAnsi="Traditional Arabic" w:cs="Traditional Arabic"/>
          <w:sz w:val="30"/>
          <w:szCs w:val="30"/>
          <w:rtl/>
          <w:lang w:val="en-GB" w:eastAsia="zh-TW"/>
        </w:rPr>
        <w:t xml:space="preserve"> كبيرا</w:t>
      </w:r>
      <w:r w:rsidR="007825F3">
        <w:rPr>
          <w:rFonts w:ascii="Traditional Arabic" w:hAnsi="Traditional Arabic" w:cs="Traditional Arabic" w:hint="cs"/>
          <w:sz w:val="30"/>
          <w:szCs w:val="30"/>
          <w:rtl/>
          <w:lang w:val="en-GB" w:eastAsia="zh-TW"/>
        </w:rPr>
        <w:t>ً</w:t>
      </w:r>
      <w:r w:rsidRPr="006D7575">
        <w:rPr>
          <w:rFonts w:ascii="Traditional Arabic" w:hAnsi="Traditional Arabic" w:cs="Traditional Arabic"/>
          <w:sz w:val="30"/>
          <w:szCs w:val="30"/>
          <w:rtl/>
          <w:lang w:val="en-GB" w:eastAsia="zh-TW"/>
        </w:rPr>
        <w:t xml:space="preserve"> لتنفيذ النهج الاستراتيجي للإدارة الدولية للمواد الكيميائية (النهج الاستراتيجي) عن طريق مشروع يشتمل على مكوِّن كبير يتعلق بالرصاص في الدهانات. وسيقدم هذا المشروع، الذي من المتوقع أن يبدأ في كانون الثاني/يناير ٢٠١٩، الدعم لـ</w:t>
      </w:r>
      <w:r w:rsidR="007825F3">
        <w:rPr>
          <w:rFonts w:ascii="Traditional Arabic" w:hAnsi="Traditional Arabic" w:cs="Traditional Arabic" w:hint="cs"/>
          <w:sz w:val="30"/>
          <w:szCs w:val="30"/>
          <w:rtl/>
          <w:lang w:val="en-GB" w:eastAsia="zh-TW"/>
        </w:rPr>
        <w:t>ــ </w:t>
      </w:r>
      <w:r w:rsidRPr="006D7575">
        <w:rPr>
          <w:rFonts w:ascii="Traditional Arabic" w:hAnsi="Traditional Arabic" w:cs="Traditional Arabic"/>
          <w:sz w:val="30"/>
          <w:szCs w:val="30"/>
          <w:rtl/>
          <w:lang w:val="en-GB" w:eastAsia="zh-TW"/>
        </w:rPr>
        <w:t>40 بلداً إضافياً في وضع تشريعات تتعلق بالدهان الرصاصي، تمشيا</w:t>
      </w:r>
      <w:r w:rsidR="007825F3">
        <w:rPr>
          <w:rFonts w:ascii="Traditional Arabic" w:hAnsi="Traditional Arabic" w:cs="Traditional Arabic" w:hint="cs"/>
          <w:sz w:val="30"/>
          <w:szCs w:val="30"/>
          <w:rtl/>
          <w:lang w:val="en-GB" w:eastAsia="zh-TW"/>
        </w:rPr>
        <w:t>ً</w:t>
      </w:r>
      <w:r w:rsidRPr="006D7575">
        <w:rPr>
          <w:rFonts w:ascii="Traditional Arabic" w:hAnsi="Traditional Arabic" w:cs="Traditional Arabic"/>
          <w:sz w:val="30"/>
          <w:szCs w:val="30"/>
          <w:rtl/>
          <w:lang w:val="en-GB" w:eastAsia="zh-TW"/>
        </w:rPr>
        <w:t xml:space="preserve"> مع هدف النهج الاستراتيجي لعام ٢٠٢٠ المتمثل في القضاء على الدهان الرصاصي. وسيشرِك المشروع قطاع الدهانات في إعادة تركيب الدهانات باستخدام بدائل للمواد الرصاصية المضافة. وسيقدم للبلدان الدعم في مجال السياسات والمساعدة التقنية </w:t>
      </w:r>
      <w:r>
        <w:rPr>
          <w:rFonts w:ascii="Traditional Arabic" w:hAnsi="Traditional Arabic" w:cs="Traditional Arabic" w:hint="cs"/>
          <w:sz w:val="30"/>
          <w:szCs w:val="30"/>
          <w:rtl/>
          <w:lang w:val="en-GB" w:eastAsia="zh-TW"/>
        </w:rPr>
        <w:t>ل</w:t>
      </w:r>
      <w:r w:rsidRPr="006D7575">
        <w:rPr>
          <w:rFonts w:ascii="Traditional Arabic" w:hAnsi="Traditional Arabic" w:cs="Traditional Arabic"/>
          <w:sz w:val="30"/>
          <w:szCs w:val="30"/>
          <w:rtl/>
          <w:lang w:val="en-GB" w:eastAsia="zh-TW"/>
        </w:rPr>
        <w:t xml:space="preserve">صياغة قوانين بشأن الدهان الرصاصي. وحتى الآن تتكون الموارد المحشودة لتحالف الدهان الرصاصي في المقام الأول من الدعم العيني والمساعدة التقنية من الشركاء. وقدمت </w:t>
      </w:r>
      <w:r>
        <w:rPr>
          <w:rFonts w:ascii="Traditional Arabic" w:hAnsi="Traditional Arabic" w:cs="Traditional Arabic" w:hint="cs"/>
          <w:sz w:val="30"/>
          <w:szCs w:val="30"/>
          <w:rtl/>
          <w:lang w:val="en-GB" w:eastAsia="zh-TW"/>
        </w:rPr>
        <w:t>و</w:t>
      </w:r>
      <w:r w:rsidRPr="006D7575">
        <w:rPr>
          <w:rFonts w:ascii="Traditional Arabic" w:hAnsi="Traditional Arabic" w:cs="Traditional Arabic"/>
          <w:sz w:val="30"/>
          <w:szCs w:val="30"/>
          <w:rtl/>
          <w:lang w:val="en-GB" w:eastAsia="zh-TW"/>
        </w:rPr>
        <w:t>كالة الولايات المتحدة لحماية البيئة بعض الدعم المالي.</w:t>
      </w:r>
    </w:p>
    <w:p w14:paraId="72BE5095" w14:textId="77777777" w:rsidR="00656018" w:rsidRDefault="00656018" w:rsidP="00656018">
      <w:pPr>
        <w:rPr>
          <w:rFonts w:ascii="Traditional Arabic" w:hAnsi="Traditional Arabic" w:cs="Traditional Arabic"/>
          <w:bCs/>
          <w:sz w:val="30"/>
          <w:szCs w:val="30"/>
          <w:rtl/>
          <w:lang w:val="en-GB" w:eastAsia="zh-TW"/>
        </w:rPr>
      </w:pPr>
      <w:r>
        <w:rPr>
          <w:rFonts w:ascii="Traditional Arabic" w:hAnsi="Traditional Arabic" w:cs="Traditional Arabic"/>
          <w:bCs/>
          <w:sz w:val="30"/>
          <w:szCs w:val="30"/>
          <w:rtl/>
          <w:lang w:val="en-GB" w:eastAsia="zh-TW"/>
        </w:rPr>
        <w:br w:type="page"/>
      </w:r>
    </w:p>
    <w:p w14:paraId="354F0360" w14:textId="3ED842A4" w:rsidR="00086A6A" w:rsidRPr="00086A6A" w:rsidRDefault="00EA7220" w:rsidP="00086A6A">
      <w:pPr>
        <w:keepNext/>
        <w:keepLines/>
        <w:suppressAutoHyphens/>
        <w:spacing w:after="120" w:line="400" w:lineRule="exact"/>
        <w:ind w:left="1134" w:hanging="710"/>
        <w:jc w:val="both"/>
        <w:textDirection w:val="tbRlV"/>
        <w:rPr>
          <w:rFonts w:ascii="Traditional Arabic" w:hAnsi="Traditional Arabic" w:cs="Traditional Arabic"/>
          <w:bCs/>
          <w:sz w:val="30"/>
          <w:szCs w:val="30"/>
          <w:rtl/>
          <w:lang w:val="en-GB" w:eastAsia="zh-TW"/>
        </w:rPr>
      </w:pPr>
      <w:r>
        <w:rPr>
          <w:rFonts w:ascii="Traditional Arabic" w:hAnsi="Traditional Arabic" w:cs="Traditional Arabic" w:hint="cs"/>
          <w:bCs/>
          <w:sz w:val="30"/>
          <w:szCs w:val="30"/>
          <w:rtl/>
          <w:lang w:val="en-GB" w:eastAsia="zh-TW"/>
        </w:rPr>
        <w:lastRenderedPageBreak/>
        <w:t>باء</w:t>
      </w:r>
      <w:r w:rsidR="007825F3">
        <w:rPr>
          <w:rFonts w:ascii="Traditional Arabic" w:hAnsi="Traditional Arabic" w:cs="Traditional Arabic" w:hint="cs"/>
          <w:bCs/>
          <w:sz w:val="30"/>
          <w:szCs w:val="30"/>
          <w:rtl/>
          <w:lang w:val="en-GB" w:eastAsia="zh-TW"/>
        </w:rPr>
        <w:t xml:space="preserve"> </w:t>
      </w:r>
      <w:r w:rsidR="00086A6A" w:rsidRPr="00086A6A">
        <w:rPr>
          <w:rFonts w:ascii="Traditional Arabic" w:hAnsi="Traditional Arabic" w:cs="Traditional Arabic"/>
          <w:bCs/>
          <w:sz w:val="30"/>
          <w:szCs w:val="30"/>
          <w:rtl/>
          <w:lang w:val="en-GB" w:eastAsia="zh-TW"/>
        </w:rPr>
        <w:t>-</w:t>
      </w:r>
      <w:r w:rsidR="00086A6A" w:rsidRPr="00086A6A">
        <w:rPr>
          <w:rFonts w:ascii="Traditional Arabic" w:hAnsi="Traditional Arabic" w:cs="Traditional Arabic"/>
          <w:bCs/>
          <w:sz w:val="30"/>
          <w:szCs w:val="30"/>
          <w:rtl/>
          <w:lang w:val="en-GB" w:eastAsia="zh-TW"/>
        </w:rPr>
        <w:tab/>
        <w:t>نفايات بطاريات الرصاص الحمضية</w:t>
      </w:r>
    </w:p>
    <w:p w14:paraId="334150B8" w14:textId="4401CA33" w:rsidR="00086A6A" w:rsidRPr="00086A6A" w:rsidRDefault="00086A6A" w:rsidP="00656018">
      <w:pPr>
        <w:pStyle w:val="ListParagraph"/>
        <w:numPr>
          <w:ilvl w:val="0"/>
          <w:numId w:val="7"/>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6D7575">
        <w:rPr>
          <w:rFonts w:ascii="Traditional Arabic" w:hAnsi="Traditional Arabic" w:cs="Traditional Arabic"/>
          <w:sz w:val="30"/>
          <w:szCs w:val="30"/>
          <w:rtl/>
          <w:lang w:val="en-GB" w:eastAsia="zh-TW"/>
        </w:rPr>
        <w:t>تتوفر تحليلات التجارة والأسواق لبطاريات الرصاص الحمضية المستعملة فيما يخص آسيا والمحيط الهادئ وأمريكا اللاتينية ومنطقة البحر الكاريبي. وأكد مسح تقييمي للاحتياجات أجرِي بين مراكز تنسيق النهج الاستراتيجي الحاجة إلى المساعدة التقنية بخصوص الإدارة السليمة بيئيا</w:t>
      </w:r>
      <w:r w:rsidR="007825F3">
        <w:rPr>
          <w:rFonts w:ascii="Traditional Arabic" w:hAnsi="Traditional Arabic" w:cs="Traditional Arabic" w:hint="cs"/>
          <w:sz w:val="30"/>
          <w:szCs w:val="30"/>
          <w:rtl/>
          <w:lang w:val="en-GB" w:eastAsia="zh-TW"/>
        </w:rPr>
        <w:t>ً</w:t>
      </w:r>
      <w:r w:rsidRPr="006D7575">
        <w:rPr>
          <w:rFonts w:ascii="Traditional Arabic" w:hAnsi="Traditional Arabic" w:cs="Traditional Arabic"/>
          <w:sz w:val="30"/>
          <w:szCs w:val="30"/>
          <w:rtl/>
          <w:lang w:val="en-GB" w:eastAsia="zh-TW"/>
        </w:rPr>
        <w:t xml:space="preserve"> لنفايات بطاريات الرصاص الحمضية. وسيناقش مؤتمر الأطراف في اتفاقية بازل، في اجتماعه الرابع عشر الذي سيعقد في جنيف في الفترة من ٢٩ أيار/مايو إلى ١٠ نيسان/أبريل ٢٠١٩</w:t>
      </w:r>
      <w:r>
        <w:rPr>
          <w:rFonts w:ascii="Traditional Arabic" w:hAnsi="Traditional Arabic" w:cs="Traditional Arabic" w:hint="cs"/>
          <w:sz w:val="30"/>
          <w:szCs w:val="30"/>
          <w:rtl/>
          <w:lang w:val="en-GB" w:eastAsia="zh-TW"/>
        </w:rPr>
        <w:t>،</w:t>
      </w:r>
      <w:r w:rsidRPr="006D7575">
        <w:rPr>
          <w:rFonts w:ascii="Traditional Arabic" w:hAnsi="Traditional Arabic" w:cs="Traditional Arabic"/>
          <w:sz w:val="30"/>
          <w:szCs w:val="30"/>
          <w:rtl/>
          <w:lang w:val="en-GB" w:eastAsia="zh-TW"/>
        </w:rPr>
        <w:t xml:space="preserve"> تحديثاً للمبادئ التوجيهية التقنية للإدارة السليمة بيئيا</w:t>
      </w:r>
      <w:r w:rsidR="007825F3">
        <w:rPr>
          <w:rFonts w:ascii="Traditional Arabic" w:hAnsi="Traditional Arabic" w:cs="Traditional Arabic" w:hint="cs"/>
          <w:sz w:val="30"/>
          <w:szCs w:val="30"/>
          <w:rtl/>
          <w:lang w:val="en-GB" w:eastAsia="zh-TW"/>
        </w:rPr>
        <w:t>ً</w:t>
      </w:r>
      <w:r w:rsidRPr="006D7575">
        <w:rPr>
          <w:rFonts w:ascii="Traditional Arabic" w:hAnsi="Traditional Arabic" w:cs="Traditional Arabic"/>
          <w:sz w:val="30"/>
          <w:szCs w:val="30"/>
          <w:rtl/>
          <w:lang w:val="en-GB" w:eastAsia="zh-TW"/>
        </w:rPr>
        <w:t xml:space="preserve"> لنفايات بطاريات الرصاص الحمضية.</w:t>
      </w:r>
    </w:p>
    <w:p w14:paraId="6BC26A53" w14:textId="7973DE6E" w:rsidR="00086A6A" w:rsidRPr="00086A6A" w:rsidRDefault="00086A6A" w:rsidP="00656018">
      <w:pPr>
        <w:pStyle w:val="ListParagraph"/>
        <w:numPr>
          <w:ilvl w:val="0"/>
          <w:numId w:val="7"/>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6D7575">
        <w:rPr>
          <w:rFonts w:ascii="Traditional Arabic" w:hAnsi="Traditional Arabic" w:cs="Traditional Arabic"/>
          <w:sz w:val="30"/>
          <w:szCs w:val="30"/>
          <w:rtl/>
          <w:lang w:val="en-GB" w:eastAsia="zh-TW"/>
        </w:rPr>
        <w:t>وقدمت حكومة اليابان تمويلا</w:t>
      </w:r>
      <w:r w:rsidR="007825F3">
        <w:rPr>
          <w:rFonts w:ascii="Traditional Arabic" w:hAnsi="Traditional Arabic" w:cs="Traditional Arabic" w:hint="cs"/>
          <w:sz w:val="30"/>
          <w:szCs w:val="30"/>
          <w:rtl/>
          <w:lang w:val="en-GB" w:eastAsia="zh-TW"/>
        </w:rPr>
        <w:t>ً</w:t>
      </w:r>
      <w:r w:rsidRPr="006D7575">
        <w:rPr>
          <w:rFonts w:ascii="Traditional Arabic" w:hAnsi="Traditional Arabic" w:cs="Traditional Arabic"/>
          <w:sz w:val="30"/>
          <w:szCs w:val="30"/>
          <w:rtl/>
          <w:lang w:val="en-GB" w:eastAsia="zh-TW"/>
        </w:rPr>
        <w:t xml:space="preserve"> لدعم بعض الأعمال المتعلقة بنفايات بطاريات الرصاص الحمضية، بينما قدم شركاء آخرون دعما</w:t>
      </w:r>
      <w:r w:rsidR="007825F3">
        <w:rPr>
          <w:rFonts w:ascii="Traditional Arabic" w:hAnsi="Traditional Arabic" w:cs="Traditional Arabic" w:hint="cs"/>
          <w:sz w:val="30"/>
          <w:szCs w:val="30"/>
          <w:rtl/>
          <w:lang w:val="en-GB" w:eastAsia="zh-TW"/>
        </w:rPr>
        <w:t>ً</w:t>
      </w:r>
      <w:r w:rsidRPr="006D7575">
        <w:rPr>
          <w:rFonts w:ascii="Traditional Arabic" w:hAnsi="Traditional Arabic" w:cs="Traditional Arabic"/>
          <w:sz w:val="30"/>
          <w:szCs w:val="30"/>
          <w:rtl/>
          <w:lang w:val="en-GB" w:eastAsia="zh-TW"/>
        </w:rPr>
        <w:t xml:space="preserve"> عينيا</w:t>
      </w:r>
      <w:r w:rsidR="007825F3">
        <w:rPr>
          <w:rFonts w:ascii="Traditional Arabic" w:hAnsi="Traditional Arabic" w:cs="Traditional Arabic" w:hint="cs"/>
          <w:sz w:val="30"/>
          <w:szCs w:val="30"/>
          <w:rtl/>
          <w:lang w:val="en-GB" w:eastAsia="zh-TW"/>
        </w:rPr>
        <w:t>ً</w:t>
      </w:r>
      <w:r w:rsidRPr="006D7575">
        <w:rPr>
          <w:rFonts w:ascii="Traditional Arabic" w:hAnsi="Traditional Arabic" w:cs="Traditional Arabic"/>
          <w:sz w:val="30"/>
          <w:szCs w:val="30"/>
          <w:rtl/>
          <w:lang w:val="en-GB" w:eastAsia="zh-TW"/>
        </w:rPr>
        <w:t xml:space="preserve"> من خلال أنشطة بناء القدرات في البلدان النامية. ويجري حالياً إعداد اقتراح لمشروع يهدف إلى تعزيز فهم التسمم بالرصاص واستخدام أنجع الممارسات والتدابير لمراقبة التعرض، مع التركيز على نفايات بطاريات الرصاص الحمضية. وثمة مفهوم لمشروع مشترك، هو حالياً في مرحلة جمع الأموال، بين اتفاقية بازل، واتفاقية روتردام المتعلقة بتطبيق إجراء الموافقة المسبقة عن علم على مواد كيميائية ومبيدات آفات معينة خطرة متداولة في التجارة الدولية، واتفاقية استكهولم بشأن الملوثات العضوية الثابتة، وبرنامج الأمم المتحدة للبيئة، يهدف إلى توفير أنشطة لبناء القدرات في أربعة بلدان مختارة لتعزيز الإدارة السليمة بيئيا</w:t>
      </w:r>
      <w:r w:rsidR="007825F3">
        <w:rPr>
          <w:rFonts w:ascii="Traditional Arabic" w:hAnsi="Traditional Arabic" w:cs="Traditional Arabic" w:hint="cs"/>
          <w:sz w:val="30"/>
          <w:szCs w:val="30"/>
          <w:rtl/>
          <w:lang w:val="en-GB" w:eastAsia="zh-TW"/>
        </w:rPr>
        <w:t>ً</w:t>
      </w:r>
      <w:r w:rsidRPr="006D7575">
        <w:rPr>
          <w:rFonts w:ascii="Traditional Arabic" w:hAnsi="Traditional Arabic" w:cs="Traditional Arabic"/>
          <w:sz w:val="30"/>
          <w:szCs w:val="30"/>
          <w:rtl/>
          <w:lang w:val="en-GB" w:eastAsia="zh-TW"/>
        </w:rPr>
        <w:t xml:space="preserve"> لجمع نفايات بطاريات الرصاص الحمضية ومعالجة مسألة إصلاح المواقع الملوثة.</w:t>
      </w:r>
    </w:p>
    <w:p w14:paraId="1C75D6EF" w14:textId="77777777" w:rsidR="00086A6A" w:rsidRPr="00086A6A" w:rsidRDefault="00086A6A" w:rsidP="00656018">
      <w:pPr>
        <w:pStyle w:val="ListParagraph"/>
        <w:numPr>
          <w:ilvl w:val="0"/>
          <w:numId w:val="7"/>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6D7575">
        <w:rPr>
          <w:rFonts w:ascii="Traditional Arabic" w:hAnsi="Traditional Arabic" w:cs="Traditional Arabic"/>
          <w:sz w:val="30"/>
          <w:szCs w:val="30"/>
          <w:rtl/>
          <w:lang w:val="en-GB" w:eastAsia="zh-TW"/>
        </w:rPr>
        <w:t>إن الرابطة الدولية للرصاص ومنظمة الأرض النقية هما شريكان رئيسيان لبرنامج الأمم المتحدة للبيئة في تقديم المساعدة التقنية وبناء القدرات في البلدان المنخفضة الدخل والبلدان المتوسطة الدخل.</w:t>
      </w:r>
    </w:p>
    <w:p w14:paraId="6FC34E23" w14:textId="6D290C22" w:rsidR="00086A6A" w:rsidRPr="007825F3" w:rsidRDefault="00D122AF" w:rsidP="00C85A85">
      <w:pPr>
        <w:keepNext/>
        <w:keepLines/>
        <w:suppressAutoHyphens/>
        <w:spacing w:after="120" w:line="400" w:lineRule="exact"/>
        <w:ind w:left="1134" w:hanging="710"/>
        <w:jc w:val="both"/>
        <w:textDirection w:val="tbRlV"/>
        <w:rPr>
          <w:rFonts w:ascii="Traditional Arabic" w:hAnsi="Traditional Arabic" w:cs="Traditional Arabic"/>
          <w:bCs/>
          <w:sz w:val="32"/>
          <w:szCs w:val="32"/>
          <w:rtl/>
          <w:lang w:val="en-GB" w:eastAsia="zh-TW"/>
        </w:rPr>
      </w:pPr>
      <w:r w:rsidRPr="007825F3">
        <w:rPr>
          <w:rFonts w:ascii="Traditional Arabic" w:hAnsi="Traditional Arabic" w:cs="Traditional Arabic" w:hint="cs"/>
          <w:bCs/>
          <w:sz w:val="32"/>
          <w:szCs w:val="32"/>
          <w:rtl/>
          <w:lang w:val="en-GB" w:eastAsia="zh-TW"/>
        </w:rPr>
        <w:t>ثانياً</w:t>
      </w:r>
      <w:r w:rsidR="007825F3" w:rsidRPr="007825F3">
        <w:rPr>
          <w:rFonts w:ascii="Traditional Arabic" w:hAnsi="Traditional Arabic" w:cs="Traditional Arabic" w:hint="cs"/>
          <w:bCs/>
          <w:sz w:val="32"/>
          <w:szCs w:val="32"/>
          <w:rtl/>
          <w:lang w:val="en-GB" w:eastAsia="zh-TW"/>
        </w:rPr>
        <w:t xml:space="preserve"> </w:t>
      </w:r>
      <w:r w:rsidR="00086A6A" w:rsidRPr="007825F3">
        <w:rPr>
          <w:rFonts w:ascii="Traditional Arabic" w:hAnsi="Traditional Arabic" w:cs="Traditional Arabic"/>
          <w:bCs/>
          <w:sz w:val="32"/>
          <w:szCs w:val="32"/>
          <w:rtl/>
          <w:lang w:val="en-GB" w:eastAsia="zh-TW"/>
        </w:rPr>
        <w:t>-</w:t>
      </w:r>
      <w:r w:rsidR="00086A6A" w:rsidRPr="007825F3">
        <w:rPr>
          <w:rFonts w:ascii="Traditional Arabic" w:hAnsi="Traditional Arabic" w:cs="Traditional Arabic"/>
          <w:bCs/>
          <w:sz w:val="32"/>
          <w:szCs w:val="32"/>
          <w:rtl/>
          <w:lang w:val="en-GB" w:eastAsia="zh-TW"/>
        </w:rPr>
        <w:tab/>
        <w:t>التوصيات والإجراءات المقترح اتخاذها</w:t>
      </w:r>
    </w:p>
    <w:p w14:paraId="32998136" w14:textId="13D4A5F2" w:rsidR="00086A6A" w:rsidRPr="00C85A85" w:rsidRDefault="000E358F" w:rsidP="00C85A85">
      <w:pPr>
        <w:keepNext/>
        <w:keepLines/>
        <w:suppressAutoHyphens/>
        <w:spacing w:after="120" w:line="400" w:lineRule="exact"/>
        <w:ind w:left="1134" w:hanging="710"/>
        <w:jc w:val="both"/>
        <w:textDirection w:val="tbRlV"/>
        <w:rPr>
          <w:rFonts w:ascii="Traditional Arabic" w:hAnsi="Traditional Arabic" w:cs="Traditional Arabic"/>
          <w:bCs/>
          <w:sz w:val="30"/>
          <w:szCs w:val="30"/>
          <w:rtl/>
          <w:lang w:val="en-GB" w:eastAsia="zh-TW"/>
        </w:rPr>
      </w:pPr>
      <w:r>
        <w:rPr>
          <w:rFonts w:ascii="Traditional Arabic" w:hAnsi="Traditional Arabic" w:cs="Traditional Arabic" w:hint="cs"/>
          <w:bCs/>
          <w:sz w:val="30"/>
          <w:szCs w:val="30"/>
          <w:rtl/>
          <w:lang w:val="en-GB" w:eastAsia="zh-TW"/>
        </w:rPr>
        <w:t>ألف</w:t>
      </w:r>
      <w:r w:rsidR="007825F3">
        <w:rPr>
          <w:rFonts w:ascii="Traditional Arabic" w:hAnsi="Traditional Arabic" w:cs="Traditional Arabic" w:hint="cs"/>
          <w:bCs/>
          <w:sz w:val="30"/>
          <w:szCs w:val="30"/>
          <w:rtl/>
          <w:lang w:val="en-GB" w:eastAsia="zh-TW"/>
        </w:rPr>
        <w:t xml:space="preserve"> </w:t>
      </w:r>
      <w:r w:rsidR="00086A6A" w:rsidRPr="00C85A85">
        <w:rPr>
          <w:rFonts w:ascii="Traditional Arabic" w:hAnsi="Traditional Arabic" w:cs="Traditional Arabic"/>
          <w:bCs/>
          <w:sz w:val="30"/>
          <w:szCs w:val="30"/>
          <w:rtl/>
          <w:lang w:val="en-GB" w:eastAsia="zh-TW"/>
        </w:rPr>
        <w:t>-</w:t>
      </w:r>
      <w:r w:rsidR="00086A6A" w:rsidRPr="00C85A85">
        <w:rPr>
          <w:rFonts w:ascii="Traditional Arabic" w:hAnsi="Traditional Arabic" w:cs="Traditional Arabic"/>
          <w:bCs/>
          <w:sz w:val="30"/>
          <w:szCs w:val="30"/>
          <w:rtl/>
          <w:lang w:val="en-GB" w:eastAsia="zh-TW"/>
        </w:rPr>
        <w:tab/>
        <w:t>الرصاص في الدهانات</w:t>
      </w:r>
    </w:p>
    <w:p w14:paraId="45FECF0E" w14:textId="4D3F3358" w:rsidR="00086A6A" w:rsidRPr="00086A6A" w:rsidRDefault="00086A6A" w:rsidP="00656018">
      <w:pPr>
        <w:pStyle w:val="ListParagraph"/>
        <w:numPr>
          <w:ilvl w:val="0"/>
          <w:numId w:val="7"/>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6D7575">
        <w:rPr>
          <w:rFonts w:ascii="Traditional Arabic" w:hAnsi="Traditional Arabic" w:cs="Traditional Arabic"/>
          <w:sz w:val="30"/>
          <w:szCs w:val="30"/>
          <w:rtl/>
          <w:lang w:val="en-GB" w:eastAsia="zh-TW"/>
        </w:rPr>
        <w:t>ينسق برنامج الأمم المتحدة للبيئة مكوِّن الرصاص في الدهانات الذي يشكل أحد عناصر مشروع مرفق البيئة العالمية. ويشمل المشروع دعم الحكومات في وضع قوانين بشأن الدهان الرصاصي والعمل مع المؤسسات الصغيرة والمتوسطة الحجم من أجل تعزيز التخلص التدريجي من استخدام المواد الرصاصية المضافة. وستتلقى الحكومات المستهدفة دعوةً للانضمام إلى المشروع وإبداء رغبتها في وضع أو تعزيز التشريعات الرامية للتخلص التدريجي من استخدام الرصاص في الدهانات.</w:t>
      </w:r>
    </w:p>
    <w:p w14:paraId="5B5A2F24" w14:textId="5FEEE491" w:rsidR="00086A6A" w:rsidRPr="00086A6A" w:rsidRDefault="00086A6A" w:rsidP="00656018">
      <w:pPr>
        <w:pStyle w:val="ListParagraph"/>
        <w:numPr>
          <w:ilvl w:val="0"/>
          <w:numId w:val="7"/>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6D7575">
        <w:rPr>
          <w:rFonts w:ascii="Traditional Arabic" w:hAnsi="Traditional Arabic" w:cs="Traditional Arabic"/>
          <w:sz w:val="30"/>
          <w:szCs w:val="30"/>
          <w:rtl/>
          <w:lang w:val="en-GB" w:eastAsia="zh-TW"/>
        </w:rPr>
        <w:t>وقد ترغب جمعية البيئة في دورتها الرابعة في أن ترحب بالعمل الذي يضطلع به برنامج الأمم المتحدة للبيئة ومنظمة الصحة العالمية الرامي إلى تحقيق هدف عام ٢٠٢٠ المتمثل في القضاء على الدهان الرصاصي في إطار النهج الاستراتيجي، بما في ذلك الاعتراف بعمل وإنجازات تحالف الدهان الرصاصي، وأن تدعم هذا العمل.</w:t>
      </w:r>
    </w:p>
    <w:p w14:paraId="2DCF56DD" w14:textId="6AC37C98" w:rsidR="00086A6A" w:rsidRPr="00086A6A" w:rsidRDefault="00086A6A" w:rsidP="00656018">
      <w:pPr>
        <w:pStyle w:val="ListParagraph"/>
        <w:numPr>
          <w:ilvl w:val="0"/>
          <w:numId w:val="7"/>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6D7575">
        <w:rPr>
          <w:rFonts w:ascii="Traditional Arabic" w:hAnsi="Traditional Arabic" w:cs="Traditional Arabic"/>
          <w:sz w:val="30"/>
          <w:szCs w:val="30"/>
          <w:rtl/>
          <w:lang w:val="en-GB" w:eastAsia="zh-TW"/>
        </w:rPr>
        <w:t>علاوةً على ذلك فإنه في ضوء استمرار الشواغل بشأن سمية الرصاص والاستخدامات الأخرى للرصاص ومصادر التعرض للرصاص فإن جمعية البيئة قد ترغب في أن تطلب إلى المدير التنفيذي لبرنامج الأمم المتحدة للبيئة أن يعد تقريرا</w:t>
      </w:r>
      <w:r w:rsidR="007825F3">
        <w:rPr>
          <w:rFonts w:ascii="Traditional Arabic" w:hAnsi="Traditional Arabic" w:cs="Traditional Arabic" w:hint="cs"/>
          <w:sz w:val="30"/>
          <w:szCs w:val="30"/>
          <w:rtl/>
          <w:lang w:val="en-GB" w:eastAsia="zh-TW"/>
        </w:rPr>
        <w:t>ً</w:t>
      </w:r>
      <w:r w:rsidRPr="006D7575">
        <w:rPr>
          <w:rFonts w:ascii="Traditional Arabic" w:hAnsi="Traditional Arabic" w:cs="Traditional Arabic"/>
          <w:sz w:val="30"/>
          <w:szCs w:val="30"/>
          <w:rtl/>
          <w:lang w:val="en-GB" w:eastAsia="zh-TW"/>
        </w:rPr>
        <w:t xml:space="preserve"> عن أهمية تلك المصادر والسبل التي يمكن بها التقليل إلى أدنى حد ممكن منها من أجل تقديمه إلى جمعية البيئة في دورتها الخامسة.</w:t>
      </w:r>
    </w:p>
    <w:p w14:paraId="06442D83" w14:textId="688FBEF7" w:rsidR="00086A6A" w:rsidRPr="00C85A85" w:rsidRDefault="002647CE" w:rsidP="00C85A85">
      <w:pPr>
        <w:keepNext/>
        <w:keepLines/>
        <w:suppressAutoHyphens/>
        <w:spacing w:after="120" w:line="400" w:lineRule="exact"/>
        <w:ind w:left="1134" w:hanging="710"/>
        <w:jc w:val="both"/>
        <w:textDirection w:val="tbRlV"/>
        <w:rPr>
          <w:rFonts w:ascii="Traditional Arabic" w:hAnsi="Traditional Arabic" w:cs="Traditional Arabic"/>
          <w:bCs/>
          <w:sz w:val="30"/>
          <w:szCs w:val="30"/>
          <w:rtl/>
          <w:lang w:val="en-GB" w:eastAsia="zh-TW"/>
        </w:rPr>
      </w:pPr>
      <w:r>
        <w:rPr>
          <w:rFonts w:ascii="Traditional Arabic" w:hAnsi="Traditional Arabic" w:cs="Traditional Arabic" w:hint="cs"/>
          <w:bCs/>
          <w:sz w:val="30"/>
          <w:szCs w:val="30"/>
          <w:rtl/>
          <w:lang w:val="en-GB" w:eastAsia="zh-TW"/>
        </w:rPr>
        <w:lastRenderedPageBreak/>
        <w:t>باء</w:t>
      </w:r>
      <w:r w:rsidR="007825F3">
        <w:rPr>
          <w:rFonts w:ascii="Traditional Arabic" w:hAnsi="Traditional Arabic" w:cs="Traditional Arabic" w:hint="cs"/>
          <w:bCs/>
          <w:sz w:val="30"/>
          <w:szCs w:val="30"/>
          <w:rtl/>
          <w:lang w:val="en-GB" w:eastAsia="zh-TW"/>
        </w:rPr>
        <w:t xml:space="preserve"> </w:t>
      </w:r>
      <w:r w:rsidR="00086A6A" w:rsidRPr="00C85A85">
        <w:rPr>
          <w:rFonts w:ascii="Traditional Arabic" w:hAnsi="Traditional Arabic" w:cs="Traditional Arabic"/>
          <w:bCs/>
          <w:sz w:val="30"/>
          <w:szCs w:val="30"/>
          <w:rtl/>
          <w:lang w:val="en-GB" w:eastAsia="zh-TW"/>
        </w:rPr>
        <w:t>-</w:t>
      </w:r>
      <w:r w:rsidR="00086A6A" w:rsidRPr="00C85A85">
        <w:rPr>
          <w:rFonts w:ascii="Traditional Arabic" w:hAnsi="Traditional Arabic" w:cs="Traditional Arabic"/>
          <w:bCs/>
          <w:sz w:val="30"/>
          <w:szCs w:val="30"/>
          <w:rtl/>
          <w:lang w:val="en-GB" w:eastAsia="zh-TW"/>
        </w:rPr>
        <w:tab/>
        <w:t>نفايات بطاريات الرصاص الحمضية</w:t>
      </w:r>
    </w:p>
    <w:p w14:paraId="0092AA2C" w14:textId="5E555C85" w:rsidR="00086A6A" w:rsidRPr="00086A6A" w:rsidRDefault="00086A6A" w:rsidP="00656018">
      <w:pPr>
        <w:pStyle w:val="ListParagraph"/>
        <w:numPr>
          <w:ilvl w:val="0"/>
          <w:numId w:val="7"/>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6D7575">
        <w:rPr>
          <w:rFonts w:ascii="Traditional Arabic" w:hAnsi="Traditional Arabic" w:cs="Traditional Arabic"/>
          <w:sz w:val="30"/>
          <w:szCs w:val="30"/>
          <w:rtl/>
          <w:lang w:val="en-GB" w:eastAsia="zh-TW"/>
        </w:rPr>
        <w:t>من المقرر تنفيذ أنشطة ملموسة لبناء القدرات بشأن الإدارة السليمة بيئيا</w:t>
      </w:r>
      <w:r w:rsidR="007825F3">
        <w:rPr>
          <w:rFonts w:ascii="Traditional Arabic" w:hAnsi="Traditional Arabic" w:cs="Traditional Arabic" w:hint="cs"/>
          <w:sz w:val="30"/>
          <w:szCs w:val="30"/>
          <w:rtl/>
          <w:lang w:val="en-GB" w:eastAsia="zh-TW"/>
        </w:rPr>
        <w:t>ً</w:t>
      </w:r>
      <w:r w:rsidRPr="006D7575">
        <w:rPr>
          <w:rFonts w:ascii="Traditional Arabic" w:hAnsi="Traditional Arabic" w:cs="Traditional Arabic"/>
          <w:sz w:val="30"/>
          <w:szCs w:val="30"/>
          <w:rtl/>
          <w:lang w:val="en-GB" w:eastAsia="zh-TW"/>
        </w:rPr>
        <w:t xml:space="preserve"> لنفايات بطاريات الرصاص الحمضية بدعم من الشركاء الرئيسيين، مثل الرابطة الدولية للرصاص ومنظمة الأرض النقية، رهنا</w:t>
      </w:r>
      <w:r w:rsidR="007825F3">
        <w:rPr>
          <w:rFonts w:ascii="Traditional Arabic" w:hAnsi="Traditional Arabic" w:cs="Traditional Arabic" w:hint="cs"/>
          <w:sz w:val="30"/>
          <w:szCs w:val="30"/>
          <w:rtl/>
          <w:lang w:val="en-GB" w:eastAsia="zh-TW"/>
        </w:rPr>
        <w:t>ً</w:t>
      </w:r>
      <w:r w:rsidRPr="006D7575">
        <w:rPr>
          <w:rFonts w:ascii="Traditional Arabic" w:hAnsi="Traditional Arabic" w:cs="Traditional Arabic"/>
          <w:sz w:val="30"/>
          <w:szCs w:val="30"/>
          <w:rtl/>
          <w:lang w:val="en-GB" w:eastAsia="zh-TW"/>
        </w:rPr>
        <w:t xml:space="preserve"> بتوفر التمويل.</w:t>
      </w:r>
    </w:p>
    <w:p w14:paraId="15971A93" w14:textId="49BAA7D6" w:rsidR="00086A6A" w:rsidRPr="00086A6A" w:rsidRDefault="00086A6A" w:rsidP="00656018">
      <w:pPr>
        <w:pStyle w:val="ListParagraph"/>
        <w:numPr>
          <w:ilvl w:val="0"/>
          <w:numId w:val="7"/>
        </w:numPr>
        <w:tabs>
          <w:tab w:val="left" w:pos="1841"/>
        </w:tabs>
        <w:spacing w:after="120" w:line="400" w:lineRule="exact"/>
        <w:ind w:left="1134" w:firstLine="0"/>
        <w:contextualSpacing w:val="0"/>
        <w:jc w:val="both"/>
        <w:rPr>
          <w:rFonts w:ascii="Traditional Arabic" w:hAnsi="Traditional Arabic" w:cs="Traditional Arabic"/>
          <w:sz w:val="30"/>
          <w:szCs w:val="30"/>
          <w:rtl/>
          <w:lang w:val="en-GB" w:eastAsia="zh-TW"/>
        </w:rPr>
      </w:pPr>
      <w:r w:rsidRPr="00922CF5">
        <w:rPr>
          <w:rFonts w:ascii="Traditional Arabic" w:hAnsi="Traditional Arabic" w:cs="Traditional Arabic"/>
          <w:sz w:val="30"/>
          <w:szCs w:val="30"/>
          <w:rtl/>
          <w:lang w:val="en-GB" w:eastAsia="zh-TW"/>
        </w:rPr>
        <w:t>وقد ترغب جمعية البيئة في دورتها الرابعة في أن تلاحظ وتعرب عن دعمها للعمل الذي يقوم به برنامج الأمم المتحدة للبيئة وأن تطلب إلى المدير التنفيذي أن يعد تقريرا</w:t>
      </w:r>
      <w:r w:rsidR="00EB7A7D">
        <w:rPr>
          <w:rFonts w:ascii="Traditional Arabic" w:hAnsi="Traditional Arabic" w:cs="Traditional Arabic" w:hint="cs"/>
          <w:sz w:val="30"/>
          <w:szCs w:val="30"/>
          <w:rtl/>
          <w:lang w:val="en-GB" w:eastAsia="zh-TW"/>
        </w:rPr>
        <w:t>ً</w:t>
      </w:r>
      <w:r w:rsidRPr="00922CF5">
        <w:rPr>
          <w:rFonts w:ascii="Traditional Arabic" w:hAnsi="Traditional Arabic" w:cs="Traditional Arabic"/>
          <w:sz w:val="30"/>
          <w:szCs w:val="30"/>
          <w:rtl/>
          <w:lang w:val="en-GB" w:eastAsia="zh-TW"/>
        </w:rPr>
        <w:t xml:space="preserve"> يحدد الحلول السليمة بيئيا</w:t>
      </w:r>
      <w:r w:rsidR="00EB7A7D">
        <w:rPr>
          <w:rFonts w:ascii="Traditional Arabic" w:hAnsi="Traditional Arabic" w:cs="Traditional Arabic" w:hint="cs"/>
          <w:sz w:val="30"/>
          <w:szCs w:val="30"/>
          <w:rtl/>
          <w:lang w:val="en-GB" w:eastAsia="zh-TW"/>
        </w:rPr>
        <w:t>ً</w:t>
      </w:r>
      <w:r w:rsidRPr="00922CF5">
        <w:rPr>
          <w:rFonts w:ascii="Traditional Arabic" w:hAnsi="Traditional Arabic" w:cs="Traditional Arabic"/>
          <w:sz w:val="30"/>
          <w:szCs w:val="30"/>
          <w:rtl/>
          <w:lang w:val="en-GB" w:eastAsia="zh-TW"/>
        </w:rPr>
        <w:t>، وأفضل الممارسات، والاعتبارات المتعلقة بالتكنولوجيا البديلة بوصفها بدائل لبطاريات الرصاص الحمضية.</w:t>
      </w:r>
    </w:p>
    <w:p w14:paraId="293EBB09" w14:textId="77777777" w:rsidR="003D7E80" w:rsidRPr="003D7E80" w:rsidRDefault="00EC3A5F" w:rsidP="00086A6A">
      <w:pPr>
        <w:pStyle w:val="ListParagraph"/>
        <w:tabs>
          <w:tab w:val="left" w:pos="1841"/>
        </w:tabs>
        <w:spacing w:line="400" w:lineRule="exact"/>
        <w:ind w:left="1134"/>
        <w:contextualSpacing w:val="0"/>
        <w:jc w:val="center"/>
        <w:rPr>
          <w:rFonts w:cs="Traditional Arabic"/>
          <w:sz w:val="30"/>
          <w:szCs w:val="30"/>
          <w:rtl/>
        </w:rPr>
      </w:pPr>
      <w:bookmarkStart w:id="1" w:name="TmpSave"/>
      <w:bookmarkEnd w:id="1"/>
      <w:r w:rsidRPr="00086A6A">
        <w:rPr>
          <w:rFonts w:ascii="Traditional Arabic" w:hAnsi="Traditional Arabic" w:cs="Traditional Arabic"/>
          <w:sz w:val="30"/>
          <w:szCs w:val="30"/>
          <w:lang w:val="en-GB" w:eastAsia="zh-TW"/>
        </w:rPr>
        <w:t>______</w:t>
      </w:r>
      <w:r w:rsidR="008721C9" w:rsidRPr="00086A6A">
        <w:rPr>
          <w:rFonts w:ascii="Traditional Arabic" w:hAnsi="Traditional Arabic" w:cs="Traditional Arabic"/>
          <w:sz w:val="30"/>
          <w:szCs w:val="30"/>
          <w:lang w:val="en-GB" w:eastAsia="zh-TW"/>
        </w:rPr>
        <w:t>_______</w:t>
      </w:r>
    </w:p>
    <w:sectPr w:rsidR="003D7E80" w:rsidRPr="003D7E80" w:rsidSect="009E5574">
      <w:headerReference w:type="even" r:id="rId11"/>
      <w:headerReference w:type="default" r:id="rId12"/>
      <w:footerReference w:type="even" r:id="rId13"/>
      <w:footerReference w:type="default" r:id="rId14"/>
      <w:footerReference w:type="first" r:id="rId15"/>
      <w:endnotePr>
        <w:numFmt w:val="lowerLetter"/>
      </w:endnotePr>
      <w:pgSz w:w="11906" w:h="16838" w:code="9"/>
      <w:pgMar w:top="907" w:right="1418" w:bottom="1418" w:left="992" w:header="539" w:footer="975" w:gutter="0"/>
      <w:cols w:space="720"/>
      <w:titlePg/>
      <w:bidi/>
      <w:rtlGutter/>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4A7229" w14:textId="77777777" w:rsidR="00386B73" w:rsidRDefault="00386B73">
      <w:r>
        <w:separator/>
      </w:r>
    </w:p>
  </w:endnote>
  <w:endnote w:type="continuationSeparator" w:id="0">
    <w:p w14:paraId="21D18EF8" w14:textId="77777777" w:rsidR="00386B73" w:rsidRDefault="00386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aditional Arabic">
    <w:charset w:val="B2"/>
    <w:family w:val="roman"/>
    <w:pitch w:val="variable"/>
    <w:sig w:usb0="00002003" w:usb1="80000000" w:usb2="00000008" w:usb3="00000000" w:csb0="00000041" w:csb1="00000000"/>
  </w:font>
  <w:font w:name="Simplified Arabic">
    <w:charset w:val="B2"/>
    <w:family w:val="roman"/>
    <w:pitch w:val="variable"/>
    <w:sig w:usb0="00002003" w:usb1="80000000" w:usb2="00000008" w:usb3="00000000" w:csb0="00000041" w:csb1="00000000"/>
  </w:font>
  <w:font w:name="Times">
    <w:altName w:val="Sylfaen"/>
    <w:panose1 w:val="02020603050405020304"/>
    <w:charset w:val="00"/>
    <w:family w:val="roman"/>
    <w:pitch w:val="variable"/>
    <w:sig w:usb0="E0002EFF" w:usb1="C000785B" w:usb2="00000009" w:usb3="00000000" w:csb0="000001FF" w:csb1="00000000"/>
  </w:font>
  <w:font w:name="Arabic Transparent">
    <w:altName w:val="Cambri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FF869" w14:textId="77777777" w:rsidR="00386B73" w:rsidRPr="0012040B" w:rsidRDefault="00386B73" w:rsidP="0012040B">
    <w:pPr>
      <w:pStyle w:val="Footer"/>
      <w:bidi w:val="0"/>
      <w:rPr>
        <w:rFonts w:ascii="Times New Roman" w:hAnsi="Times New Roman" w:cs="Times New Roman"/>
        <w:sz w:val="22"/>
        <w:szCs w:val="20"/>
        <w:rtl/>
      </w:rPr>
    </w:pPr>
    <w:r>
      <w:rPr>
        <w:rStyle w:val="PageNumber"/>
      </w:rPr>
      <w:fldChar w:fldCharType="begin"/>
    </w:r>
    <w:r>
      <w:rPr>
        <w:rStyle w:val="PageNumber"/>
        <w:rtl/>
      </w:rPr>
      <w:instrText xml:space="preserve"> </w:instrText>
    </w:r>
    <w:r>
      <w:rPr>
        <w:rStyle w:val="PageNumber"/>
      </w:rPr>
      <w:instrText>PAGE</w:instrText>
    </w:r>
    <w:r>
      <w:rPr>
        <w:rStyle w:val="PageNumber"/>
        <w:rtl/>
      </w:rPr>
      <w:instrText xml:space="preserve"> </w:instrText>
    </w:r>
    <w:r>
      <w:rPr>
        <w:rStyle w:val="PageNumber"/>
      </w:rPr>
      <w:fldChar w:fldCharType="separate"/>
    </w:r>
    <w:r w:rsidR="00F2495E">
      <w:rPr>
        <w:rStyle w:val="PageNumber"/>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128AE" w14:textId="77777777" w:rsidR="00386B73" w:rsidRPr="00780A9D" w:rsidRDefault="00386B73" w:rsidP="00780A9D">
    <w:pPr>
      <w:pStyle w:val="Footer"/>
      <w:tabs>
        <w:tab w:val="clear" w:pos="4153"/>
        <w:tab w:val="clear" w:pos="8306"/>
      </w:tabs>
      <w:bidi w:val="0"/>
      <w:jc w:val="left"/>
      <w:rPr>
        <w:rFonts w:ascii="Times New Roman" w:hAnsi="Times New Roman" w:cs="Times New Roman"/>
        <w:szCs w:val="20"/>
        <w:rtl/>
      </w:rPr>
    </w:pPr>
    <w:r w:rsidRPr="00780A9D">
      <w:rPr>
        <w:rStyle w:val="PageNumber"/>
        <w:rFonts w:ascii="Times New Roman" w:hAnsi="Times New Roman" w:cs="Times New Roman"/>
        <w:szCs w:val="20"/>
      </w:rPr>
      <w:fldChar w:fldCharType="begin"/>
    </w:r>
    <w:r w:rsidRPr="00780A9D">
      <w:rPr>
        <w:rStyle w:val="PageNumber"/>
        <w:rFonts w:ascii="Times New Roman" w:hAnsi="Times New Roman" w:cs="Times New Roman"/>
        <w:szCs w:val="20"/>
      </w:rPr>
      <w:instrText xml:space="preserve"> PAGE </w:instrText>
    </w:r>
    <w:r w:rsidRPr="00780A9D">
      <w:rPr>
        <w:rStyle w:val="PageNumber"/>
        <w:rFonts w:ascii="Times New Roman" w:hAnsi="Times New Roman" w:cs="Times New Roman"/>
        <w:szCs w:val="20"/>
      </w:rPr>
      <w:fldChar w:fldCharType="separate"/>
    </w:r>
    <w:r w:rsidR="00F2495E">
      <w:rPr>
        <w:rStyle w:val="PageNumber"/>
        <w:rFonts w:ascii="Times New Roman" w:hAnsi="Times New Roman" w:cs="Times New Roman"/>
        <w:szCs w:val="20"/>
      </w:rPr>
      <w:t>3</w:t>
    </w:r>
    <w:r w:rsidRPr="00780A9D">
      <w:rPr>
        <w:rStyle w:val="PageNumber"/>
        <w:rFonts w:ascii="Times New Roman" w:hAnsi="Times New Roman" w:cs="Times New Roman"/>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A0E5E0" w14:textId="2E2DD7F1" w:rsidR="00386B73" w:rsidRPr="00217B48" w:rsidRDefault="00386B73" w:rsidP="00A94CE7">
    <w:pPr>
      <w:spacing w:line="200" w:lineRule="exact"/>
      <w:rPr>
        <w:szCs w:val="22"/>
        <w:rtl/>
      </w:rPr>
    </w:pPr>
    <w:r w:rsidRPr="00F45D78">
      <w:rPr>
        <w:rFonts w:cs="Times New Roman"/>
        <w:sz w:val="20"/>
        <w:szCs w:val="20"/>
        <w:lang w:val="en-GB"/>
      </w:rPr>
      <w:t>K1</w:t>
    </w:r>
    <w:r w:rsidR="00900B6E">
      <w:rPr>
        <w:rFonts w:cs="Times New Roman"/>
        <w:sz w:val="20"/>
        <w:szCs w:val="20"/>
        <w:lang w:val="en-GB"/>
      </w:rPr>
      <w:t>8</w:t>
    </w:r>
    <w:r>
      <w:rPr>
        <w:rFonts w:cs="Times New Roman"/>
        <w:sz w:val="20"/>
        <w:szCs w:val="20"/>
        <w:lang w:val="en-GB"/>
      </w:rPr>
      <w:t>0</w:t>
    </w:r>
    <w:r w:rsidR="00086A6A">
      <w:rPr>
        <w:rFonts w:cs="Times New Roman"/>
        <w:sz w:val="20"/>
        <w:szCs w:val="20"/>
        <w:lang w:val="en-GB"/>
      </w:rPr>
      <w:t>3287</w:t>
    </w:r>
    <w:r w:rsidRPr="00F45D78">
      <w:rPr>
        <w:rFonts w:cs="Times New Roman" w:hint="cs"/>
        <w:sz w:val="20"/>
        <w:szCs w:val="20"/>
        <w:rtl/>
        <w:lang w:val="en-GB"/>
      </w:rPr>
      <w:tab/>
    </w:r>
    <w:r w:rsidR="009562C0">
      <w:rPr>
        <w:rFonts w:cs="Times New Roman"/>
        <w:sz w:val="20"/>
        <w:szCs w:val="20"/>
      </w:rPr>
      <w:t>25</w:t>
    </w:r>
    <w:r w:rsidR="00C07A4A">
      <w:rPr>
        <w:rFonts w:cs="Times New Roman"/>
        <w:sz w:val="20"/>
        <w:szCs w:val="20"/>
      </w:rPr>
      <w:t>01</w:t>
    </w:r>
    <w:r w:rsidRPr="00F45D78">
      <w:rPr>
        <w:rFonts w:cs="Times New Roman"/>
        <w:sz w:val="20"/>
        <w:szCs w:val="20"/>
        <w:lang w:val="en-GB"/>
      </w:rPr>
      <w:t>1</w:t>
    </w:r>
    <w:r w:rsidR="00C07A4A">
      <w:rPr>
        <w:rFonts w:cs="Times New Roman"/>
        <w:sz w:val="20"/>
        <w:szCs w:val="20"/>
        <w:lang w:val="en-GB"/>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9802E2" w14:textId="77777777" w:rsidR="00386B73" w:rsidRDefault="00386B73">
      <w:r>
        <w:separator/>
      </w:r>
    </w:p>
  </w:footnote>
  <w:footnote w:type="continuationSeparator" w:id="0">
    <w:p w14:paraId="782F44D0" w14:textId="77777777" w:rsidR="00386B73" w:rsidRDefault="00386B73">
      <w:r>
        <w:continuationSeparator/>
      </w:r>
    </w:p>
  </w:footnote>
  <w:footnote w:id="1">
    <w:p w14:paraId="7F4A8009" w14:textId="2B98F927" w:rsidR="00B4256C" w:rsidRPr="00D86E43" w:rsidRDefault="00B4256C" w:rsidP="009C06F1">
      <w:pPr>
        <w:pStyle w:val="FootnoteText"/>
        <w:spacing w:line="240" w:lineRule="exact"/>
        <w:ind w:left="1134"/>
        <w:jc w:val="both"/>
        <w:textDirection w:val="tbRlV"/>
        <w:rPr>
          <w:rFonts w:ascii="Traditional Arabic" w:hAnsi="Traditional Arabic" w:cs="Traditional Arabic"/>
          <w:sz w:val="26"/>
          <w:szCs w:val="26"/>
          <w:rtl/>
          <w:lang w:eastAsia="zh-TW"/>
        </w:rPr>
      </w:pPr>
      <w:r w:rsidRPr="007825F3">
        <w:rPr>
          <w:sz w:val="18"/>
          <w:szCs w:val="18"/>
          <w:lang w:eastAsia="zh-TW"/>
        </w:rPr>
        <w:t>UNEP/</w:t>
      </w:r>
      <w:r w:rsidR="00E20C50" w:rsidRPr="007825F3">
        <w:rPr>
          <w:sz w:val="18"/>
          <w:szCs w:val="18"/>
          <w:lang w:val="en-GB" w:eastAsia="zh-TW"/>
        </w:rPr>
        <w:t>EA.</w:t>
      </w:r>
      <w:r w:rsidR="00900B6E" w:rsidRPr="007825F3">
        <w:rPr>
          <w:sz w:val="18"/>
          <w:szCs w:val="18"/>
          <w:lang w:eastAsia="zh-TW"/>
        </w:rPr>
        <w:t>4</w:t>
      </w:r>
      <w:r w:rsidRPr="007825F3">
        <w:rPr>
          <w:sz w:val="18"/>
          <w:szCs w:val="18"/>
          <w:lang w:eastAsia="zh-TW"/>
        </w:rPr>
        <w:t>/1</w:t>
      </w:r>
      <w:r w:rsidR="009562C0" w:rsidRPr="007825F3">
        <w:rPr>
          <w:sz w:val="18"/>
          <w:szCs w:val="18"/>
          <w:lang w:eastAsia="zh-TW"/>
        </w:rPr>
        <w:t>/Rev.1</w:t>
      </w:r>
      <w:r w:rsidR="00D86E43">
        <w:rPr>
          <w:lang w:eastAsia="zh-TW"/>
        </w:rPr>
        <w:t xml:space="preserve"> </w:t>
      </w:r>
      <w:r w:rsidR="00D86E43" w:rsidRPr="00D86E43">
        <w:rPr>
          <w:lang w:eastAsia="zh-TW"/>
        </w:rPr>
        <w:t xml:space="preserve"> </w:t>
      </w:r>
      <w:r w:rsidR="00D86E43" w:rsidRPr="00900B6E">
        <w:rPr>
          <w:lang w:eastAsia="zh-TW"/>
        </w:rPr>
        <w:t>*</w:t>
      </w:r>
      <w:r w:rsidR="00D86E43">
        <w:rPr>
          <w:rFonts w:ascii="Traditional Arabic" w:hAnsi="Traditional Arabic" w:cs="Traditional Arabic" w:hint="cs"/>
          <w:sz w:val="26"/>
          <w:szCs w:val="26"/>
          <w:rtl/>
          <w:lang w:eastAsia="zh-TW"/>
        </w:rPr>
        <w:t>.</w:t>
      </w:r>
    </w:p>
  </w:footnote>
  <w:footnote w:id="2">
    <w:p w14:paraId="457D86A4" w14:textId="0119A3CE" w:rsidR="009562C0" w:rsidRDefault="007825F3" w:rsidP="009562C0">
      <w:pPr>
        <w:pStyle w:val="FootnoteText"/>
        <w:ind w:left="1134"/>
        <w:jc w:val="left"/>
        <w:rPr>
          <w:rtl/>
        </w:rPr>
      </w:pPr>
      <w:r w:rsidRPr="007825F3">
        <w:rPr>
          <w:rFonts w:ascii="Traditional Arabic" w:hAnsi="Traditional Arabic" w:cs="Traditional Arabic" w:hint="cs"/>
          <w:sz w:val="26"/>
          <w:szCs w:val="26"/>
        </w:rPr>
        <w:t>(</w:t>
      </w:r>
      <w:r w:rsidR="009562C0" w:rsidRPr="007825F3">
        <w:rPr>
          <w:rStyle w:val="FootnoteReference"/>
          <w:rFonts w:ascii="Traditional Arabic" w:hAnsi="Traditional Arabic" w:cs="Traditional Arabic" w:hint="cs"/>
          <w:sz w:val="26"/>
          <w:szCs w:val="26"/>
          <w:vertAlign w:val="baseline"/>
        </w:rPr>
        <w:footnoteRef/>
      </w:r>
      <w:r w:rsidRPr="007825F3">
        <w:rPr>
          <w:rFonts w:ascii="Traditional Arabic" w:hAnsi="Traditional Arabic" w:cs="Traditional Arabic" w:hint="cs"/>
          <w:sz w:val="26"/>
          <w:szCs w:val="26"/>
        </w:rPr>
        <w:t>)</w:t>
      </w:r>
      <w:r w:rsidR="009562C0">
        <w:rPr>
          <w:rtl/>
        </w:rPr>
        <w:t xml:space="preserve"> </w:t>
      </w:r>
      <w:r w:rsidR="009562C0" w:rsidRPr="007825F3">
        <w:rPr>
          <w:sz w:val="18"/>
          <w:szCs w:val="18"/>
        </w:rPr>
        <w:t>UNEP/EA.3/Res.9</w:t>
      </w:r>
      <w:r w:rsidR="009562C0">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A8D6FF" w14:textId="7E1BAB70" w:rsidR="00386B73" w:rsidRPr="00086A6A" w:rsidRDefault="00386B73" w:rsidP="00A94CE7">
    <w:pPr>
      <w:pBdr>
        <w:bottom w:val="single" w:sz="4" w:space="0" w:color="auto"/>
      </w:pBdr>
      <w:spacing w:before="20" w:after="40"/>
      <w:rPr>
        <w:b/>
        <w:bCs/>
        <w:sz w:val="17"/>
        <w:szCs w:val="17"/>
        <w:rtl/>
        <w:lang w:val="en-GB"/>
      </w:rPr>
    </w:pPr>
    <w:r>
      <w:rPr>
        <w:rStyle w:val="PageNumber"/>
        <w:rFonts w:cs="Times New Roman"/>
        <w:b/>
        <w:bCs/>
        <w:sz w:val="17"/>
        <w:szCs w:val="17"/>
      </w:rPr>
      <w:t>U</w:t>
    </w:r>
    <w:r w:rsidR="00315A11">
      <w:rPr>
        <w:rStyle w:val="PageNumber"/>
        <w:rFonts w:cs="Times New Roman"/>
        <w:b/>
        <w:bCs/>
        <w:sz w:val="17"/>
        <w:szCs w:val="17"/>
      </w:rPr>
      <w:t>N</w:t>
    </w:r>
    <w:r>
      <w:rPr>
        <w:rStyle w:val="PageNumber"/>
        <w:rFonts w:cs="Times New Roman"/>
        <w:b/>
        <w:bCs/>
        <w:sz w:val="17"/>
        <w:szCs w:val="17"/>
      </w:rPr>
      <w:t>EP/EA.</w:t>
    </w:r>
    <w:r w:rsidR="00900B6E">
      <w:rPr>
        <w:rStyle w:val="PageNumber"/>
        <w:rFonts w:cs="Times New Roman"/>
        <w:b/>
        <w:bCs/>
        <w:sz w:val="17"/>
        <w:szCs w:val="17"/>
      </w:rPr>
      <w:t>4</w:t>
    </w:r>
    <w:r>
      <w:rPr>
        <w:rStyle w:val="PageNumber"/>
        <w:rFonts w:cs="Times New Roman"/>
        <w:b/>
        <w:bCs/>
        <w:sz w:val="17"/>
        <w:szCs w:val="17"/>
      </w:rPr>
      <w:t>/</w:t>
    </w:r>
    <w:r w:rsidR="00086A6A">
      <w:rPr>
        <w:b/>
        <w:bCs/>
        <w:sz w:val="17"/>
        <w:szCs w:val="17"/>
        <w:lang w:val="fr-FR"/>
      </w:rPr>
      <w:t>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30195" w14:textId="144096C1" w:rsidR="00386B73" w:rsidRPr="00EC3A5F" w:rsidRDefault="00386B73" w:rsidP="00A94CE7">
    <w:pPr>
      <w:pBdr>
        <w:bottom w:val="single" w:sz="4" w:space="1" w:color="auto"/>
      </w:pBdr>
      <w:bidi w:val="0"/>
      <w:spacing w:before="20" w:after="40"/>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w:t>
    </w:r>
    <w:r w:rsidR="00900B6E">
      <w:rPr>
        <w:rStyle w:val="PageNumber"/>
        <w:rFonts w:cs="Times New Roman"/>
        <w:b/>
        <w:bCs/>
        <w:sz w:val="17"/>
        <w:szCs w:val="17"/>
      </w:rPr>
      <w:t>4</w:t>
    </w:r>
    <w:r w:rsidRPr="00EC3A5F">
      <w:rPr>
        <w:rStyle w:val="PageNumber"/>
        <w:rFonts w:cs="Times New Roman"/>
        <w:b/>
        <w:bCs/>
        <w:sz w:val="17"/>
        <w:szCs w:val="17"/>
      </w:rPr>
      <w:t>/</w:t>
    </w:r>
    <w:r w:rsidR="00086A6A">
      <w:rPr>
        <w:b/>
        <w:bCs/>
        <w:sz w:val="17"/>
        <w:szCs w:val="17"/>
        <w:lang w:val="fr-FR"/>
      </w:rPr>
      <w:t>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D7B23"/>
    <w:multiLevelType w:val="hybridMultilevel"/>
    <w:tmpl w:val="86F26EE8"/>
    <w:lvl w:ilvl="0" w:tplc="1410F1A2">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 w15:restartNumberingAfterBreak="0">
    <w:nsid w:val="171113A7"/>
    <w:multiLevelType w:val="multilevel"/>
    <w:tmpl w:val="48241D10"/>
    <w:numStyleLink w:val="Normallist"/>
  </w:abstractNum>
  <w:abstractNum w:abstractNumId="2" w15:restartNumberingAfterBreak="0">
    <w:nsid w:val="2946226F"/>
    <w:multiLevelType w:val="hybridMultilevel"/>
    <w:tmpl w:val="58922C66"/>
    <w:lvl w:ilvl="0" w:tplc="C1DA614C">
      <w:start w:val="1"/>
      <w:numFmt w:val="decimal"/>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3" w15:restartNumberingAfterBreak="0">
    <w:nsid w:val="3B770642"/>
    <w:multiLevelType w:val="hybridMultilevel"/>
    <w:tmpl w:val="3DC2D018"/>
    <w:lvl w:ilvl="0" w:tplc="C1DA614C">
      <w:start w:val="1"/>
      <w:numFmt w:val="decimal"/>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4"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5" w15:restartNumberingAfterBreak="0">
    <w:nsid w:val="6AA50DB1"/>
    <w:multiLevelType w:val="singleLevel"/>
    <w:tmpl w:val="0C00B568"/>
    <w:lvl w:ilvl="0">
      <w:start w:val="1"/>
      <w:numFmt w:val="decimal"/>
      <w:lvlText w:val="%1."/>
      <w:lvlJc w:val="left"/>
      <w:pPr>
        <w:tabs>
          <w:tab w:val="num" w:pos="360"/>
        </w:tabs>
        <w:ind w:left="0" w:firstLine="0"/>
      </w:pPr>
      <w:rPr>
        <w:rFonts w:ascii="Times New Roman" w:hAnsi="Times New Roman" w:hint="default"/>
        <w:b w:val="0"/>
        <w:i w:val="0"/>
        <w:sz w:val="22"/>
      </w:rPr>
    </w:lvl>
  </w:abstractNum>
  <w:num w:numId="1">
    <w:abstractNumId w:val="5"/>
  </w:num>
  <w:num w:numId="2">
    <w:abstractNumId w:val="4"/>
  </w:num>
  <w:num w:numId="3">
    <w:abstractNumId w:val="1"/>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 w:numId="4">
    <w:abstractNumId w:val="1"/>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 w:numId="5">
    <w:abstractNumId w:val="2"/>
  </w:num>
  <w:num w:numId="6">
    <w:abstractNumId w:val="3"/>
  </w:num>
  <w:num w:numId="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71"/>
  <w:drawingGridVerticalSpacing w:val="233"/>
  <w:displayHorizontalDrawingGridEvery w:val="0"/>
  <w:noPunctuationKerning/>
  <w:characterSpacingControl w:val="doNotCompress"/>
  <w:hdrShapeDefaults>
    <o:shapedefaults v:ext="edit" spidmax="30721"/>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02B"/>
    <w:rsid w:val="00004629"/>
    <w:rsid w:val="000242CB"/>
    <w:rsid w:val="000255EE"/>
    <w:rsid w:val="00080DBA"/>
    <w:rsid w:val="0008359A"/>
    <w:rsid w:val="000844F9"/>
    <w:rsid w:val="00086A6A"/>
    <w:rsid w:val="00087210"/>
    <w:rsid w:val="000B4842"/>
    <w:rsid w:val="000C095D"/>
    <w:rsid w:val="000D0380"/>
    <w:rsid w:val="000E24FF"/>
    <w:rsid w:val="000E358F"/>
    <w:rsid w:val="001044B6"/>
    <w:rsid w:val="00113EC2"/>
    <w:rsid w:val="00116C73"/>
    <w:rsid w:val="0012040B"/>
    <w:rsid w:val="00131CE1"/>
    <w:rsid w:val="00144421"/>
    <w:rsid w:val="00153644"/>
    <w:rsid w:val="00153926"/>
    <w:rsid w:val="00154CC2"/>
    <w:rsid w:val="0016000B"/>
    <w:rsid w:val="001602FD"/>
    <w:rsid w:val="00165BE3"/>
    <w:rsid w:val="00175870"/>
    <w:rsid w:val="00177C0C"/>
    <w:rsid w:val="001914D3"/>
    <w:rsid w:val="00193855"/>
    <w:rsid w:val="0019738E"/>
    <w:rsid w:val="001A7B84"/>
    <w:rsid w:val="001B69F3"/>
    <w:rsid w:val="001E4795"/>
    <w:rsid w:val="00217B48"/>
    <w:rsid w:val="00226109"/>
    <w:rsid w:val="00243FC6"/>
    <w:rsid w:val="002568E6"/>
    <w:rsid w:val="00260C3B"/>
    <w:rsid w:val="00261451"/>
    <w:rsid w:val="002647CE"/>
    <w:rsid w:val="0027481A"/>
    <w:rsid w:val="00282759"/>
    <w:rsid w:val="002B0E93"/>
    <w:rsid w:val="002C60AD"/>
    <w:rsid w:val="002D6F30"/>
    <w:rsid w:val="00315A11"/>
    <w:rsid w:val="00324C76"/>
    <w:rsid w:val="00386B73"/>
    <w:rsid w:val="00386BD3"/>
    <w:rsid w:val="00392389"/>
    <w:rsid w:val="0039606B"/>
    <w:rsid w:val="003A3C5E"/>
    <w:rsid w:val="003B6C4E"/>
    <w:rsid w:val="003D7E80"/>
    <w:rsid w:val="003E4E41"/>
    <w:rsid w:val="00405211"/>
    <w:rsid w:val="004073F0"/>
    <w:rsid w:val="00417F36"/>
    <w:rsid w:val="00440290"/>
    <w:rsid w:val="00442979"/>
    <w:rsid w:val="004965D3"/>
    <w:rsid w:val="004B0A17"/>
    <w:rsid w:val="004C5D36"/>
    <w:rsid w:val="004D08E4"/>
    <w:rsid w:val="004D0E9D"/>
    <w:rsid w:val="004D1F6B"/>
    <w:rsid w:val="004D2B12"/>
    <w:rsid w:val="004D3BED"/>
    <w:rsid w:val="004D6802"/>
    <w:rsid w:val="004D69EB"/>
    <w:rsid w:val="004E4E97"/>
    <w:rsid w:val="004E5370"/>
    <w:rsid w:val="004E557C"/>
    <w:rsid w:val="004E7B30"/>
    <w:rsid w:val="004F230A"/>
    <w:rsid w:val="00500B42"/>
    <w:rsid w:val="005018F4"/>
    <w:rsid w:val="00530F46"/>
    <w:rsid w:val="00565047"/>
    <w:rsid w:val="005809B9"/>
    <w:rsid w:val="00581ED6"/>
    <w:rsid w:val="005945AA"/>
    <w:rsid w:val="005A19CF"/>
    <w:rsid w:val="005B7D85"/>
    <w:rsid w:val="005C55FF"/>
    <w:rsid w:val="005E06C5"/>
    <w:rsid w:val="0060772E"/>
    <w:rsid w:val="006135DA"/>
    <w:rsid w:val="00614103"/>
    <w:rsid w:val="006160A4"/>
    <w:rsid w:val="006227F4"/>
    <w:rsid w:val="00636E68"/>
    <w:rsid w:val="00642185"/>
    <w:rsid w:val="006517DF"/>
    <w:rsid w:val="00656018"/>
    <w:rsid w:val="00671875"/>
    <w:rsid w:val="006A7796"/>
    <w:rsid w:val="006C560D"/>
    <w:rsid w:val="006E1B00"/>
    <w:rsid w:val="006E4BE0"/>
    <w:rsid w:val="006F060B"/>
    <w:rsid w:val="0070581A"/>
    <w:rsid w:val="00706852"/>
    <w:rsid w:val="007071C8"/>
    <w:rsid w:val="007159C9"/>
    <w:rsid w:val="00715AF4"/>
    <w:rsid w:val="00722365"/>
    <w:rsid w:val="007653B3"/>
    <w:rsid w:val="007712A8"/>
    <w:rsid w:val="00780A9D"/>
    <w:rsid w:val="007825F3"/>
    <w:rsid w:val="007B4E5E"/>
    <w:rsid w:val="007C0FF8"/>
    <w:rsid w:val="007C3EB8"/>
    <w:rsid w:val="00805014"/>
    <w:rsid w:val="00810D57"/>
    <w:rsid w:val="00821CBF"/>
    <w:rsid w:val="008226DC"/>
    <w:rsid w:val="00827F6A"/>
    <w:rsid w:val="00852DD4"/>
    <w:rsid w:val="00856921"/>
    <w:rsid w:val="00864C12"/>
    <w:rsid w:val="008721C9"/>
    <w:rsid w:val="00895358"/>
    <w:rsid w:val="008B2E95"/>
    <w:rsid w:val="008C5028"/>
    <w:rsid w:val="008E382F"/>
    <w:rsid w:val="0090002B"/>
    <w:rsid w:val="00900B6E"/>
    <w:rsid w:val="009024C1"/>
    <w:rsid w:val="00924796"/>
    <w:rsid w:val="00926C1F"/>
    <w:rsid w:val="00945D6A"/>
    <w:rsid w:val="009562C0"/>
    <w:rsid w:val="0097227D"/>
    <w:rsid w:val="009819E2"/>
    <w:rsid w:val="00997B87"/>
    <w:rsid w:val="009A16F9"/>
    <w:rsid w:val="009B38CE"/>
    <w:rsid w:val="009B79AE"/>
    <w:rsid w:val="009C06F1"/>
    <w:rsid w:val="009C60CE"/>
    <w:rsid w:val="009E5574"/>
    <w:rsid w:val="009E55B5"/>
    <w:rsid w:val="009F23D3"/>
    <w:rsid w:val="00A00198"/>
    <w:rsid w:val="00A47CC8"/>
    <w:rsid w:val="00A47EB4"/>
    <w:rsid w:val="00A576F2"/>
    <w:rsid w:val="00A579D1"/>
    <w:rsid w:val="00A70EED"/>
    <w:rsid w:val="00A81553"/>
    <w:rsid w:val="00A841A3"/>
    <w:rsid w:val="00A94CE7"/>
    <w:rsid w:val="00A969A0"/>
    <w:rsid w:val="00AB1E5D"/>
    <w:rsid w:val="00AB2B5A"/>
    <w:rsid w:val="00AD1EE5"/>
    <w:rsid w:val="00AF0EBF"/>
    <w:rsid w:val="00B14D70"/>
    <w:rsid w:val="00B270C7"/>
    <w:rsid w:val="00B34EA4"/>
    <w:rsid w:val="00B4256C"/>
    <w:rsid w:val="00B748E6"/>
    <w:rsid w:val="00B92BCD"/>
    <w:rsid w:val="00B96D40"/>
    <w:rsid w:val="00BA5FAC"/>
    <w:rsid w:val="00BA6ED1"/>
    <w:rsid w:val="00BD795E"/>
    <w:rsid w:val="00C07013"/>
    <w:rsid w:val="00C07A4A"/>
    <w:rsid w:val="00C130F3"/>
    <w:rsid w:val="00C22877"/>
    <w:rsid w:val="00C2334D"/>
    <w:rsid w:val="00C35B65"/>
    <w:rsid w:val="00C47D0B"/>
    <w:rsid w:val="00C56205"/>
    <w:rsid w:val="00C7051C"/>
    <w:rsid w:val="00C811BE"/>
    <w:rsid w:val="00C85728"/>
    <w:rsid w:val="00C85A85"/>
    <w:rsid w:val="00C95361"/>
    <w:rsid w:val="00CA1B4E"/>
    <w:rsid w:val="00CA4B0F"/>
    <w:rsid w:val="00CA4F8C"/>
    <w:rsid w:val="00CC797B"/>
    <w:rsid w:val="00CD28D2"/>
    <w:rsid w:val="00D00843"/>
    <w:rsid w:val="00D122AF"/>
    <w:rsid w:val="00D17F74"/>
    <w:rsid w:val="00D304DE"/>
    <w:rsid w:val="00D42F1B"/>
    <w:rsid w:val="00D553BC"/>
    <w:rsid w:val="00D578BF"/>
    <w:rsid w:val="00D71822"/>
    <w:rsid w:val="00D86E43"/>
    <w:rsid w:val="00D9173E"/>
    <w:rsid w:val="00D91942"/>
    <w:rsid w:val="00D9385C"/>
    <w:rsid w:val="00DA1588"/>
    <w:rsid w:val="00DC0FF0"/>
    <w:rsid w:val="00DD2FA5"/>
    <w:rsid w:val="00DD6C8F"/>
    <w:rsid w:val="00DD7535"/>
    <w:rsid w:val="00DE796A"/>
    <w:rsid w:val="00E11905"/>
    <w:rsid w:val="00E20C50"/>
    <w:rsid w:val="00E32A3D"/>
    <w:rsid w:val="00E57228"/>
    <w:rsid w:val="00E760C7"/>
    <w:rsid w:val="00E9640A"/>
    <w:rsid w:val="00EA2CCF"/>
    <w:rsid w:val="00EA7220"/>
    <w:rsid w:val="00EB7A7D"/>
    <w:rsid w:val="00EC3A5F"/>
    <w:rsid w:val="00ED77A3"/>
    <w:rsid w:val="00EE6015"/>
    <w:rsid w:val="00EE70DB"/>
    <w:rsid w:val="00F10C46"/>
    <w:rsid w:val="00F240DC"/>
    <w:rsid w:val="00F2495E"/>
    <w:rsid w:val="00F27726"/>
    <w:rsid w:val="00F65F58"/>
    <w:rsid w:val="00F7639B"/>
    <w:rsid w:val="00F81A30"/>
    <w:rsid w:val="00FA78D2"/>
    <w:rsid w:val="00FB2080"/>
    <w:rsid w:val="00FC1DEC"/>
    <w:rsid w:val="00FC2264"/>
    <w:rsid w:val="00FC582C"/>
    <w:rsid w:val="00FD2B77"/>
    <w:rsid w:val="00FD42F5"/>
    <w:rsid w:val="00FD4D75"/>
    <w:rsid w:val="00FF5087"/>
    <w:rsid w:val="00FF59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3C56E8D"/>
  <w15:docId w15:val="{E6ADE4B8-2C9B-4B79-901A-1C736A871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 w:val="20"/>
      <w:szCs w:val="24"/>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93"/>
    <w:basedOn w:val="Normal"/>
    <w:link w:val="FootnoteTextChar"/>
    <w:pPr>
      <w:jc w:val="right"/>
    </w:pPr>
    <w:rPr>
      <w:rFonts w:ascii="Times" w:hAnsi="Times"/>
      <w:noProof/>
      <w:sz w:val="20"/>
      <w:szCs w:val="20"/>
    </w:rPr>
  </w:style>
  <w:style w:type="character" w:styleId="FootnoteReference">
    <w:name w:val="footnote reference"/>
    <w:aliases w:val="ftref,16 Point,Superscript 6 Point,(Ref. de nota al pie),number,SUPERS,Footnote Reference Superscript,Footnote Reference S,fr,Fotnotsreferens"/>
    <w:qFormat/>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paragraph" w:styleId="BalloonText">
    <w:name w:val="Balloon Text"/>
    <w:basedOn w:val="Normal"/>
    <w:link w:val="BalloonTextChar"/>
    <w:rsid w:val="00FD42F5"/>
    <w:rPr>
      <w:rFonts w:ascii="Tahoma" w:hAnsi="Tahoma" w:cs="Tahoma"/>
      <w:sz w:val="16"/>
      <w:szCs w:val="16"/>
    </w:rPr>
  </w:style>
  <w:style w:type="character" w:customStyle="1" w:styleId="BalloonTextChar">
    <w:name w:val="Balloon Text Char"/>
    <w:link w:val="BalloonText"/>
    <w:rsid w:val="00FD42F5"/>
    <w:rPr>
      <w:rFonts w:ascii="Tahoma" w:hAnsi="Tahoma" w:cs="Tahoma"/>
      <w:sz w:val="16"/>
      <w:szCs w:val="16"/>
    </w:rPr>
  </w:style>
  <w:style w:type="paragraph" w:customStyle="1" w:styleId="CH1">
    <w:name w:val="CH1"/>
    <w:basedOn w:val="Normal"/>
    <w:next w:val="CH2"/>
    <w:rsid w:val="00B4256C"/>
    <w:pPr>
      <w:keepNext/>
      <w:keepLines/>
      <w:tabs>
        <w:tab w:val="right" w:pos="851"/>
        <w:tab w:val="left" w:pos="1247"/>
        <w:tab w:val="left" w:pos="1814"/>
        <w:tab w:val="left" w:pos="2381"/>
        <w:tab w:val="left" w:pos="2948"/>
        <w:tab w:val="left" w:pos="3515"/>
      </w:tabs>
      <w:suppressAutoHyphens/>
      <w:bidi w:val="0"/>
      <w:spacing w:before="240" w:after="120"/>
      <w:ind w:left="1247" w:right="284" w:hanging="1247"/>
    </w:pPr>
    <w:rPr>
      <w:rFonts w:cs="Traditional Arabic" w:hint="cs"/>
      <w:b/>
      <w:sz w:val="28"/>
      <w:lang w:val="en-GB"/>
    </w:rPr>
  </w:style>
  <w:style w:type="paragraph" w:customStyle="1" w:styleId="CH2">
    <w:name w:val="CH2"/>
    <w:basedOn w:val="Normal"/>
    <w:next w:val="Normalnumber"/>
    <w:rsid w:val="00B4256C"/>
    <w:pPr>
      <w:keepNext/>
      <w:keepLines/>
      <w:tabs>
        <w:tab w:val="right" w:pos="851"/>
        <w:tab w:val="left" w:pos="1247"/>
        <w:tab w:val="left" w:pos="1814"/>
        <w:tab w:val="left" w:pos="2381"/>
        <w:tab w:val="left" w:pos="2948"/>
        <w:tab w:val="left" w:pos="3515"/>
      </w:tabs>
      <w:suppressAutoHyphens/>
      <w:bidi w:val="0"/>
      <w:spacing w:before="80" w:after="120"/>
      <w:ind w:left="1247" w:right="284" w:hanging="1247"/>
    </w:pPr>
    <w:rPr>
      <w:rFonts w:cs="Traditional Arabic" w:hint="cs"/>
      <w:b/>
      <w:sz w:val="24"/>
      <w:szCs w:val="24"/>
      <w:lang w:val="en-GB"/>
    </w:rPr>
  </w:style>
  <w:style w:type="character" w:customStyle="1" w:styleId="FootnoteTextChar">
    <w:name w:val="Footnote Text Char"/>
    <w:aliases w:val="Geneva 9 Char,Font: Geneva 9 Char,Boston 10 Char,f Char,DNV-FT Char,fn Char,footnote text Char,Footnotes Char,Footnote ak Char,ft Char,fn cafc Char,Footnotes Char Char Char,Footnote Text Char Char Char,fn Char Char Char,93 Char"/>
    <w:basedOn w:val="DefaultParagraphFont"/>
    <w:link w:val="FootnoteText"/>
    <w:rsid w:val="00B4256C"/>
    <w:rPr>
      <w:rFonts w:ascii="Times" w:hAnsi="Times" w:cs="Simplified Arabic"/>
      <w:noProof/>
    </w:rPr>
  </w:style>
  <w:style w:type="paragraph" w:customStyle="1" w:styleId="AATitle">
    <w:name w:val="AA_Title"/>
    <w:basedOn w:val="Normal"/>
    <w:rsid w:val="00B4256C"/>
    <w:pPr>
      <w:keepNext/>
      <w:keepLines/>
      <w:tabs>
        <w:tab w:val="left" w:pos="1247"/>
        <w:tab w:val="left" w:pos="1814"/>
        <w:tab w:val="left" w:pos="2381"/>
        <w:tab w:val="left" w:pos="2948"/>
        <w:tab w:val="left" w:pos="3515"/>
      </w:tabs>
      <w:suppressAutoHyphens/>
      <w:bidi w:val="0"/>
      <w:ind w:right="3402"/>
    </w:pPr>
    <w:rPr>
      <w:rFonts w:cs="Traditional Arabic" w:hint="cs"/>
      <w:b/>
      <w:sz w:val="20"/>
      <w:szCs w:val="30"/>
      <w:lang w:val="en-GB"/>
    </w:rPr>
  </w:style>
  <w:style w:type="paragraph" w:customStyle="1" w:styleId="BBTitle">
    <w:name w:val="BB_Title"/>
    <w:basedOn w:val="Normal"/>
    <w:rsid w:val="00B4256C"/>
    <w:pPr>
      <w:keepNext/>
      <w:keepLines/>
      <w:tabs>
        <w:tab w:val="left" w:pos="1247"/>
        <w:tab w:val="left" w:pos="1814"/>
        <w:tab w:val="left" w:pos="2381"/>
        <w:tab w:val="left" w:pos="2948"/>
        <w:tab w:val="left" w:pos="3515"/>
      </w:tabs>
      <w:suppressAutoHyphens/>
      <w:bidi w:val="0"/>
      <w:spacing w:before="320" w:after="240"/>
      <w:ind w:left="1247" w:right="567"/>
    </w:pPr>
    <w:rPr>
      <w:rFonts w:cs="Traditional Arabic" w:hint="cs"/>
      <w:b/>
      <w:sz w:val="28"/>
      <w:lang w:val="en-GB"/>
    </w:rPr>
  </w:style>
  <w:style w:type="numbering" w:customStyle="1" w:styleId="Normallist">
    <w:name w:val="Normal_list"/>
    <w:basedOn w:val="NoList"/>
    <w:rsid w:val="00B4256C"/>
    <w:pPr>
      <w:numPr>
        <w:numId w:val="2"/>
      </w:numPr>
    </w:pPr>
  </w:style>
  <w:style w:type="paragraph" w:customStyle="1" w:styleId="NormalNonumber">
    <w:name w:val="Normal_No_number"/>
    <w:basedOn w:val="Normal"/>
    <w:rsid w:val="00B4256C"/>
    <w:pPr>
      <w:tabs>
        <w:tab w:val="left" w:pos="1247"/>
        <w:tab w:val="left" w:pos="1814"/>
        <w:tab w:val="left" w:pos="2381"/>
        <w:tab w:val="left" w:pos="2948"/>
        <w:tab w:val="left" w:pos="3515"/>
      </w:tabs>
      <w:bidi w:val="0"/>
      <w:spacing w:after="120"/>
      <w:ind w:left="1247"/>
    </w:pPr>
    <w:rPr>
      <w:rFonts w:cs="Traditional Arabic" w:hint="cs"/>
      <w:sz w:val="20"/>
      <w:szCs w:val="30"/>
      <w:lang w:val="en-GB"/>
    </w:rPr>
  </w:style>
  <w:style w:type="paragraph" w:customStyle="1" w:styleId="Normalnumber">
    <w:name w:val="Normal_number"/>
    <w:basedOn w:val="Normal"/>
    <w:rsid w:val="00B4256C"/>
    <w:pPr>
      <w:numPr>
        <w:numId w:val="3"/>
      </w:numPr>
      <w:tabs>
        <w:tab w:val="left" w:pos="1247"/>
        <w:tab w:val="left" w:pos="1814"/>
        <w:tab w:val="left" w:pos="2381"/>
        <w:tab w:val="left" w:pos="2948"/>
        <w:tab w:val="left" w:pos="3515"/>
      </w:tabs>
      <w:bidi w:val="0"/>
      <w:spacing w:after="120"/>
    </w:pPr>
    <w:rPr>
      <w:rFonts w:cs="Traditional Arabic" w:hint="cs"/>
      <w:sz w:val="20"/>
      <w:szCs w:val="30"/>
      <w:lang w:val="en-GB"/>
    </w:rPr>
  </w:style>
  <w:style w:type="paragraph" w:styleId="ListParagraph">
    <w:name w:val="List Paragraph"/>
    <w:basedOn w:val="Normal"/>
    <w:uiPriority w:val="34"/>
    <w:qFormat/>
    <w:rsid w:val="00C07A4A"/>
    <w:pPr>
      <w:ind w:left="720"/>
      <w:contextualSpacing/>
    </w:pPr>
  </w:style>
  <w:style w:type="table" w:styleId="TableGrid">
    <w:name w:val="Table Grid"/>
    <w:basedOn w:val="TableNormal"/>
    <w:uiPriority w:val="39"/>
    <w:rsid w:val="00C07A4A"/>
    <w:rPr>
      <w:rFonts w:ascii="Century" w:eastAsia="MS Mincho" w:hAnsi="Century" w:cs="Times New Roman"/>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Char">
    <w:name w:val="Char1 Char Char Char Char Char Char"/>
    <w:basedOn w:val="Normal"/>
    <w:rsid w:val="009C06F1"/>
    <w:pPr>
      <w:bidi w:val="0"/>
      <w:spacing w:after="160" w:line="240" w:lineRule="exact"/>
    </w:pPr>
    <w:rPr>
      <w:rFonts w:ascii="Tahoma" w:hAnsi="Tahom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3BC7C-2EF7-4BD5-BAC6-CEF36905A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1141</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UNEP/EA</vt:lpstr>
    </vt:vector>
  </TitlesOfParts>
  <Company>UNON</Company>
  <LinksUpToDate>false</LinksUpToDate>
  <CharactersWithSpaces>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UNEP/EA</dc:title>
  <dc:creator>kotb</dc:creator>
  <cp:lastModifiedBy>Mahmoud Hassan</cp:lastModifiedBy>
  <cp:revision>3</cp:revision>
  <cp:lastPrinted>2019-01-25T13:46:00Z</cp:lastPrinted>
  <dcterms:created xsi:type="dcterms:W3CDTF">2019-01-25T13:45:00Z</dcterms:created>
  <dcterms:modified xsi:type="dcterms:W3CDTF">2019-01-25T13:46:00Z</dcterms:modified>
</cp:coreProperties>
</file>