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27958A" w14:textId="3381AE23" w:rsidR="00B04A09" w:rsidRDefault="00B04A09" w:rsidP="00B04A09">
      <w:pPr>
        <w:jc w:val="right"/>
        <w:rPr>
          <w:rFonts w:ascii="Roboto" w:eastAsia="Roboto" w:hAnsi="Roboto" w:cs="Roboto"/>
          <w:i/>
          <w:iCs/>
          <w:lang w:val="en-US"/>
        </w:rPr>
      </w:pPr>
      <w:r>
        <w:rPr>
          <w:rFonts w:ascii="Roboto" w:eastAsia="Roboto" w:hAnsi="Roboto" w:cs="Roboto"/>
          <w:i/>
          <w:iCs/>
          <w:lang w:val="en-US"/>
        </w:rPr>
        <w:t>Version 1 – 12 January 2022</w:t>
      </w:r>
    </w:p>
    <w:p w14:paraId="1BD9FC52" w14:textId="77777777" w:rsidR="00B04A09" w:rsidRDefault="00B04A09" w:rsidP="224B00DD">
      <w:pPr>
        <w:jc w:val="center"/>
        <w:rPr>
          <w:rFonts w:ascii="Roboto" w:eastAsia="Roboto" w:hAnsi="Roboto" w:cs="Roboto"/>
          <w:b/>
          <w:bCs/>
          <w:i/>
          <w:iCs/>
          <w:lang w:val="en-US"/>
        </w:rPr>
      </w:pPr>
    </w:p>
    <w:p w14:paraId="7B75A128" w14:textId="77777777" w:rsidR="00B04A09" w:rsidRDefault="00B04A09" w:rsidP="224B00DD">
      <w:pPr>
        <w:jc w:val="center"/>
        <w:rPr>
          <w:rFonts w:ascii="Roboto" w:eastAsia="Roboto" w:hAnsi="Roboto" w:cs="Roboto"/>
          <w:b/>
          <w:bCs/>
          <w:i/>
          <w:iCs/>
          <w:lang w:val="en-US"/>
        </w:rPr>
      </w:pPr>
    </w:p>
    <w:p w14:paraId="6F8FAA0B" w14:textId="152AA199" w:rsidR="00A0134D" w:rsidRDefault="00A0134D" w:rsidP="224B00DD">
      <w:pPr>
        <w:jc w:val="center"/>
        <w:rPr>
          <w:rFonts w:ascii="Roboto" w:eastAsia="Roboto" w:hAnsi="Roboto" w:cs="Roboto"/>
          <w:b/>
          <w:bCs/>
          <w:i/>
          <w:iCs/>
          <w:lang w:val="en-US"/>
        </w:rPr>
      </w:pPr>
      <w:r w:rsidRPr="224B00DD">
        <w:rPr>
          <w:rFonts w:ascii="Roboto" w:eastAsia="Roboto" w:hAnsi="Roboto" w:cs="Roboto"/>
          <w:b/>
          <w:bCs/>
          <w:i/>
          <w:iCs/>
          <w:lang w:val="en-US"/>
        </w:rPr>
        <w:t xml:space="preserve">TECHNICAL </w:t>
      </w:r>
      <w:r w:rsidR="00D4159A">
        <w:rPr>
          <w:rFonts w:ascii="Roboto" w:eastAsia="Roboto" w:hAnsi="Roboto" w:cs="Roboto"/>
          <w:b/>
          <w:bCs/>
          <w:i/>
          <w:iCs/>
          <w:lang w:val="en-US"/>
        </w:rPr>
        <w:t>NOTE</w:t>
      </w:r>
      <w:r w:rsidRPr="224B00DD">
        <w:rPr>
          <w:rFonts w:ascii="Roboto" w:eastAsia="Roboto" w:hAnsi="Roboto" w:cs="Roboto"/>
          <w:b/>
          <w:bCs/>
          <w:i/>
          <w:iCs/>
          <w:lang w:val="en-US"/>
        </w:rPr>
        <w:t xml:space="preserve"> BY THE SECRETARIAT </w:t>
      </w:r>
    </w:p>
    <w:p w14:paraId="3791B5EB" w14:textId="71EE698B" w:rsidR="00A0134D" w:rsidRDefault="00A0134D" w:rsidP="224B00DD">
      <w:pPr>
        <w:jc w:val="center"/>
        <w:rPr>
          <w:rFonts w:ascii="Roboto" w:eastAsia="Roboto" w:hAnsi="Roboto" w:cs="Roboto"/>
          <w:b/>
          <w:bCs/>
          <w:i/>
          <w:iCs/>
          <w:highlight w:val="yellow"/>
          <w:lang w:val="en-US"/>
        </w:rPr>
      </w:pPr>
      <w:r w:rsidRPr="224B00DD">
        <w:rPr>
          <w:rFonts w:ascii="Roboto" w:eastAsia="Roboto" w:hAnsi="Roboto" w:cs="Roboto"/>
          <w:b/>
          <w:bCs/>
          <w:i/>
          <w:iCs/>
          <w:lang w:val="en-US"/>
        </w:rPr>
        <w:t xml:space="preserve">DRAFT RESOLUTION ENTITLED </w:t>
      </w:r>
      <w:r w:rsidR="64FF0581" w:rsidRPr="224B00DD">
        <w:rPr>
          <w:rFonts w:ascii="Roboto" w:eastAsia="Roboto" w:hAnsi="Roboto" w:cs="Roboto"/>
          <w:b/>
          <w:bCs/>
          <w:i/>
          <w:iCs/>
          <w:lang w:val="en-US"/>
        </w:rPr>
        <w:t>MINERAL RESOURCE GOVERNANCE</w:t>
      </w:r>
    </w:p>
    <w:p w14:paraId="54B9246A" w14:textId="578199D7" w:rsidR="00A0134D" w:rsidRDefault="00A0134D" w:rsidP="00EA4CD6">
      <w:pPr>
        <w:jc w:val="center"/>
        <w:rPr>
          <w:rFonts w:ascii="Roboto" w:eastAsia="Roboto" w:hAnsi="Roboto" w:cs="Roboto"/>
          <w:b/>
          <w:bCs/>
          <w:i/>
          <w:iCs/>
          <w:lang w:val="en-US"/>
        </w:rPr>
      </w:pPr>
      <w:r w:rsidRPr="00EA4CD6">
        <w:rPr>
          <w:rFonts w:ascii="Roboto" w:eastAsia="Roboto" w:hAnsi="Roboto" w:cs="Roboto"/>
          <w:b/>
          <w:bCs/>
          <w:i/>
          <w:iCs/>
          <w:lang w:val="en-US"/>
        </w:rPr>
        <w:t xml:space="preserve">Submitted by </w:t>
      </w:r>
      <w:r w:rsidR="00576DB2" w:rsidRPr="00EA4CD6">
        <w:rPr>
          <w:rFonts w:ascii="Roboto" w:eastAsia="Roboto" w:hAnsi="Roboto" w:cs="Roboto"/>
          <w:b/>
          <w:bCs/>
          <w:i/>
          <w:iCs/>
          <w:lang w:val="en-US"/>
        </w:rPr>
        <w:t xml:space="preserve">Argentina, Ghana, Senegal, Switzerland, </w:t>
      </w:r>
      <w:r w:rsidR="00803FC5" w:rsidRPr="00EA4CD6">
        <w:rPr>
          <w:rFonts w:ascii="Roboto" w:eastAsia="Roboto" w:hAnsi="Roboto" w:cs="Roboto"/>
          <w:b/>
          <w:bCs/>
          <w:i/>
          <w:iCs/>
          <w:lang w:val="en-US"/>
        </w:rPr>
        <w:t xml:space="preserve">and </w:t>
      </w:r>
      <w:r w:rsidR="00576DB2" w:rsidRPr="00EA4CD6">
        <w:rPr>
          <w:rFonts w:ascii="Roboto" w:eastAsia="Roboto" w:hAnsi="Roboto" w:cs="Roboto"/>
          <w:b/>
          <w:bCs/>
          <w:i/>
          <w:iCs/>
          <w:lang w:val="en-US"/>
        </w:rPr>
        <w:t>Democratic Republic of the Congo</w:t>
      </w:r>
      <w:r w:rsidRPr="00EA4CD6">
        <w:rPr>
          <w:rFonts w:ascii="Roboto" w:eastAsia="Roboto" w:hAnsi="Roboto" w:cs="Roboto"/>
          <w:b/>
          <w:bCs/>
          <w:i/>
          <w:iCs/>
          <w:lang w:val="en-US"/>
        </w:rPr>
        <w:t xml:space="preserve"> on </w:t>
      </w:r>
      <w:r w:rsidR="00576DB2" w:rsidRPr="00EA4CD6">
        <w:rPr>
          <w:rFonts w:ascii="Roboto" w:eastAsia="Roboto" w:hAnsi="Roboto" w:cs="Roboto"/>
          <w:b/>
          <w:bCs/>
          <w:i/>
          <w:iCs/>
          <w:lang w:val="en-US"/>
        </w:rPr>
        <w:t>9th December 2021</w:t>
      </w:r>
    </w:p>
    <w:p w14:paraId="21F7C3B8" w14:textId="77777777" w:rsidR="00B04A09" w:rsidRPr="00EA4CD6" w:rsidRDefault="00B04A09" w:rsidP="00EA4CD6">
      <w:pPr>
        <w:jc w:val="center"/>
        <w:rPr>
          <w:rFonts w:ascii="Roboto" w:eastAsia="Roboto" w:hAnsi="Roboto" w:cs="Roboto"/>
          <w:b/>
          <w:bCs/>
          <w:i/>
          <w:iCs/>
          <w:lang w:val="en-US"/>
        </w:rPr>
      </w:pPr>
    </w:p>
    <w:p w14:paraId="27CFB9F2" w14:textId="684F70DF" w:rsidR="00F27F0A" w:rsidRPr="00D4159A" w:rsidRDefault="00C472F3" w:rsidP="00B04A09">
      <w:pPr>
        <w:pBdr>
          <w:top w:val="single" w:sz="4" w:space="1" w:color="auto"/>
          <w:left w:val="single" w:sz="4" w:space="4" w:color="auto"/>
          <w:bottom w:val="single" w:sz="4" w:space="1" w:color="auto"/>
          <w:right w:val="single" w:sz="4" w:space="4" w:color="auto"/>
        </w:pBdr>
        <w:jc w:val="both"/>
        <w:rPr>
          <w:rFonts w:eastAsia="Roboto" w:cstheme="minorHAnsi"/>
          <w:lang w:val="en-US"/>
        </w:rPr>
      </w:pPr>
      <w:r w:rsidRPr="00D4159A">
        <w:rPr>
          <w:rFonts w:eastAsia="Roboto" w:cstheme="minorHAnsi"/>
          <w:lang w:val="en-US"/>
        </w:rPr>
        <w:t xml:space="preserve">This technical note has been prepared by the </w:t>
      </w:r>
      <w:r w:rsidR="00A0134D" w:rsidRPr="00D4159A">
        <w:rPr>
          <w:rFonts w:eastAsia="Roboto" w:cstheme="minorHAnsi"/>
          <w:lang w:val="en-US"/>
        </w:rPr>
        <w:t>UNEP S</w:t>
      </w:r>
      <w:r w:rsidRPr="00D4159A">
        <w:rPr>
          <w:rFonts w:eastAsia="Roboto" w:cstheme="minorHAnsi"/>
          <w:lang w:val="en-US"/>
        </w:rPr>
        <w:t xml:space="preserve">ecretariat to facilitate consultations </w:t>
      </w:r>
      <w:r w:rsidR="00A0134D" w:rsidRPr="00D4159A">
        <w:rPr>
          <w:rFonts w:eastAsia="Roboto" w:cstheme="minorHAnsi"/>
          <w:lang w:val="en-US"/>
        </w:rPr>
        <w:t xml:space="preserve">among Member States </w:t>
      </w:r>
      <w:r w:rsidRPr="00D4159A">
        <w:rPr>
          <w:rFonts w:eastAsia="Roboto" w:cstheme="minorHAnsi"/>
          <w:lang w:val="en-US"/>
        </w:rPr>
        <w:t xml:space="preserve">within the Committee of Permanent Representatives </w:t>
      </w:r>
      <w:r w:rsidR="00A0134D" w:rsidRPr="00D4159A">
        <w:rPr>
          <w:rFonts w:eastAsia="Roboto" w:cstheme="minorHAnsi"/>
          <w:lang w:val="en-US"/>
        </w:rPr>
        <w:t xml:space="preserve">(CPR) </w:t>
      </w:r>
      <w:r w:rsidRPr="00D4159A">
        <w:rPr>
          <w:rFonts w:eastAsia="Roboto" w:cstheme="minorHAnsi"/>
          <w:lang w:val="en-US"/>
        </w:rPr>
        <w:t xml:space="preserve">on submitted draft resolutions for </w:t>
      </w:r>
      <w:r w:rsidR="00A0134D" w:rsidRPr="00D4159A">
        <w:rPr>
          <w:rFonts w:eastAsia="Roboto" w:cstheme="minorHAnsi"/>
          <w:lang w:val="en-US"/>
        </w:rPr>
        <w:t xml:space="preserve">the resumed session of UNEA-5, as requested in paragraph 31 the </w:t>
      </w:r>
      <w:hyperlink r:id="rId11" w:history="1">
        <w:r w:rsidR="00F27F0A" w:rsidRPr="00D4159A">
          <w:rPr>
            <w:rStyle w:val="Hyperlink"/>
            <w:rFonts w:eastAsia="Roboto" w:cstheme="minorHAnsi"/>
            <w:lang w:val="en-US"/>
          </w:rPr>
          <w:t>Chair´</w:t>
        </w:r>
        <w:r w:rsidRPr="00D4159A">
          <w:rPr>
            <w:rStyle w:val="Hyperlink"/>
            <w:rFonts w:eastAsia="Roboto" w:cstheme="minorHAnsi"/>
            <w:lang w:val="en-US"/>
          </w:rPr>
          <w:t>s Summary</w:t>
        </w:r>
        <w:r w:rsidR="00F27F0A" w:rsidRPr="00D4159A">
          <w:rPr>
            <w:rStyle w:val="Hyperlink"/>
            <w:rFonts w:eastAsia="Roboto" w:cstheme="minorHAnsi"/>
            <w:lang w:val="en-US"/>
          </w:rPr>
          <w:t xml:space="preserve"> </w:t>
        </w:r>
        <w:r w:rsidR="00A0134D" w:rsidRPr="00D4159A">
          <w:rPr>
            <w:rStyle w:val="Hyperlink"/>
            <w:rFonts w:eastAsia="Roboto" w:cstheme="minorHAnsi"/>
            <w:lang w:val="en-US"/>
          </w:rPr>
          <w:t>of the 8</w:t>
        </w:r>
        <w:r w:rsidR="00A0134D" w:rsidRPr="00D4159A">
          <w:rPr>
            <w:rStyle w:val="Hyperlink"/>
            <w:rFonts w:eastAsia="Roboto" w:cstheme="minorHAnsi"/>
            <w:vertAlign w:val="superscript"/>
            <w:lang w:val="en-US"/>
          </w:rPr>
          <w:t>th</w:t>
        </w:r>
        <w:r w:rsidR="00A0134D" w:rsidRPr="00D4159A">
          <w:rPr>
            <w:rStyle w:val="Hyperlink"/>
            <w:rFonts w:eastAsia="Roboto" w:cstheme="minorHAnsi"/>
            <w:lang w:val="en-US"/>
          </w:rPr>
          <w:t xml:space="preserve"> meeting of the annual subcommittee of the CPR</w:t>
        </w:r>
      </w:hyperlink>
      <w:r w:rsidR="00A0134D" w:rsidRPr="00D4159A">
        <w:rPr>
          <w:rFonts w:eastAsia="Roboto" w:cstheme="minorHAnsi"/>
          <w:lang w:val="en-US"/>
        </w:rPr>
        <w:t xml:space="preserve"> held </w:t>
      </w:r>
      <w:r w:rsidRPr="00D4159A">
        <w:rPr>
          <w:rFonts w:eastAsia="Roboto" w:cstheme="minorHAnsi"/>
          <w:lang w:val="en-US"/>
        </w:rPr>
        <w:t>25 - 29 October 2021</w:t>
      </w:r>
      <w:r w:rsidR="00A0134D" w:rsidRPr="00D4159A">
        <w:rPr>
          <w:rStyle w:val="FootnoteReference"/>
          <w:rFonts w:eastAsia="Roboto" w:cstheme="minorHAnsi"/>
          <w:lang w:val="en-US"/>
        </w:rPr>
        <w:footnoteReference w:id="2"/>
      </w:r>
      <w:r w:rsidR="00A0134D" w:rsidRPr="00D4159A">
        <w:rPr>
          <w:rFonts w:eastAsia="Roboto" w:cstheme="minorHAnsi"/>
          <w:lang w:val="en-US"/>
        </w:rPr>
        <w:t>.</w:t>
      </w:r>
      <w:r w:rsidR="00B04A09" w:rsidRPr="00D4159A">
        <w:rPr>
          <w:rFonts w:cstheme="minorHAnsi"/>
          <w:lang w:val="en-US"/>
        </w:rPr>
        <w:t xml:space="preserve"> </w:t>
      </w:r>
      <w:r w:rsidR="00B04A09" w:rsidRPr="00D4159A">
        <w:rPr>
          <w:rFonts w:eastAsia="Roboto" w:cstheme="minorHAnsi"/>
          <w:lang w:val="en-US"/>
        </w:rPr>
        <w:t xml:space="preserve">The note may be adjusted and updated, as needed and relevant, in view of additional information that may become available </w:t>
      </w:r>
      <w:proofErr w:type="gramStart"/>
      <w:r w:rsidR="00B04A09" w:rsidRPr="00D4159A">
        <w:rPr>
          <w:rFonts w:eastAsia="Roboto" w:cstheme="minorHAnsi"/>
          <w:lang w:val="en-US"/>
        </w:rPr>
        <w:t>in the course of</w:t>
      </w:r>
      <w:proofErr w:type="gramEnd"/>
      <w:r w:rsidR="00B04A09" w:rsidRPr="00D4159A">
        <w:rPr>
          <w:rFonts w:eastAsia="Roboto" w:cstheme="minorHAnsi"/>
          <w:lang w:val="en-US"/>
        </w:rPr>
        <w:t xml:space="preserve"> the upcoming consultations.</w:t>
      </w:r>
    </w:p>
    <w:p w14:paraId="7A16CB49" w14:textId="77777777" w:rsidR="00B04A09" w:rsidRPr="00D4159A" w:rsidRDefault="00B04A09" w:rsidP="224B00DD">
      <w:pPr>
        <w:spacing w:after="0" w:line="240" w:lineRule="auto"/>
        <w:rPr>
          <w:rFonts w:eastAsia="Roboto" w:cstheme="minorHAnsi"/>
          <w:i/>
          <w:iCs/>
          <w:color w:val="FF0000"/>
          <w:lang w:val="en-US"/>
        </w:rPr>
      </w:pPr>
    </w:p>
    <w:p w14:paraId="45B0B164" w14:textId="77777777" w:rsidR="004B0A53" w:rsidRPr="00D4159A" w:rsidRDefault="004B0A53" w:rsidP="224B00DD">
      <w:pPr>
        <w:spacing w:after="0" w:line="240" w:lineRule="auto"/>
        <w:rPr>
          <w:rFonts w:eastAsia="Roboto" w:cstheme="minorHAnsi"/>
          <w:i/>
          <w:iCs/>
          <w:color w:val="FF0000"/>
          <w:bdr w:val="nil"/>
          <w:lang w:val="en-US"/>
        </w:rPr>
      </w:pPr>
    </w:p>
    <w:p w14:paraId="708136B7" w14:textId="61E86023" w:rsidR="003B5965" w:rsidRPr="00D4159A" w:rsidRDefault="003B5965" w:rsidP="50B27798">
      <w:pPr>
        <w:rPr>
          <w:rFonts w:eastAsia="Roboto" w:cstheme="minorHAnsi"/>
          <w:i/>
          <w:iCs/>
          <w:lang w:val="en-GB"/>
        </w:rPr>
      </w:pPr>
      <w:r w:rsidRPr="00D4159A">
        <w:rPr>
          <w:rFonts w:eastAsia="Roboto" w:cstheme="minorHAnsi"/>
          <w:i/>
          <w:iCs/>
          <w:lang w:val="en-GB"/>
        </w:rPr>
        <w:t>The</w:t>
      </w:r>
      <w:r w:rsidR="00D4159A">
        <w:rPr>
          <w:rFonts w:eastAsia="Roboto" w:cstheme="minorHAnsi"/>
          <w:i/>
          <w:iCs/>
          <w:lang w:val="en-GB"/>
        </w:rPr>
        <w:t xml:space="preserve"> </w:t>
      </w:r>
      <w:hyperlink r:id="rId12" w:history="1">
        <w:r w:rsidR="00D4159A" w:rsidRPr="00D4159A">
          <w:rPr>
            <w:rStyle w:val="Hyperlink"/>
            <w:rFonts w:eastAsia="Roboto" w:cstheme="minorHAnsi"/>
            <w:i/>
            <w:iCs/>
            <w:lang w:val="en-US"/>
          </w:rPr>
          <w:t>Draft resolution on mineral resource governance</w:t>
        </w:r>
      </w:hyperlink>
      <w:r w:rsidRPr="00D4159A">
        <w:rPr>
          <w:rFonts w:eastAsia="Roboto" w:cstheme="minorHAnsi"/>
          <w:i/>
          <w:iCs/>
          <w:lang w:val="en-GB"/>
        </w:rPr>
        <w:t xml:space="preserve"> </w:t>
      </w:r>
      <w:r w:rsidR="081CD370" w:rsidRPr="00D4159A">
        <w:rPr>
          <w:rFonts w:eastAsia="Roboto" w:cstheme="minorHAnsi"/>
          <w:i/>
          <w:iCs/>
          <w:lang w:val="en-GB"/>
        </w:rPr>
        <w:t xml:space="preserve">is a solid text that </w:t>
      </w:r>
      <w:r w:rsidRPr="00D4159A">
        <w:rPr>
          <w:rFonts w:eastAsia="Roboto" w:cstheme="minorHAnsi"/>
          <w:i/>
          <w:iCs/>
          <w:lang w:val="en-GB"/>
        </w:rPr>
        <w:t xml:space="preserve">aims to </w:t>
      </w:r>
      <w:r w:rsidR="007E03AB" w:rsidRPr="00D4159A">
        <w:rPr>
          <w:rFonts w:eastAsia="Roboto" w:cstheme="minorHAnsi"/>
          <w:i/>
          <w:iCs/>
          <w:lang w:val="en-GB"/>
        </w:rPr>
        <w:t xml:space="preserve">align mining practices and investments in mining </w:t>
      </w:r>
      <w:r w:rsidRPr="00D4159A">
        <w:rPr>
          <w:rFonts w:eastAsia="Roboto" w:cstheme="minorHAnsi"/>
          <w:i/>
          <w:iCs/>
          <w:lang w:val="en-GB"/>
        </w:rPr>
        <w:t xml:space="preserve">with the </w:t>
      </w:r>
      <w:r w:rsidR="00E57C79" w:rsidRPr="00D4159A">
        <w:rPr>
          <w:rFonts w:eastAsia="Roboto" w:cstheme="minorHAnsi"/>
          <w:i/>
          <w:iCs/>
          <w:lang w:val="en-GB"/>
        </w:rPr>
        <w:t>2030 Agenda for Sustainable Development</w:t>
      </w:r>
      <w:r w:rsidRPr="00D4159A">
        <w:rPr>
          <w:rFonts w:eastAsia="Roboto" w:cstheme="minorHAnsi"/>
          <w:i/>
          <w:iCs/>
          <w:lang w:val="en-GB"/>
        </w:rPr>
        <w:t>, the Paris Agreement</w:t>
      </w:r>
      <w:r w:rsidR="00855FC4" w:rsidRPr="00D4159A">
        <w:rPr>
          <w:rFonts w:eastAsia="Roboto" w:cstheme="minorHAnsi"/>
          <w:i/>
          <w:iCs/>
          <w:lang w:val="en-GB"/>
        </w:rPr>
        <w:t>,</w:t>
      </w:r>
      <w:r w:rsidRPr="00D4159A">
        <w:rPr>
          <w:rFonts w:eastAsia="Roboto" w:cstheme="minorHAnsi"/>
          <w:i/>
          <w:iCs/>
          <w:lang w:val="en-GB"/>
        </w:rPr>
        <w:t xml:space="preserve"> the Post-2020 Global Biodiversity Framework</w:t>
      </w:r>
      <w:r w:rsidR="00855FC4" w:rsidRPr="00D4159A">
        <w:rPr>
          <w:rFonts w:eastAsia="Roboto" w:cstheme="minorHAnsi"/>
          <w:i/>
          <w:iCs/>
          <w:lang w:val="en-GB"/>
        </w:rPr>
        <w:t>, the Minamata Convention and other relevant multilateral environmental agreements</w:t>
      </w:r>
      <w:r w:rsidRPr="00D4159A">
        <w:rPr>
          <w:rFonts w:eastAsia="Roboto" w:cstheme="minorHAnsi"/>
          <w:i/>
          <w:iCs/>
          <w:lang w:val="en-GB"/>
        </w:rPr>
        <w:t xml:space="preserve">. To that end, </w:t>
      </w:r>
      <w:r w:rsidR="002F6096" w:rsidRPr="00D4159A">
        <w:rPr>
          <w:rFonts w:eastAsia="Roboto" w:cstheme="minorHAnsi"/>
          <w:i/>
          <w:iCs/>
          <w:lang w:val="en-GB"/>
        </w:rPr>
        <w:t xml:space="preserve">like UNEA resolution 3/7 on marine litter and microplastics, </w:t>
      </w:r>
      <w:r w:rsidRPr="00D4159A">
        <w:rPr>
          <w:rFonts w:eastAsia="Roboto" w:cstheme="minorHAnsi"/>
          <w:i/>
          <w:iCs/>
          <w:lang w:val="en-GB"/>
        </w:rPr>
        <w:t xml:space="preserve">it proposes to establish an ad hoc open-ended working group (OEWG) tasked with developing recommendations to UNEA on how to </w:t>
      </w:r>
      <w:r w:rsidR="00341258" w:rsidRPr="00D4159A">
        <w:rPr>
          <w:rFonts w:eastAsia="Roboto" w:cstheme="minorHAnsi"/>
          <w:i/>
          <w:iCs/>
          <w:lang w:val="en-GB"/>
        </w:rPr>
        <w:t>enhance the coverage of environmental issues of existing initiatives and standards and on the need to develop new voluntary and legally binding instruments</w:t>
      </w:r>
      <w:r w:rsidR="00C91DD3" w:rsidRPr="00D4159A">
        <w:rPr>
          <w:rFonts w:eastAsia="Roboto" w:cstheme="minorHAnsi"/>
          <w:i/>
          <w:iCs/>
          <w:lang w:val="en-GB"/>
        </w:rPr>
        <w:t xml:space="preserve"> </w:t>
      </w:r>
      <w:r w:rsidR="006900F5" w:rsidRPr="00D4159A">
        <w:rPr>
          <w:rFonts w:eastAsia="Roboto" w:cstheme="minorHAnsi"/>
          <w:i/>
          <w:iCs/>
          <w:lang w:val="en-GB"/>
        </w:rPr>
        <w:t>for the sustainable management of mineral resources</w:t>
      </w:r>
      <w:r w:rsidR="00DB64BA" w:rsidRPr="00D4159A">
        <w:rPr>
          <w:rFonts w:eastAsia="Roboto" w:cstheme="minorHAnsi"/>
          <w:i/>
          <w:iCs/>
          <w:lang w:val="en-GB"/>
        </w:rPr>
        <w:t xml:space="preserve"> for 2030, primarily addressing extraction and the full life cycle of the mine.</w:t>
      </w:r>
      <w:r w:rsidR="00341258" w:rsidRPr="00D4159A">
        <w:rPr>
          <w:rFonts w:eastAsia="Roboto" w:cstheme="minorHAnsi"/>
          <w:i/>
          <w:iCs/>
          <w:lang w:val="en-GB"/>
        </w:rPr>
        <w:t xml:space="preserve"> </w:t>
      </w:r>
      <w:r w:rsidR="00DB64BA" w:rsidRPr="00D4159A">
        <w:rPr>
          <w:rFonts w:eastAsia="Roboto" w:cstheme="minorHAnsi"/>
          <w:i/>
          <w:iCs/>
          <w:lang w:val="en-GB"/>
        </w:rPr>
        <w:t>It also proposes to</w:t>
      </w:r>
      <w:r w:rsidR="00341258" w:rsidRPr="00D4159A">
        <w:rPr>
          <w:rFonts w:eastAsia="Roboto" w:cstheme="minorHAnsi"/>
          <w:i/>
          <w:iCs/>
          <w:lang w:val="en-GB"/>
        </w:rPr>
        <w:t xml:space="preserve"> examine the feasibility and effectiveness of these recommendations. </w:t>
      </w:r>
      <w:r w:rsidR="00DB64BA" w:rsidRPr="00D4159A">
        <w:rPr>
          <w:rFonts w:eastAsia="Roboto" w:cstheme="minorHAnsi"/>
          <w:i/>
          <w:iCs/>
          <w:lang w:val="en-GB"/>
        </w:rPr>
        <w:t xml:space="preserve">Additionally, </w:t>
      </w:r>
      <w:proofErr w:type="gramStart"/>
      <w:r w:rsidR="00DB64BA" w:rsidRPr="00D4159A">
        <w:rPr>
          <w:rFonts w:eastAsia="Roboto" w:cstheme="minorHAnsi"/>
          <w:i/>
          <w:iCs/>
          <w:lang w:val="en-GB"/>
        </w:rPr>
        <w:t>i</w:t>
      </w:r>
      <w:r w:rsidR="00341258" w:rsidRPr="00D4159A">
        <w:rPr>
          <w:rFonts w:eastAsia="Roboto" w:cstheme="minorHAnsi"/>
          <w:i/>
          <w:iCs/>
          <w:lang w:val="en-GB"/>
        </w:rPr>
        <w:t>t  requests</w:t>
      </w:r>
      <w:proofErr w:type="gramEnd"/>
      <w:r w:rsidR="00341258" w:rsidRPr="00D4159A">
        <w:rPr>
          <w:rFonts w:eastAsia="Roboto" w:cstheme="minorHAnsi"/>
          <w:i/>
          <w:iCs/>
          <w:lang w:val="en-GB"/>
        </w:rPr>
        <w:t xml:space="preserve"> to </w:t>
      </w:r>
      <w:r w:rsidR="00132656" w:rsidRPr="00D4159A">
        <w:rPr>
          <w:rFonts w:eastAsia="Roboto" w:cstheme="minorHAnsi"/>
          <w:i/>
          <w:iCs/>
          <w:lang w:val="en-GB"/>
        </w:rPr>
        <w:t xml:space="preserve">strengthen scientific, technical and policy knowledge with regard to sand and to </w:t>
      </w:r>
      <w:r w:rsidR="009544E6" w:rsidRPr="00D4159A">
        <w:rPr>
          <w:rFonts w:eastAsia="Roboto" w:cstheme="minorHAnsi"/>
          <w:i/>
          <w:iCs/>
          <w:lang w:val="en-GB"/>
        </w:rPr>
        <w:t>commission further research on tailings management.</w:t>
      </w:r>
      <w:r w:rsidR="000F3804" w:rsidRPr="00D4159A">
        <w:rPr>
          <w:rFonts w:eastAsia="Roboto" w:cstheme="minorHAnsi"/>
          <w:i/>
          <w:iCs/>
          <w:lang w:val="en-GB"/>
        </w:rPr>
        <w:t xml:space="preserve"> </w:t>
      </w:r>
    </w:p>
    <w:p w14:paraId="7DCAE655" w14:textId="77777777" w:rsidR="003B5965" w:rsidRPr="00D4159A" w:rsidRDefault="003B5965" w:rsidP="224B00DD">
      <w:pPr>
        <w:rPr>
          <w:rFonts w:eastAsia="Roboto" w:cstheme="minorHAnsi"/>
          <w:i/>
          <w:iCs/>
          <w:lang w:val="en-US"/>
        </w:rPr>
      </w:pPr>
    </w:p>
    <w:p w14:paraId="2CA549F9" w14:textId="77777777" w:rsidR="00B04A09" w:rsidRPr="00D4159A" w:rsidRDefault="000A5B92" w:rsidP="50B27798">
      <w:pPr>
        <w:pStyle w:val="ListParagraph"/>
        <w:numPr>
          <w:ilvl w:val="0"/>
          <w:numId w:val="2"/>
        </w:numPr>
        <w:rPr>
          <w:rFonts w:eastAsia="Roboto" w:cstheme="minorHAnsi"/>
          <w:lang w:val="en-US"/>
        </w:rPr>
      </w:pPr>
      <w:r w:rsidRPr="00D4159A">
        <w:rPr>
          <w:rFonts w:eastAsia="Roboto" w:cstheme="minorHAnsi"/>
          <w:b/>
          <w:bCs/>
          <w:i/>
          <w:iCs/>
          <w:lang w:val="en-US"/>
        </w:rPr>
        <w:t xml:space="preserve">Relation to UNEPs Medium Term Strategy and </w:t>
      </w:r>
      <w:proofErr w:type="spellStart"/>
      <w:r w:rsidRPr="00D4159A">
        <w:rPr>
          <w:rFonts w:eastAsia="Roboto" w:cstheme="minorHAnsi"/>
          <w:b/>
          <w:bCs/>
          <w:i/>
          <w:iCs/>
          <w:lang w:val="en-US"/>
        </w:rPr>
        <w:t>Programme</w:t>
      </w:r>
      <w:proofErr w:type="spellEnd"/>
      <w:r w:rsidRPr="00D4159A">
        <w:rPr>
          <w:rFonts w:eastAsia="Roboto" w:cstheme="minorHAnsi"/>
          <w:b/>
          <w:bCs/>
          <w:i/>
          <w:iCs/>
          <w:lang w:val="en-US"/>
        </w:rPr>
        <w:t xml:space="preserve"> of Work</w:t>
      </w:r>
      <w:r w:rsidR="00070EF8" w:rsidRPr="00D4159A">
        <w:rPr>
          <w:rFonts w:eastAsia="Roboto" w:cstheme="minorHAnsi"/>
          <w:b/>
          <w:bCs/>
          <w:i/>
          <w:iCs/>
          <w:lang w:val="en-US"/>
        </w:rPr>
        <w:t xml:space="preserve">: </w:t>
      </w:r>
    </w:p>
    <w:p w14:paraId="47FD920D" w14:textId="56A5AB31" w:rsidR="25622985" w:rsidRPr="00D4159A" w:rsidRDefault="25622985" w:rsidP="00B04A09">
      <w:pPr>
        <w:rPr>
          <w:rFonts w:eastAsia="Roboto" w:cstheme="minorHAnsi"/>
          <w:lang w:val="en-US"/>
        </w:rPr>
      </w:pPr>
      <w:r w:rsidRPr="00D4159A">
        <w:rPr>
          <w:rFonts w:eastAsia="Roboto" w:cstheme="minorHAnsi"/>
          <w:lang w:val="en-GB"/>
        </w:rPr>
        <w:t xml:space="preserve">The content of the draft resolution cuts across majority of UNEP’s subprogrammes and priorities in the Medium-Term Strategy (MTS) 2022-2025. For instance, it focuses on the role of minerals in achieving commitments under SDG 7 on ensuring </w:t>
      </w:r>
      <w:r w:rsidRPr="00D4159A">
        <w:rPr>
          <w:rFonts w:eastAsia="Roboto" w:cstheme="minorHAnsi"/>
          <w:lang w:val="en-US"/>
        </w:rPr>
        <w:t xml:space="preserve">access to affordable, reliable, sustainable and modern energy for all and </w:t>
      </w:r>
      <w:r w:rsidRPr="00D4159A">
        <w:rPr>
          <w:rFonts w:eastAsia="Roboto" w:cstheme="minorHAnsi"/>
          <w:lang w:val="en-GB"/>
        </w:rPr>
        <w:t xml:space="preserve">SDG 12 on sustainable consumption and production, and its targets, which is relevant to contributing to outcomes under the climate action as outlined in the MTS (see </w:t>
      </w:r>
      <w:hyperlink r:id="rId13">
        <w:r w:rsidRPr="00D4159A">
          <w:rPr>
            <w:rStyle w:val="Hyperlink"/>
            <w:rFonts w:eastAsia="Roboto" w:cstheme="minorHAnsi"/>
            <w:lang w:val="en-GB"/>
          </w:rPr>
          <w:t>climate action, p.16-19, MTS</w:t>
        </w:r>
      </w:hyperlink>
      <w:r w:rsidRPr="00D4159A">
        <w:rPr>
          <w:rFonts w:eastAsia="Roboto" w:cstheme="minorHAnsi"/>
          <w:lang w:val="en-GB"/>
        </w:rPr>
        <w:t xml:space="preserve">). The draft resolution refers to the strengthening of the environmental dimension of existing </w:t>
      </w:r>
      <w:r w:rsidRPr="00D4159A">
        <w:rPr>
          <w:rFonts w:eastAsia="Roboto" w:cstheme="minorHAnsi"/>
          <w:lang w:val="en-GB"/>
        </w:rPr>
        <w:lastRenderedPageBreak/>
        <w:t xml:space="preserve">governance initiatives as well as filling environmental governance gaps related to minerals. This relates directly to at least four of the actions under foundational sub-programme, environmental governance (see </w:t>
      </w:r>
      <w:hyperlink r:id="rId14">
        <w:r w:rsidRPr="00D4159A">
          <w:rPr>
            <w:rStyle w:val="Hyperlink"/>
            <w:rFonts w:eastAsia="Roboto" w:cstheme="minorHAnsi"/>
            <w:lang w:val="en-GB"/>
          </w:rPr>
          <w:t>environmental governance, p.30-31, MTS</w:t>
        </w:r>
      </w:hyperlink>
      <w:r w:rsidRPr="00D4159A">
        <w:rPr>
          <w:rFonts w:eastAsia="Roboto" w:cstheme="minorHAnsi"/>
          <w:lang w:val="en-GB"/>
        </w:rPr>
        <w:t>) as well as the actions and interventions under the finance and economic transformations sub-programme (for instance the action “Supporting business models and policies for accelerating sustainable consumption and production, including through resource-efficient and circular approaches”</w:t>
      </w:r>
      <w:r w:rsidR="00F00957" w:rsidRPr="00D4159A">
        <w:rPr>
          <w:rFonts w:eastAsia="Roboto" w:cstheme="minorHAnsi"/>
          <w:lang w:val="en-GB"/>
        </w:rPr>
        <w:t>,</w:t>
      </w:r>
      <w:r w:rsidR="00A510EA" w:rsidRPr="00D4159A">
        <w:rPr>
          <w:rFonts w:eastAsia="Roboto" w:cstheme="minorHAnsi"/>
          <w:lang w:val="en-GB"/>
        </w:rPr>
        <w:t xml:space="preserve"> see </w:t>
      </w:r>
      <w:hyperlink r:id="rId15" w:history="1">
        <w:r w:rsidR="00D62108" w:rsidRPr="00D4159A">
          <w:rPr>
            <w:rStyle w:val="Hyperlink"/>
            <w:rFonts w:eastAsia="Roboto" w:cstheme="minorHAnsi"/>
            <w:lang w:val="en-GB"/>
          </w:rPr>
          <w:t>financial and economic transformations, p.33, MTS</w:t>
        </w:r>
      </w:hyperlink>
      <w:r w:rsidRPr="00D4159A">
        <w:rPr>
          <w:rFonts w:eastAsia="Roboto" w:cstheme="minorHAnsi"/>
          <w:lang w:val="en-GB"/>
        </w:rPr>
        <w:t>).</w:t>
      </w:r>
    </w:p>
    <w:p w14:paraId="74EAA314" w14:textId="621514EF" w:rsidR="15DEC720" w:rsidRPr="00D4159A" w:rsidRDefault="15DEC720" w:rsidP="224B00DD">
      <w:pPr>
        <w:rPr>
          <w:rFonts w:eastAsia="Roboto" w:cstheme="minorHAnsi"/>
          <w:lang w:val="en-GB"/>
        </w:rPr>
      </w:pPr>
      <w:r w:rsidRPr="00D4159A">
        <w:rPr>
          <w:rFonts w:eastAsia="Roboto" w:cstheme="minorHAnsi"/>
          <w:lang w:val="en-GB"/>
        </w:rPr>
        <w:t xml:space="preserve">The draft resolution identifies its starting point, building on UNEA resolution 4/19; outlines the key priorities emerging from countries during the implementation of that resolution; and concretely proposes the next step in this area of work – the establishment of </w:t>
      </w:r>
      <w:r w:rsidR="79F604EA" w:rsidRPr="00D4159A">
        <w:rPr>
          <w:rFonts w:eastAsia="Roboto" w:cstheme="minorHAnsi"/>
          <w:lang w:val="en-GB"/>
        </w:rPr>
        <w:t xml:space="preserve">OEWG </w:t>
      </w:r>
      <w:r w:rsidRPr="00D4159A">
        <w:rPr>
          <w:rFonts w:eastAsia="Roboto" w:cstheme="minorHAnsi"/>
          <w:lang w:val="en-GB"/>
        </w:rPr>
        <w:t>to take these priorities forward.</w:t>
      </w:r>
      <w:r w:rsidR="2A28D65B" w:rsidRPr="00D4159A">
        <w:rPr>
          <w:rFonts w:eastAsia="Roboto" w:cstheme="minorHAnsi"/>
          <w:lang w:val="en-GB"/>
        </w:rPr>
        <w:t xml:space="preserve"> The draft resolution requests UNEP to serve as the administrative secretariat for </w:t>
      </w:r>
      <w:proofErr w:type="spellStart"/>
      <w:r w:rsidR="2A28D65B" w:rsidRPr="00D4159A">
        <w:rPr>
          <w:rFonts w:eastAsia="Roboto" w:cstheme="minorHAnsi"/>
          <w:lang w:val="en-GB"/>
        </w:rPr>
        <w:t>the</w:t>
      </w:r>
      <w:r w:rsidR="6E0A5113" w:rsidRPr="00D4159A">
        <w:rPr>
          <w:rFonts w:eastAsia="Roboto" w:cstheme="minorHAnsi"/>
          <w:lang w:val="en-GB"/>
        </w:rPr>
        <w:t>OEWG</w:t>
      </w:r>
      <w:proofErr w:type="spellEnd"/>
      <w:r w:rsidR="2A28D65B" w:rsidRPr="00D4159A">
        <w:rPr>
          <w:rFonts w:eastAsia="Roboto" w:cstheme="minorHAnsi"/>
          <w:lang w:val="en-GB"/>
        </w:rPr>
        <w:t xml:space="preserve"> and sets out a preliminary mandate </w:t>
      </w:r>
      <w:r w:rsidR="542E8D5D" w:rsidRPr="00D4159A">
        <w:rPr>
          <w:rFonts w:eastAsia="Roboto" w:cstheme="minorHAnsi"/>
          <w:lang w:val="en-GB"/>
        </w:rPr>
        <w:t xml:space="preserve">and initial programme of work </w:t>
      </w:r>
      <w:r w:rsidR="2A28D65B" w:rsidRPr="00D4159A">
        <w:rPr>
          <w:rFonts w:eastAsia="Roboto" w:cstheme="minorHAnsi"/>
          <w:lang w:val="en-GB"/>
        </w:rPr>
        <w:t xml:space="preserve">for </w:t>
      </w:r>
      <w:r w:rsidR="2AE04BDF" w:rsidRPr="00D4159A">
        <w:rPr>
          <w:rFonts w:eastAsia="Roboto" w:cstheme="minorHAnsi"/>
          <w:lang w:val="en-GB"/>
        </w:rPr>
        <w:t>the OEWG</w:t>
      </w:r>
      <w:r w:rsidR="1850B417" w:rsidRPr="00D4159A">
        <w:rPr>
          <w:rFonts w:eastAsia="Roboto" w:cstheme="minorHAnsi"/>
          <w:lang w:val="en-GB"/>
        </w:rPr>
        <w:t>.</w:t>
      </w:r>
      <w:r w:rsidR="6B509718" w:rsidRPr="00D4159A">
        <w:rPr>
          <w:rFonts w:eastAsia="Roboto" w:cstheme="minorHAnsi"/>
          <w:lang w:val="en-GB"/>
        </w:rPr>
        <w:t xml:space="preserve"> </w:t>
      </w:r>
      <w:r w:rsidR="00F00957" w:rsidRPr="00D4159A">
        <w:rPr>
          <w:rFonts w:eastAsia="Roboto" w:cstheme="minorHAnsi"/>
          <w:lang w:val="en-GB"/>
        </w:rPr>
        <w:t>P</w:t>
      </w:r>
      <w:r w:rsidR="6B509718" w:rsidRPr="00D4159A">
        <w:rPr>
          <w:rFonts w:eastAsia="Roboto" w:cstheme="minorHAnsi"/>
          <w:lang w:val="en-GB"/>
        </w:rPr>
        <w:t xml:space="preserve">aragraph 2(c) of the draft </w:t>
      </w:r>
      <w:r w:rsidR="00F00957" w:rsidRPr="00D4159A">
        <w:rPr>
          <w:rFonts w:eastAsia="Roboto" w:cstheme="minorHAnsi"/>
          <w:lang w:val="en-GB"/>
        </w:rPr>
        <w:t xml:space="preserve">resolution may </w:t>
      </w:r>
      <w:r w:rsidR="6B509718" w:rsidRPr="00D4159A">
        <w:rPr>
          <w:rFonts w:eastAsia="Roboto" w:cstheme="minorHAnsi"/>
          <w:lang w:val="en-GB"/>
        </w:rPr>
        <w:t>be revised to explicitly include “</w:t>
      </w:r>
      <w:r w:rsidR="68A89A95" w:rsidRPr="00D4159A">
        <w:rPr>
          <w:rFonts w:eastAsia="Roboto" w:cstheme="minorHAnsi"/>
          <w:lang w:val="en-GB"/>
        </w:rPr>
        <w:t xml:space="preserve">members of Specialized Agencies” as well as representation from “regional” environmental agreements. This will ensure that Observer States, the European </w:t>
      </w:r>
      <w:proofErr w:type="gramStart"/>
      <w:r w:rsidR="68A89A95" w:rsidRPr="00D4159A">
        <w:rPr>
          <w:rFonts w:eastAsia="Roboto" w:cstheme="minorHAnsi"/>
          <w:lang w:val="en-GB"/>
        </w:rPr>
        <w:t>Union</w:t>
      </w:r>
      <w:proofErr w:type="gramEnd"/>
      <w:r w:rsidR="68A89A95" w:rsidRPr="00D4159A">
        <w:rPr>
          <w:rFonts w:eastAsia="Roboto" w:cstheme="minorHAnsi"/>
          <w:lang w:val="en-GB"/>
        </w:rPr>
        <w:t xml:space="preserve"> and representatives from </w:t>
      </w:r>
      <w:r w:rsidR="746D6319" w:rsidRPr="00D4159A">
        <w:rPr>
          <w:rFonts w:eastAsia="Roboto" w:cstheme="minorHAnsi"/>
          <w:lang w:val="en-GB"/>
        </w:rPr>
        <w:t xml:space="preserve">regional conventions can participate. </w:t>
      </w:r>
    </w:p>
    <w:p w14:paraId="236FD2AE" w14:textId="77777777" w:rsidR="00BF23DA" w:rsidRPr="00D4159A" w:rsidRDefault="00BF23DA" w:rsidP="224B00DD">
      <w:pPr>
        <w:pStyle w:val="ListParagraph"/>
        <w:ind w:left="1080"/>
        <w:rPr>
          <w:rFonts w:eastAsia="Roboto" w:cstheme="minorHAnsi"/>
          <w:b/>
          <w:bCs/>
          <w:i/>
          <w:iCs/>
          <w:lang w:val="en-US"/>
        </w:rPr>
      </w:pPr>
    </w:p>
    <w:p w14:paraId="30DAE9A4" w14:textId="77777777" w:rsidR="00B04A09" w:rsidRPr="00D4159A" w:rsidRDefault="000A5B92" w:rsidP="224B00DD">
      <w:pPr>
        <w:pStyle w:val="ListParagraph"/>
        <w:numPr>
          <w:ilvl w:val="0"/>
          <w:numId w:val="2"/>
        </w:numPr>
        <w:spacing w:line="257" w:lineRule="auto"/>
        <w:rPr>
          <w:rFonts w:eastAsia="Roboto" w:cstheme="minorHAnsi"/>
          <w:lang w:val="en-GB"/>
        </w:rPr>
      </w:pPr>
      <w:r w:rsidRPr="00D4159A">
        <w:rPr>
          <w:rFonts w:eastAsia="Roboto" w:cstheme="minorHAnsi"/>
          <w:b/>
          <w:bCs/>
          <w:i/>
          <w:iCs/>
          <w:lang w:val="en-US"/>
        </w:rPr>
        <w:t>Legal aspects</w:t>
      </w:r>
      <w:r w:rsidR="00070EF8" w:rsidRPr="00D4159A">
        <w:rPr>
          <w:rFonts w:eastAsia="Roboto" w:cstheme="minorHAnsi"/>
          <w:b/>
          <w:bCs/>
          <w:i/>
          <w:iCs/>
          <w:lang w:val="en-US"/>
        </w:rPr>
        <w:t xml:space="preserve">: </w:t>
      </w:r>
    </w:p>
    <w:p w14:paraId="11071034" w14:textId="05C9FC26" w:rsidR="753139B8" w:rsidRPr="00D4159A" w:rsidRDefault="753139B8" w:rsidP="00B04A09">
      <w:pPr>
        <w:spacing w:line="257" w:lineRule="auto"/>
        <w:rPr>
          <w:rFonts w:eastAsia="Roboto" w:cstheme="minorHAnsi"/>
          <w:lang w:val="en-GB"/>
        </w:rPr>
      </w:pPr>
      <w:r w:rsidRPr="00D4159A">
        <w:rPr>
          <w:rFonts w:eastAsia="Roboto" w:cstheme="minorHAnsi"/>
          <w:lang w:val="en-GB"/>
        </w:rPr>
        <w:t xml:space="preserve">The development and exploitation of mineral resources has serious implications for the natural environment across the entire life of a mine. Despite this, there is no holistic governance framework that addresses the environmental implications of mineral resource use and exploitation. The resolution proposes to, concretely, take forward the key outcomes and findings of the implementation of </w:t>
      </w:r>
      <w:hyperlink r:id="rId16" w:history="1">
        <w:r w:rsidRPr="00D4159A">
          <w:rPr>
            <w:rStyle w:val="Hyperlink"/>
            <w:rFonts w:eastAsia="Roboto" w:cstheme="minorHAnsi"/>
            <w:lang w:val="en-GB"/>
          </w:rPr>
          <w:t>UNEA resolution 4/19</w:t>
        </w:r>
      </w:hyperlink>
      <w:r w:rsidRPr="00D4159A">
        <w:rPr>
          <w:rFonts w:eastAsia="Roboto" w:cstheme="minorHAnsi"/>
          <w:lang w:val="en-GB"/>
        </w:rPr>
        <w:t xml:space="preserve">. </w:t>
      </w:r>
      <w:r w:rsidR="4AAC9EA2" w:rsidRPr="00D4159A">
        <w:rPr>
          <w:rFonts w:eastAsia="Roboto" w:cstheme="minorHAnsi"/>
          <w:lang w:val="en-GB"/>
        </w:rPr>
        <w:t>The Progress Report of the Executive Director regarding the implementation of resolution 4/19 (UNEP.EA</w:t>
      </w:r>
      <w:r w:rsidR="5D5C2FAC" w:rsidRPr="00D4159A">
        <w:rPr>
          <w:rFonts w:eastAsia="Roboto" w:cstheme="minorHAnsi"/>
          <w:lang w:val="en-GB"/>
        </w:rPr>
        <w:t>5/14) provided recommendations and suggested actions, including the possibility to “establish an intergovernmental working group on the sustainable deve</w:t>
      </w:r>
      <w:r w:rsidR="0135EBB9" w:rsidRPr="00D4159A">
        <w:rPr>
          <w:rFonts w:eastAsia="Roboto" w:cstheme="minorHAnsi"/>
          <w:lang w:val="en-GB"/>
        </w:rPr>
        <w:t>lopment of minerals and metals to identify priorities for future action and advance specific themes” (paragraph 15(a)).</w:t>
      </w:r>
      <w:r w:rsidR="003E3FE9" w:rsidRPr="00D4159A">
        <w:rPr>
          <w:rFonts w:eastAsia="Roboto" w:cstheme="minorHAnsi"/>
          <w:lang w:val="en-GB"/>
        </w:rPr>
        <w:t>T</w:t>
      </w:r>
      <w:r w:rsidR="26763DD9" w:rsidRPr="00D4159A">
        <w:rPr>
          <w:rFonts w:eastAsia="Roboto" w:cstheme="minorHAnsi"/>
          <w:lang w:val="en-GB"/>
        </w:rPr>
        <w:t xml:space="preserve">he </w:t>
      </w:r>
      <w:r w:rsidR="61B623F8" w:rsidRPr="00D4159A">
        <w:rPr>
          <w:rFonts w:eastAsia="Roboto" w:cstheme="minorHAnsi"/>
          <w:lang w:val="en-GB"/>
        </w:rPr>
        <w:t xml:space="preserve">draft </w:t>
      </w:r>
      <w:r w:rsidR="26763DD9" w:rsidRPr="00D4159A">
        <w:rPr>
          <w:rFonts w:eastAsia="Roboto" w:cstheme="minorHAnsi"/>
          <w:lang w:val="en-GB"/>
        </w:rPr>
        <w:t xml:space="preserve">resolution </w:t>
      </w:r>
      <w:r w:rsidR="003E3FE9" w:rsidRPr="00D4159A">
        <w:rPr>
          <w:rFonts w:eastAsia="Roboto" w:cstheme="minorHAnsi"/>
          <w:lang w:val="en-GB"/>
        </w:rPr>
        <w:t xml:space="preserve">may </w:t>
      </w:r>
      <w:r w:rsidR="26763DD9" w:rsidRPr="00D4159A">
        <w:rPr>
          <w:rFonts w:eastAsia="Roboto" w:cstheme="minorHAnsi"/>
          <w:lang w:val="en-GB"/>
        </w:rPr>
        <w:t xml:space="preserve">request the UNEA President to appoint two co-facilitators for the proposed OEWG – one each from the Global North and </w:t>
      </w:r>
      <w:r w:rsidR="66EFED82" w:rsidRPr="00D4159A">
        <w:rPr>
          <w:rFonts w:eastAsia="Roboto" w:cstheme="minorHAnsi"/>
          <w:lang w:val="en-GB"/>
        </w:rPr>
        <w:t xml:space="preserve">the </w:t>
      </w:r>
      <w:r w:rsidR="6C581A64" w:rsidRPr="00D4159A">
        <w:rPr>
          <w:rFonts w:eastAsia="Roboto" w:cstheme="minorHAnsi"/>
          <w:lang w:val="en-GB"/>
        </w:rPr>
        <w:t xml:space="preserve">Global South. </w:t>
      </w:r>
    </w:p>
    <w:p w14:paraId="39F8CC1D" w14:textId="2B902B5A" w:rsidR="190AF5C5" w:rsidRPr="00D4159A" w:rsidRDefault="215061B6" w:rsidP="635EB7A8">
      <w:pPr>
        <w:spacing w:line="257" w:lineRule="auto"/>
        <w:rPr>
          <w:rFonts w:eastAsia="Roboto" w:cstheme="minorHAnsi"/>
          <w:lang w:val="en-GB"/>
        </w:rPr>
      </w:pPr>
      <w:r w:rsidRPr="00D4159A">
        <w:rPr>
          <w:rFonts w:eastAsia="Roboto" w:cstheme="minorHAnsi"/>
          <w:lang w:val="en-GB"/>
        </w:rPr>
        <w:t>Mineral resource governance is not covered by any one convention or MEA</w:t>
      </w:r>
      <w:r w:rsidR="52F24984" w:rsidRPr="00D4159A">
        <w:rPr>
          <w:rFonts w:eastAsia="Roboto" w:cstheme="minorHAnsi"/>
          <w:lang w:val="en-GB"/>
        </w:rPr>
        <w:t xml:space="preserve"> decision</w:t>
      </w:r>
      <w:r w:rsidRPr="00D4159A">
        <w:rPr>
          <w:rFonts w:eastAsia="Roboto" w:cstheme="minorHAnsi"/>
          <w:lang w:val="en-GB"/>
        </w:rPr>
        <w:t xml:space="preserve">. Despite the lack of comprehensive international law of mineral resources or extractive industries, still </w:t>
      </w:r>
      <w:r w:rsidR="50E55828" w:rsidRPr="00D4159A">
        <w:rPr>
          <w:rFonts w:eastAsia="Roboto" w:cstheme="minorHAnsi"/>
          <w:lang w:val="en-GB"/>
        </w:rPr>
        <w:t>some</w:t>
      </w:r>
      <w:r w:rsidRPr="00D4159A">
        <w:rPr>
          <w:rFonts w:eastAsia="Roboto" w:cstheme="minorHAnsi"/>
          <w:lang w:val="en-GB"/>
        </w:rPr>
        <w:t xml:space="preserve"> treaties or conventions have provisions regulating the industry</w:t>
      </w:r>
      <w:r w:rsidR="4BAB157B" w:rsidRPr="00D4159A">
        <w:rPr>
          <w:rFonts w:eastAsia="Roboto" w:cstheme="minorHAnsi"/>
          <w:lang w:val="en-GB"/>
        </w:rPr>
        <w:t xml:space="preserve"> and have taken decisions that have relevance to mineral resource governance</w:t>
      </w:r>
      <w:r w:rsidRPr="00D4159A">
        <w:rPr>
          <w:rFonts w:eastAsia="Roboto" w:cstheme="minorHAnsi"/>
          <w:lang w:val="en-GB"/>
        </w:rPr>
        <w:t xml:space="preserve">. </w:t>
      </w:r>
      <w:r w:rsidR="0E12B13E" w:rsidRPr="00D4159A">
        <w:rPr>
          <w:rFonts w:eastAsia="Roboto" w:cstheme="minorHAnsi"/>
          <w:lang w:val="en-GB"/>
        </w:rPr>
        <w:t>These</w:t>
      </w:r>
      <w:r w:rsidR="30EDEF34" w:rsidRPr="00D4159A">
        <w:rPr>
          <w:rFonts w:eastAsia="Roboto" w:cstheme="minorHAnsi"/>
          <w:lang w:val="en-GB"/>
        </w:rPr>
        <w:t xml:space="preserve"> include</w:t>
      </w:r>
      <w:r w:rsidR="64A7AF64" w:rsidRPr="00D4159A">
        <w:rPr>
          <w:rFonts w:eastAsia="Roboto" w:cstheme="minorHAnsi"/>
          <w:lang w:val="en-GB"/>
        </w:rPr>
        <w:t xml:space="preserve">, </w:t>
      </w:r>
      <w:r w:rsidR="64A7AF64" w:rsidRPr="00D4159A">
        <w:rPr>
          <w:rFonts w:eastAsia="Roboto" w:cstheme="minorHAnsi"/>
          <w:i/>
          <w:iCs/>
          <w:lang w:val="en-GB"/>
        </w:rPr>
        <w:t>inter alia</w:t>
      </w:r>
      <w:r w:rsidR="64A7AF64" w:rsidRPr="00D4159A">
        <w:rPr>
          <w:rFonts w:eastAsia="Roboto" w:cstheme="minorHAnsi"/>
          <w:lang w:val="en-GB"/>
        </w:rPr>
        <w:t>,</w:t>
      </w:r>
      <w:r w:rsidR="30EDEF34" w:rsidRPr="00D4159A">
        <w:rPr>
          <w:rFonts w:eastAsia="Roboto" w:cstheme="minorHAnsi"/>
          <w:lang w:val="en-GB"/>
        </w:rPr>
        <w:t xml:space="preserve"> </w:t>
      </w:r>
      <w:proofErr w:type="gramStart"/>
      <w:r w:rsidR="30EDEF34" w:rsidRPr="00D4159A">
        <w:rPr>
          <w:rFonts w:eastAsia="Roboto" w:cstheme="minorHAnsi"/>
          <w:lang w:val="en-GB"/>
        </w:rPr>
        <w:t xml:space="preserve">the </w:t>
      </w:r>
      <w:r w:rsidR="119E3772" w:rsidRPr="00D4159A">
        <w:rPr>
          <w:rFonts w:eastAsia="Roboto" w:cstheme="minorHAnsi"/>
          <w:lang w:val="en-GB"/>
        </w:rPr>
        <w:t xml:space="preserve"> </w:t>
      </w:r>
      <w:r w:rsidR="43FA21FD" w:rsidRPr="00D4159A">
        <w:rPr>
          <w:rFonts w:eastAsia="Roboto" w:cstheme="minorHAnsi"/>
          <w:lang w:val="en-GB"/>
        </w:rPr>
        <w:t>U</w:t>
      </w:r>
      <w:r w:rsidR="6275ABE9" w:rsidRPr="00D4159A">
        <w:rPr>
          <w:rFonts w:eastAsia="Roboto" w:cstheme="minorHAnsi"/>
          <w:lang w:val="en-GB"/>
        </w:rPr>
        <w:t>N</w:t>
      </w:r>
      <w:proofErr w:type="gramEnd"/>
      <w:r w:rsidR="43FA21FD" w:rsidRPr="00D4159A">
        <w:rPr>
          <w:rFonts w:eastAsia="Roboto" w:cstheme="minorHAnsi"/>
          <w:lang w:val="en-GB"/>
        </w:rPr>
        <w:t xml:space="preserve"> Convention on the Law of the Sea (UNCLOS, 1982), </w:t>
      </w:r>
      <w:r w:rsidR="6E3A746D" w:rsidRPr="00D4159A">
        <w:rPr>
          <w:rFonts w:eastAsia="Roboto" w:cstheme="minorHAnsi"/>
          <w:lang w:val="en-GB"/>
        </w:rPr>
        <w:t>the U</w:t>
      </w:r>
      <w:r w:rsidR="17974B96" w:rsidRPr="00D4159A">
        <w:rPr>
          <w:rFonts w:eastAsia="Roboto" w:cstheme="minorHAnsi"/>
          <w:lang w:val="en-GB"/>
        </w:rPr>
        <w:t>N</w:t>
      </w:r>
      <w:r w:rsidR="6E3A746D" w:rsidRPr="00D4159A">
        <w:rPr>
          <w:rFonts w:eastAsia="Roboto" w:cstheme="minorHAnsi"/>
          <w:lang w:val="en-GB"/>
        </w:rPr>
        <w:t xml:space="preserve"> Convention to Combat Desertification in Countries Experiencing Serious Drought and/or Desertification (UNCCD</w:t>
      </w:r>
      <w:r w:rsidR="03233951" w:rsidRPr="00D4159A">
        <w:rPr>
          <w:rFonts w:eastAsia="Roboto" w:cstheme="minorHAnsi"/>
          <w:lang w:val="en-GB"/>
        </w:rPr>
        <w:t>, 1994</w:t>
      </w:r>
      <w:r w:rsidR="6E3A746D" w:rsidRPr="00D4159A">
        <w:rPr>
          <w:rFonts w:eastAsia="Roboto" w:cstheme="minorHAnsi"/>
          <w:lang w:val="en-GB"/>
        </w:rPr>
        <w:t>),</w:t>
      </w:r>
      <w:r w:rsidR="6E357270" w:rsidRPr="00D4159A">
        <w:rPr>
          <w:rFonts w:eastAsia="Roboto" w:cstheme="minorHAnsi"/>
          <w:lang w:val="en-GB"/>
        </w:rPr>
        <w:t xml:space="preserve"> the </w:t>
      </w:r>
      <w:r w:rsidR="710075CD" w:rsidRPr="00D4159A">
        <w:rPr>
          <w:rFonts w:eastAsia="Roboto" w:cstheme="minorHAnsi"/>
          <w:lang w:val="en-GB"/>
        </w:rPr>
        <w:t xml:space="preserve">UN Convention on Biological Diversity (CBD, 1992), </w:t>
      </w:r>
      <w:r w:rsidR="35AB6659" w:rsidRPr="00D4159A">
        <w:rPr>
          <w:rFonts w:eastAsia="Roboto" w:cstheme="minorHAnsi"/>
          <w:lang w:val="en-GB"/>
        </w:rPr>
        <w:t xml:space="preserve">and </w:t>
      </w:r>
      <w:r w:rsidR="6E3A746D" w:rsidRPr="00D4159A">
        <w:rPr>
          <w:rFonts w:eastAsia="Roboto" w:cstheme="minorHAnsi"/>
          <w:lang w:val="en-GB"/>
        </w:rPr>
        <w:t>the U</w:t>
      </w:r>
      <w:r w:rsidR="64868EEB" w:rsidRPr="00D4159A">
        <w:rPr>
          <w:rFonts w:eastAsia="Roboto" w:cstheme="minorHAnsi"/>
          <w:lang w:val="en-GB"/>
        </w:rPr>
        <w:t>N Framework Convention on Climate Change (UNFCCC, 1994)</w:t>
      </w:r>
      <w:r w:rsidR="66CD1413" w:rsidRPr="00D4159A">
        <w:rPr>
          <w:rFonts w:eastAsia="Roboto" w:cstheme="minorHAnsi"/>
          <w:lang w:val="en-GB"/>
        </w:rPr>
        <w:t>. MEAs with a focus on mineral hazardous waste and recovery are directly relevant to mineral resource governance. For instance, the</w:t>
      </w:r>
      <w:r w:rsidR="64868EEB" w:rsidRPr="00D4159A">
        <w:rPr>
          <w:rFonts w:eastAsia="Roboto" w:cstheme="minorHAnsi"/>
          <w:lang w:val="en-GB"/>
        </w:rPr>
        <w:t xml:space="preserve"> </w:t>
      </w:r>
      <w:r w:rsidR="119E3772" w:rsidRPr="00D4159A">
        <w:rPr>
          <w:rFonts w:eastAsia="Roboto" w:cstheme="minorHAnsi"/>
          <w:lang w:val="en-GB"/>
        </w:rPr>
        <w:t xml:space="preserve">Basel Convention covers two </w:t>
      </w:r>
      <w:r w:rsidR="16EFCAC6" w:rsidRPr="00D4159A">
        <w:rPr>
          <w:rFonts w:eastAsia="Roboto" w:cstheme="minorHAnsi"/>
          <w:lang w:val="en-GB"/>
        </w:rPr>
        <w:t>relevant aspects</w:t>
      </w:r>
      <w:r w:rsidR="119E3772" w:rsidRPr="00D4159A">
        <w:rPr>
          <w:rFonts w:eastAsia="Roboto" w:cstheme="minorHAnsi"/>
          <w:lang w:val="en-GB"/>
        </w:rPr>
        <w:t>: circularity of the sector and the need for recycling. In this connection, the objective of the Basel Convention to promote environmentally sound recycling and material recovery is essential to the mineral resource sector.  It is also relevant to note that the sound management of mining wastes and tailings (waste from mining operations containing any annex I constituents) could be considered hazardous wastes under the Basel Convention). </w:t>
      </w:r>
      <w:r w:rsidR="665BD678" w:rsidRPr="00D4159A">
        <w:rPr>
          <w:rFonts w:eastAsia="Roboto" w:cstheme="minorHAnsi"/>
          <w:lang w:val="en-GB"/>
        </w:rPr>
        <w:t xml:space="preserve"> </w:t>
      </w:r>
      <w:r w:rsidR="680065C1" w:rsidRPr="00D4159A">
        <w:rPr>
          <w:rFonts w:eastAsia="Roboto" w:cstheme="minorHAnsi"/>
          <w:lang w:val="en-GB"/>
        </w:rPr>
        <w:t>The</w:t>
      </w:r>
      <w:r w:rsidR="665BD678" w:rsidRPr="00D4159A">
        <w:rPr>
          <w:rFonts w:eastAsia="Roboto" w:cstheme="minorHAnsi"/>
          <w:lang w:val="en-GB"/>
        </w:rPr>
        <w:t xml:space="preserve"> Minamata Convention on Mercury (2013) - which is the first MEA to </w:t>
      </w:r>
      <w:r w:rsidR="47D728EC" w:rsidRPr="00D4159A">
        <w:rPr>
          <w:rFonts w:eastAsia="Roboto" w:cstheme="minorHAnsi"/>
          <w:lang w:val="en-GB"/>
        </w:rPr>
        <w:t>explicitly</w:t>
      </w:r>
      <w:r w:rsidR="665BD678" w:rsidRPr="00D4159A">
        <w:rPr>
          <w:rFonts w:eastAsia="Roboto" w:cstheme="minorHAnsi"/>
          <w:lang w:val="en-GB"/>
        </w:rPr>
        <w:t xml:space="preserve"> address an informal sector of the economy </w:t>
      </w:r>
      <w:r w:rsidR="75C6DA8B" w:rsidRPr="00D4159A">
        <w:rPr>
          <w:rFonts w:eastAsia="Roboto" w:cstheme="minorHAnsi"/>
          <w:lang w:val="en-GB"/>
        </w:rPr>
        <w:t>and directly link environmental protection with human health in one document</w:t>
      </w:r>
      <w:r w:rsidR="1E0580B6" w:rsidRPr="00D4159A">
        <w:rPr>
          <w:rFonts w:eastAsia="Roboto" w:cstheme="minorHAnsi"/>
          <w:lang w:val="en-GB"/>
        </w:rPr>
        <w:t xml:space="preserve"> – is also directly relevant to mineral resource governance</w:t>
      </w:r>
      <w:r w:rsidR="68AF854D" w:rsidRPr="00D4159A">
        <w:rPr>
          <w:rFonts w:eastAsia="Roboto" w:cstheme="minorHAnsi"/>
          <w:lang w:val="en-GB"/>
        </w:rPr>
        <w:t xml:space="preserve">. The Minamata Convention is also referred to in the draft </w:t>
      </w:r>
      <w:r w:rsidR="68AF854D" w:rsidRPr="00D4159A">
        <w:rPr>
          <w:rFonts w:eastAsia="Roboto" w:cstheme="minorHAnsi"/>
          <w:lang w:val="en-GB"/>
        </w:rPr>
        <w:lastRenderedPageBreak/>
        <w:t>resolution in draft operative paragraph 1 which “Encourages Members States and relevant stakeholders active along the mineral supply chain, including the financial sector and international financial institutions, to align mining practices and investments in mining with […] the Minamata Convention</w:t>
      </w:r>
      <w:r w:rsidR="77B5E5EE" w:rsidRPr="00D4159A">
        <w:rPr>
          <w:rFonts w:eastAsia="Roboto" w:cstheme="minorHAnsi"/>
          <w:lang w:val="en-GB"/>
        </w:rPr>
        <w:t xml:space="preserve"> […].”</w:t>
      </w:r>
    </w:p>
    <w:p w14:paraId="3E398B7A" w14:textId="77B6DADD" w:rsidR="190AF5C5" w:rsidRPr="00D4159A" w:rsidRDefault="50DF08C2" w:rsidP="635EB7A8">
      <w:pPr>
        <w:spacing w:line="257" w:lineRule="auto"/>
        <w:rPr>
          <w:rFonts w:eastAsia="Roboto" w:cstheme="minorHAnsi"/>
          <w:lang w:val="en-GB"/>
        </w:rPr>
      </w:pPr>
      <w:r w:rsidRPr="00D4159A">
        <w:rPr>
          <w:rFonts w:eastAsia="Roboto" w:cstheme="minorHAnsi"/>
          <w:lang w:val="en-GB"/>
        </w:rPr>
        <w:t>A few</w:t>
      </w:r>
      <w:r w:rsidR="215061B6" w:rsidRPr="00D4159A">
        <w:rPr>
          <w:rFonts w:eastAsia="Roboto" w:cstheme="minorHAnsi"/>
          <w:lang w:val="en-GB"/>
        </w:rPr>
        <w:t xml:space="preserve"> specialised agencies have undertaken initiatives related to mineral resource governance. These include FAO, IMO, ILO, UNESCO, and UNIDO. </w:t>
      </w:r>
      <w:r w:rsidR="000A710B" w:rsidRPr="00D4159A">
        <w:rPr>
          <w:rFonts w:eastAsia="Roboto" w:cstheme="minorHAnsi"/>
          <w:lang w:val="en-GB"/>
        </w:rPr>
        <w:t>T</w:t>
      </w:r>
      <w:r w:rsidR="215061B6" w:rsidRPr="00D4159A">
        <w:rPr>
          <w:rFonts w:eastAsia="Roboto" w:cstheme="minorHAnsi"/>
          <w:lang w:val="en-GB"/>
        </w:rPr>
        <w:t>he World Bank’s efforts on the topic of mineral resources and extractives, including the guidelines developed by the International Finance Corporati</w:t>
      </w:r>
      <w:r w:rsidR="4A7DE3EF" w:rsidRPr="00D4159A">
        <w:rPr>
          <w:rFonts w:eastAsia="Roboto" w:cstheme="minorHAnsi"/>
          <w:lang w:val="en-GB"/>
        </w:rPr>
        <w:t>on</w:t>
      </w:r>
      <w:r w:rsidR="215061B6" w:rsidRPr="00D4159A">
        <w:rPr>
          <w:rFonts w:eastAsia="Roboto" w:cstheme="minorHAnsi"/>
          <w:lang w:val="en-GB"/>
        </w:rPr>
        <w:t xml:space="preserve">, are </w:t>
      </w:r>
      <w:r w:rsidR="000A710B" w:rsidRPr="00D4159A">
        <w:rPr>
          <w:rFonts w:eastAsia="Roboto" w:cstheme="minorHAnsi"/>
          <w:lang w:val="en-GB"/>
        </w:rPr>
        <w:t xml:space="preserve">also </w:t>
      </w:r>
      <w:r w:rsidR="215061B6" w:rsidRPr="00D4159A">
        <w:rPr>
          <w:rFonts w:eastAsia="Roboto" w:cstheme="minorHAnsi"/>
          <w:lang w:val="en-GB"/>
        </w:rPr>
        <w:t>notable</w:t>
      </w:r>
      <w:r w:rsidR="527B9D7B" w:rsidRPr="00D4159A">
        <w:rPr>
          <w:rFonts w:eastAsia="Roboto" w:cstheme="minorHAnsi"/>
          <w:lang w:val="en-GB"/>
        </w:rPr>
        <w:t>.  The OECD has developed </w:t>
      </w:r>
      <w:hyperlink r:id="rId17" w:history="1">
        <w:r w:rsidR="527B9D7B" w:rsidRPr="00D4159A">
          <w:rPr>
            <w:rStyle w:val="Hyperlink"/>
            <w:rFonts w:eastAsia="Segoe UI" w:cstheme="minorHAnsi"/>
            <w:lang w:val="en-GB"/>
          </w:rPr>
          <w:t>Guidelines for Multinational Enterprises</w:t>
        </w:r>
      </w:hyperlink>
      <w:r w:rsidR="527B9D7B" w:rsidRPr="00D4159A">
        <w:rPr>
          <w:rFonts w:eastAsia="Roboto" w:cstheme="minorHAnsi"/>
          <w:lang w:val="en-GB"/>
        </w:rPr>
        <w:t> and </w:t>
      </w:r>
      <w:hyperlink r:id="rId18" w:history="1">
        <w:r w:rsidR="527B9D7B" w:rsidRPr="00D4159A">
          <w:rPr>
            <w:rStyle w:val="Hyperlink"/>
            <w:rFonts w:eastAsia="Segoe UI" w:cstheme="minorHAnsi"/>
            <w:lang w:val="en-GB"/>
          </w:rPr>
          <w:t>Due Diligence Guidance for Responsible Supply Chains of Minerals from Conflict-Affected and High-Risk Areas</w:t>
        </w:r>
      </w:hyperlink>
      <w:r w:rsidR="527B9D7B" w:rsidRPr="00D4159A">
        <w:rPr>
          <w:rFonts w:eastAsia="Roboto" w:cstheme="minorHAnsi"/>
          <w:lang w:val="en-GB"/>
        </w:rPr>
        <w:t xml:space="preserve">, that are relevant for mineral governance.  </w:t>
      </w:r>
      <w:r w:rsidR="3CB08655" w:rsidRPr="00D4159A">
        <w:rPr>
          <w:rFonts w:eastAsia="Roboto" w:cstheme="minorHAnsi"/>
          <w:lang w:val="en-GB"/>
        </w:rPr>
        <w:t>Despite considerable international collaboration on mineral resource governance</w:t>
      </w:r>
      <w:r w:rsidR="215061B6" w:rsidRPr="00D4159A">
        <w:rPr>
          <w:rFonts w:eastAsia="Roboto" w:cstheme="minorHAnsi"/>
          <w:lang w:val="en-GB"/>
        </w:rPr>
        <w:t xml:space="preserve">, none of </w:t>
      </w:r>
      <w:r w:rsidR="340743ED" w:rsidRPr="00D4159A">
        <w:rPr>
          <w:rFonts w:eastAsia="Roboto" w:cstheme="minorHAnsi"/>
          <w:lang w:val="en-GB"/>
        </w:rPr>
        <w:t xml:space="preserve">the existing </w:t>
      </w:r>
      <w:r w:rsidR="215061B6" w:rsidRPr="00D4159A">
        <w:rPr>
          <w:rFonts w:eastAsia="Roboto" w:cstheme="minorHAnsi"/>
          <w:lang w:val="en-GB"/>
        </w:rPr>
        <w:t xml:space="preserve">initiatives of the specialised agencies focus on what is being proposed in the draft resolution </w:t>
      </w:r>
      <w:r w:rsidR="5A75E3B5" w:rsidRPr="00D4159A">
        <w:rPr>
          <w:rFonts w:eastAsia="Roboto" w:cstheme="minorHAnsi"/>
          <w:lang w:val="en-GB"/>
        </w:rPr>
        <w:t>i.e.,</w:t>
      </w:r>
      <w:r w:rsidR="215061B6" w:rsidRPr="00D4159A">
        <w:rPr>
          <w:rFonts w:eastAsia="Roboto" w:cstheme="minorHAnsi"/>
          <w:lang w:val="en-GB"/>
        </w:rPr>
        <w:t xml:space="preserve"> a universal approach to addressing environmental impacts linked to the extraction</w:t>
      </w:r>
      <w:r w:rsidR="00A47380" w:rsidRPr="00D4159A">
        <w:rPr>
          <w:rFonts w:eastAsia="Roboto" w:cstheme="minorHAnsi"/>
          <w:lang w:val="en-GB"/>
        </w:rPr>
        <w:t xml:space="preserve"> and the full life cycle of the mine</w:t>
      </w:r>
      <w:r w:rsidR="215061B6" w:rsidRPr="00D4159A">
        <w:rPr>
          <w:rFonts w:eastAsia="Roboto" w:cstheme="minorHAnsi"/>
          <w:lang w:val="en-GB"/>
        </w:rPr>
        <w:t>,</w:t>
      </w:r>
      <w:r w:rsidR="00A47380" w:rsidRPr="00D4159A">
        <w:rPr>
          <w:rFonts w:eastAsia="Roboto" w:cstheme="minorHAnsi"/>
          <w:lang w:val="en-GB"/>
        </w:rPr>
        <w:t xml:space="preserve"> </w:t>
      </w:r>
      <w:r w:rsidR="000F0F53" w:rsidRPr="00D4159A">
        <w:rPr>
          <w:rFonts w:eastAsia="Roboto" w:cstheme="minorHAnsi"/>
          <w:lang w:val="en-GB"/>
        </w:rPr>
        <w:t>including</w:t>
      </w:r>
      <w:r w:rsidR="215061B6" w:rsidRPr="00D4159A">
        <w:rPr>
          <w:rFonts w:eastAsia="Roboto" w:cstheme="minorHAnsi"/>
          <w:lang w:val="en-GB"/>
        </w:rPr>
        <w:t xml:space="preserve"> </w:t>
      </w:r>
      <w:proofErr w:type="gramStart"/>
      <w:r w:rsidR="215061B6" w:rsidRPr="00D4159A">
        <w:rPr>
          <w:rFonts w:eastAsia="Roboto" w:cstheme="minorHAnsi"/>
          <w:lang w:val="en-GB"/>
        </w:rPr>
        <w:t>processing</w:t>
      </w:r>
      <w:proofErr w:type="gramEnd"/>
      <w:r w:rsidR="215061B6" w:rsidRPr="00D4159A">
        <w:rPr>
          <w:rFonts w:eastAsia="Roboto" w:cstheme="minorHAnsi"/>
          <w:lang w:val="en-GB"/>
        </w:rPr>
        <w:t xml:space="preserve"> and refining of mineral resources. This does not exclude the possibility of partnering in some capacity with any of the specialised agencies to strengthen and advance the work proposed in the resolution.</w:t>
      </w:r>
      <w:r w:rsidR="77068127" w:rsidRPr="00D4159A">
        <w:rPr>
          <w:rFonts w:eastAsia="Roboto" w:cstheme="minorHAnsi"/>
          <w:lang w:val="en-GB"/>
        </w:rPr>
        <w:t xml:space="preserve"> </w:t>
      </w:r>
      <w:r w:rsidR="562E5C6D" w:rsidRPr="00D4159A">
        <w:rPr>
          <w:rFonts w:eastAsia="Roboto" w:cstheme="minorHAnsi"/>
          <w:lang w:val="en-GB"/>
        </w:rPr>
        <w:t>Finally, p</w:t>
      </w:r>
      <w:r w:rsidR="77068127" w:rsidRPr="00D4159A">
        <w:rPr>
          <w:rFonts w:eastAsia="Roboto" w:cstheme="minorHAnsi"/>
          <w:lang w:val="en-GB"/>
        </w:rPr>
        <w:t xml:space="preserve">aragraph 7 of the draft resolution relates to progress reporting to UNEA at its sixth or seventh session. </w:t>
      </w:r>
      <w:r w:rsidR="000F0F53" w:rsidRPr="00D4159A">
        <w:rPr>
          <w:rFonts w:eastAsia="Roboto" w:cstheme="minorHAnsi"/>
          <w:lang w:val="en-GB"/>
        </w:rPr>
        <w:t>T</w:t>
      </w:r>
      <w:r w:rsidR="77068127" w:rsidRPr="00D4159A">
        <w:rPr>
          <w:rFonts w:eastAsia="Roboto" w:cstheme="minorHAnsi"/>
          <w:lang w:val="en-GB"/>
        </w:rPr>
        <w:t xml:space="preserve">he draft </w:t>
      </w:r>
      <w:r w:rsidR="000F0F53" w:rsidRPr="00D4159A">
        <w:rPr>
          <w:rFonts w:eastAsia="Roboto" w:cstheme="minorHAnsi"/>
          <w:lang w:val="en-GB"/>
        </w:rPr>
        <w:t xml:space="preserve">may </w:t>
      </w:r>
      <w:r w:rsidR="77068127" w:rsidRPr="00D4159A">
        <w:rPr>
          <w:rFonts w:eastAsia="Roboto" w:cstheme="minorHAnsi"/>
          <w:lang w:val="en-GB"/>
        </w:rPr>
        <w:t>provid</w:t>
      </w:r>
      <w:r w:rsidR="7CE8E569" w:rsidRPr="00D4159A">
        <w:rPr>
          <w:rFonts w:eastAsia="Roboto" w:cstheme="minorHAnsi"/>
          <w:lang w:val="en-GB"/>
        </w:rPr>
        <w:t xml:space="preserve">e clarity on the outcomes of the proposed OEWG </w:t>
      </w:r>
      <w:r w:rsidR="52A892F9" w:rsidRPr="00D4159A">
        <w:rPr>
          <w:rFonts w:eastAsia="Roboto" w:cstheme="minorHAnsi"/>
          <w:lang w:val="en-GB"/>
        </w:rPr>
        <w:t>i</w:t>
      </w:r>
      <w:r w:rsidR="7CE8E569" w:rsidRPr="00D4159A">
        <w:rPr>
          <w:rFonts w:eastAsia="Roboto" w:cstheme="minorHAnsi"/>
          <w:lang w:val="en-GB"/>
        </w:rPr>
        <w:t>.e.</w:t>
      </w:r>
      <w:r w:rsidR="371A23A8" w:rsidRPr="00D4159A">
        <w:rPr>
          <w:rFonts w:eastAsia="Roboto" w:cstheme="minorHAnsi"/>
          <w:lang w:val="en-GB"/>
        </w:rPr>
        <w:t>,</w:t>
      </w:r>
      <w:r w:rsidR="7CE8E569" w:rsidRPr="00D4159A">
        <w:rPr>
          <w:rFonts w:eastAsia="Roboto" w:cstheme="minorHAnsi"/>
          <w:lang w:val="en-GB"/>
        </w:rPr>
        <w:t xml:space="preserve"> </w:t>
      </w:r>
      <w:r w:rsidR="3E440038" w:rsidRPr="00D4159A">
        <w:rPr>
          <w:rFonts w:eastAsia="Roboto" w:cstheme="minorHAnsi"/>
          <w:lang w:val="en-GB"/>
        </w:rPr>
        <w:t>whether</w:t>
      </w:r>
      <w:r w:rsidR="7CE8E569" w:rsidRPr="00D4159A">
        <w:rPr>
          <w:rFonts w:eastAsia="Roboto" w:cstheme="minorHAnsi"/>
          <w:lang w:val="en-GB"/>
        </w:rPr>
        <w:t xml:space="preserve"> this will take the form of de</w:t>
      </w:r>
      <w:r w:rsidR="4F329C50" w:rsidRPr="00D4159A">
        <w:rPr>
          <w:rFonts w:eastAsia="Roboto" w:cstheme="minorHAnsi"/>
          <w:lang w:val="en-GB"/>
        </w:rPr>
        <w:t>cision</w:t>
      </w:r>
      <w:r w:rsidR="3FB4050D" w:rsidRPr="00D4159A">
        <w:rPr>
          <w:rFonts w:eastAsia="Roboto" w:cstheme="minorHAnsi"/>
          <w:lang w:val="en-GB"/>
        </w:rPr>
        <w:t>(</w:t>
      </w:r>
      <w:r w:rsidR="4F329C50" w:rsidRPr="00D4159A">
        <w:rPr>
          <w:rFonts w:eastAsia="Roboto" w:cstheme="minorHAnsi"/>
          <w:lang w:val="en-GB"/>
        </w:rPr>
        <w:t>s</w:t>
      </w:r>
      <w:r w:rsidR="354E791B" w:rsidRPr="00D4159A">
        <w:rPr>
          <w:rFonts w:eastAsia="Roboto" w:cstheme="minorHAnsi"/>
          <w:lang w:val="en-GB"/>
        </w:rPr>
        <w:t>)</w:t>
      </w:r>
      <w:r w:rsidR="4F329C50" w:rsidRPr="00D4159A">
        <w:rPr>
          <w:rFonts w:eastAsia="Roboto" w:cstheme="minorHAnsi"/>
          <w:lang w:val="en-GB"/>
        </w:rPr>
        <w:t xml:space="preserve"> or a Chair’s Summary</w:t>
      </w:r>
      <w:r w:rsidR="2D34453F" w:rsidRPr="00D4159A">
        <w:rPr>
          <w:rFonts w:eastAsia="Roboto" w:cstheme="minorHAnsi"/>
          <w:lang w:val="en-GB"/>
        </w:rPr>
        <w:t xml:space="preserve"> etc.</w:t>
      </w:r>
    </w:p>
    <w:p w14:paraId="6AD1BE73" w14:textId="77777777" w:rsidR="000A36A9" w:rsidRPr="00D4159A" w:rsidRDefault="000A36A9" w:rsidP="50B27798">
      <w:pPr>
        <w:pStyle w:val="ListParagraph"/>
        <w:ind w:left="1080"/>
        <w:rPr>
          <w:rFonts w:eastAsia="Roboto" w:cstheme="minorHAnsi"/>
          <w:lang w:val="en-US"/>
        </w:rPr>
      </w:pPr>
    </w:p>
    <w:p w14:paraId="301C6129" w14:textId="77777777" w:rsidR="00B04A09" w:rsidRPr="00D4159A" w:rsidRDefault="000A5B92" w:rsidP="00FB330E">
      <w:pPr>
        <w:pStyle w:val="ListParagraph"/>
        <w:numPr>
          <w:ilvl w:val="0"/>
          <w:numId w:val="2"/>
        </w:numPr>
        <w:ind w:left="720"/>
        <w:jc w:val="both"/>
        <w:rPr>
          <w:rFonts w:eastAsia="Roboto" w:cstheme="minorHAnsi"/>
          <w:b/>
          <w:bCs/>
          <w:lang w:val="en-US"/>
        </w:rPr>
      </w:pPr>
      <w:r w:rsidRPr="00D4159A">
        <w:rPr>
          <w:rFonts w:eastAsia="Roboto" w:cstheme="minorHAnsi"/>
          <w:b/>
          <w:bCs/>
          <w:i/>
          <w:iCs/>
          <w:lang w:val="en-US"/>
        </w:rPr>
        <w:t xml:space="preserve">Budget implications: </w:t>
      </w:r>
    </w:p>
    <w:p w14:paraId="05C6C6E2" w14:textId="05628887" w:rsidR="000A5B92" w:rsidRPr="00D4159A" w:rsidRDefault="00FB330E" w:rsidP="00B04A09">
      <w:pPr>
        <w:jc w:val="both"/>
        <w:rPr>
          <w:rFonts w:eastAsia="Roboto" w:cstheme="minorHAnsi"/>
          <w:b/>
          <w:bCs/>
          <w:lang w:val="en-US"/>
        </w:rPr>
      </w:pPr>
      <w:r w:rsidRPr="00D4159A">
        <w:rPr>
          <w:rFonts w:eastAsia="Roboto" w:cstheme="minorHAnsi"/>
          <w:lang w:val="en-US"/>
        </w:rPr>
        <w:t>Taking into consideration the available existing resources, the overall extrabudgetary financial requirements for implementing this resolution during the Medium-Term Strategy (MTS) period of 2022-2025 is estimated to </w:t>
      </w:r>
      <w:r w:rsidRPr="00D4159A">
        <w:rPr>
          <w:rFonts w:eastAsia="Roboto" w:cstheme="minorHAnsi"/>
          <w:b/>
          <w:bCs/>
          <w:lang w:val="en-US"/>
        </w:rPr>
        <w:t>USD 2</w:t>
      </w:r>
      <w:r w:rsidR="004A3CA1" w:rsidRPr="00D4159A">
        <w:rPr>
          <w:rFonts w:eastAsia="Roboto" w:cstheme="minorHAnsi"/>
          <w:b/>
          <w:bCs/>
          <w:lang w:val="en-US"/>
        </w:rPr>
        <w:t xml:space="preserve"> </w:t>
      </w:r>
      <w:r w:rsidRPr="00D4159A">
        <w:rPr>
          <w:rFonts w:eastAsia="Roboto" w:cstheme="minorHAnsi"/>
          <w:b/>
          <w:bCs/>
          <w:lang w:val="en-US"/>
        </w:rPr>
        <w:t>M</w:t>
      </w:r>
      <w:r w:rsidR="004A3CA1" w:rsidRPr="00D4159A">
        <w:rPr>
          <w:rFonts w:eastAsia="Roboto" w:cstheme="minorHAnsi"/>
          <w:b/>
          <w:bCs/>
          <w:lang w:val="en-US"/>
        </w:rPr>
        <w:t>illion</w:t>
      </w:r>
      <w:r w:rsidRPr="00D4159A">
        <w:rPr>
          <w:rFonts w:eastAsia="Roboto" w:cstheme="minorHAnsi"/>
          <w:lang w:val="en-US"/>
        </w:rPr>
        <w:t>. This amount provides for USD 1M in staff positions and USD 1M in non-staff resources including activities covering travel, consultancies, operational costs, contractual services; etc. The table below provide the breakdown of estimated costs by budget group.</w:t>
      </w:r>
    </w:p>
    <w:p w14:paraId="3D7E9E6E" w14:textId="197F212B" w:rsidR="00DE0CDD" w:rsidRPr="00D4159A" w:rsidRDefault="000926F1" w:rsidP="000926F1">
      <w:pPr>
        <w:ind w:left="630"/>
        <w:rPr>
          <w:rFonts w:eastAsia="Roboto" w:cstheme="minorHAnsi"/>
          <w:b/>
          <w:bCs/>
          <w:lang w:val="en-US"/>
        </w:rPr>
      </w:pPr>
      <w:r w:rsidRPr="00D4159A">
        <w:rPr>
          <w:rFonts w:cstheme="minorHAnsi"/>
          <w:noProof/>
        </w:rPr>
        <w:drawing>
          <wp:inline distT="0" distB="0" distL="0" distR="0" wp14:anchorId="4ABFD2E3" wp14:editId="2BE54B32">
            <wp:extent cx="574357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43575" cy="800100"/>
                    </a:xfrm>
                    <a:prstGeom prst="rect">
                      <a:avLst/>
                    </a:prstGeom>
                  </pic:spPr>
                </pic:pic>
              </a:graphicData>
            </a:graphic>
          </wp:inline>
        </w:drawing>
      </w:r>
    </w:p>
    <w:p w14:paraId="3D283C79" w14:textId="4BA4BD3B" w:rsidR="00B04A09" w:rsidRPr="00D4159A" w:rsidRDefault="00B04A09" w:rsidP="000926F1">
      <w:pPr>
        <w:ind w:left="630"/>
        <w:rPr>
          <w:rFonts w:eastAsia="Roboto" w:cstheme="minorHAnsi"/>
          <w:b/>
          <w:bCs/>
          <w:lang w:val="en-US"/>
        </w:rPr>
      </w:pPr>
    </w:p>
    <w:p w14:paraId="09FC6105" w14:textId="3222B577" w:rsidR="00B04A09" w:rsidRPr="00D4159A" w:rsidRDefault="00B04A09" w:rsidP="000926F1">
      <w:pPr>
        <w:ind w:left="630"/>
        <w:rPr>
          <w:rFonts w:eastAsia="Roboto" w:cstheme="minorHAnsi"/>
          <w:b/>
          <w:bCs/>
          <w:i/>
          <w:iCs/>
          <w:lang w:val="en-US"/>
        </w:rPr>
      </w:pPr>
    </w:p>
    <w:p w14:paraId="789855FE" w14:textId="55738BBC" w:rsidR="00B04A09" w:rsidRPr="00D4159A" w:rsidRDefault="00B04A09" w:rsidP="00B04A09">
      <w:pPr>
        <w:rPr>
          <w:rFonts w:eastAsia="Roboto" w:cstheme="minorHAnsi"/>
          <w:b/>
          <w:bCs/>
          <w:i/>
          <w:iCs/>
          <w:lang w:val="en-US"/>
        </w:rPr>
      </w:pPr>
      <w:r w:rsidRPr="00D4159A">
        <w:rPr>
          <w:rFonts w:eastAsia="Roboto" w:cstheme="minorHAnsi"/>
          <w:b/>
          <w:bCs/>
          <w:i/>
          <w:iCs/>
          <w:lang w:val="en-US"/>
        </w:rPr>
        <w:t>Secretariat focal points for draft resolution on Mineral Resource Governance: Elisa Tonda (</w:t>
      </w:r>
      <w:hyperlink r:id="rId20" w:history="1">
        <w:r w:rsidRPr="00D4159A">
          <w:rPr>
            <w:rStyle w:val="Hyperlink"/>
            <w:rFonts w:eastAsia="Roboto" w:cstheme="minorHAnsi"/>
            <w:b/>
            <w:bCs/>
            <w:i/>
            <w:iCs/>
            <w:lang w:val="en-US"/>
          </w:rPr>
          <w:t>elisa.tonda@un.org</w:t>
        </w:r>
      </w:hyperlink>
      <w:r w:rsidRPr="00D4159A">
        <w:rPr>
          <w:rFonts w:eastAsia="Roboto" w:cstheme="minorHAnsi"/>
          <w:b/>
          <w:bCs/>
          <w:i/>
          <w:iCs/>
          <w:lang w:val="en-US"/>
        </w:rPr>
        <w:t xml:space="preserve">) and </w:t>
      </w:r>
      <w:r w:rsidR="00D4159A">
        <w:rPr>
          <w:rFonts w:eastAsia="Roboto" w:cstheme="minorHAnsi"/>
          <w:b/>
          <w:bCs/>
          <w:i/>
          <w:iCs/>
          <w:lang w:val="en-US"/>
        </w:rPr>
        <w:t>Angela Kariuki</w:t>
      </w:r>
      <w:r w:rsidRPr="00D4159A">
        <w:rPr>
          <w:rFonts w:eastAsia="Roboto" w:cstheme="minorHAnsi"/>
          <w:b/>
          <w:bCs/>
          <w:i/>
          <w:iCs/>
          <w:lang w:val="en-US"/>
        </w:rPr>
        <w:t xml:space="preserve"> (</w:t>
      </w:r>
      <w:hyperlink r:id="rId21" w:history="1">
        <w:r w:rsidR="00D4159A" w:rsidRPr="008E053C">
          <w:rPr>
            <w:rStyle w:val="Hyperlink"/>
            <w:rFonts w:eastAsia="Roboto" w:cstheme="minorHAnsi"/>
            <w:b/>
            <w:bCs/>
            <w:i/>
            <w:iCs/>
            <w:lang w:val="en-US"/>
          </w:rPr>
          <w:t>angela.karuiki@un.org</w:t>
        </w:r>
      </w:hyperlink>
      <w:r w:rsidRPr="00D4159A">
        <w:rPr>
          <w:rFonts w:eastAsia="Roboto" w:cstheme="minorHAnsi"/>
          <w:b/>
          <w:bCs/>
          <w:i/>
          <w:iCs/>
          <w:lang w:val="en-US"/>
        </w:rPr>
        <w:t xml:space="preserve">) </w:t>
      </w:r>
    </w:p>
    <w:p w14:paraId="5BC7DA5E" w14:textId="77777777" w:rsidR="00EB7AEB" w:rsidRPr="00D4159A" w:rsidRDefault="00EB7AEB" w:rsidP="50B27798">
      <w:pPr>
        <w:rPr>
          <w:rFonts w:eastAsia="Roboto" w:cstheme="minorHAnsi"/>
          <w:b/>
          <w:bCs/>
          <w:i/>
          <w:iCs/>
          <w:lang w:val="en-US"/>
        </w:rPr>
      </w:pPr>
    </w:p>
    <w:p w14:paraId="3C63EDE3" w14:textId="60A9F5F4" w:rsidR="003F0F05" w:rsidRPr="00D4159A" w:rsidRDefault="003F0F05" w:rsidP="50B27798">
      <w:pPr>
        <w:rPr>
          <w:rFonts w:eastAsia="Roboto" w:cstheme="minorHAnsi"/>
          <w:lang w:val="en-US"/>
        </w:rPr>
      </w:pPr>
    </w:p>
    <w:p w14:paraId="35A9B92F" w14:textId="29BB40E5" w:rsidR="003F0F05" w:rsidRPr="003F0F05" w:rsidRDefault="003F0F05" w:rsidP="50B27798">
      <w:pPr>
        <w:rPr>
          <w:rFonts w:ascii="Roboto" w:eastAsia="Roboto" w:hAnsi="Roboto" w:cs="Roboto"/>
          <w:lang w:val="en-US"/>
        </w:rPr>
      </w:pPr>
    </w:p>
    <w:sectPr w:rsidR="003F0F05" w:rsidRPr="003F0F05" w:rsidSect="004A3CA1">
      <w:pgSz w:w="12240" w:h="15840"/>
      <w:pgMar w:top="1417" w:right="990"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D2F8F0" w14:textId="77777777" w:rsidR="00DE75C9" w:rsidRDefault="00DE75C9" w:rsidP="00A0134D">
      <w:pPr>
        <w:spacing w:after="0" w:line="240" w:lineRule="auto"/>
      </w:pPr>
      <w:r>
        <w:separator/>
      </w:r>
    </w:p>
  </w:endnote>
  <w:endnote w:type="continuationSeparator" w:id="0">
    <w:p w14:paraId="1F589A09" w14:textId="77777777" w:rsidR="00DE75C9" w:rsidRDefault="00DE75C9" w:rsidP="00A0134D">
      <w:pPr>
        <w:spacing w:after="0" w:line="240" w:lineRule="auto"/>
      </w:pPr>
      <w:r>
        <w:continuationSeparator/>
      </w:r>
    </w:p>
  </w:endnote>
  <w:endnote w:type="continuationNotice" w:id="1">
    <w:p w14:paraId="73627F21" w14:textId="77777777" w:rsidR="00DE75C9" w:rsidRDefault="00DE75C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MT">
    <w:altName w:val="Arial"/>
    <w:panose1 w:val="00000000000000000000"/>
    <w:charset w:val="00"/>
    <w:family w:val="roman"/>
    <w:notTrueType/>
    <w:pitch w:val="default"/>
  </w:font>
  <w:font w:name="Roboto">
    <w:panose1 w:val="02000000000000000000"/>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D4A49" w14:textId="77777777" w:rsidR="00DE75C9" w:rsidRDefault="00DE75C9" w:rsidP="00A0134D">
      <w:pPr>
        <w:spacing w:after="0" w:line="240" w:lineRule="auto"/>
      </w:pPr>
      <w:r>
        <w:separator/>
      </w:r>
    </w:p>
  </w:footnote>
  <w:footnote w:type="continuationSeparator" w:id="0">
    <w:p w14:paraId="05548B46" w14:textId="77777777" w:rsidR="00DE75C9" w:rsidRDefault="00DE75C9" w:rsidP="00A0134D">
      <w:pPr>
        <w:spacing w:after="0" w:line="240" w:lineRule="auto"/>
      </w:pPr>
      <w:r>
        <w:continuationSeparator/>
      </w:r>
    </w:p>
  </w:footnote>
  <w:footnote w:type="continuationNotice" w:id="1">
    <w:p w14:paraId="3462B5F1" w14:textId="77777777" w:rsidR="00DE75C9" w:rsidRDefault="00DE75C9">
      <w:pPr>
        <w:spacing w:after="0" w:line="240" w:lineRule="auto"/>
      </w:pPr>
    </w:p>
  </w:footnote>
  <w:footnote w:id="2">
    <w:p w14:paraId="338A87FA" w14:textId="107FFC84" w:rsidR="00A0134D" w:rsidRPr="00A0134D" w:rsidRDefault="00A0134D">
      <w:pPr>
        <w:pStyle w:val="FootnoteText"/>
        <w:rPr>
          <w:lang w:val="en-US"/>
        </w:rPr>
      </w:pPr>
      <w:r>
        <w:rPr>
          <w:rStyle w:val="FootnoteReference"/>
        </w:rPr>
        <w:footnoteRef/>
      </w:r>
      <w:r w:rsidRPr="00A0291C">
        <w:rPr>
          <w:lang w:val="en-US"/>
        </w:rPr>
        <w:t xml:space="preserve"> </w:t>
      </w:r>
      <w:r w:rsidRPr="00A0291C">
        <w:rPr>
          <w:i/>
          <w:iCs/>
          <w:sz w:val="16"/>
          <w:szCs w:val="16"/>
          <w:lang w:val="en-US"/>
        </w:rPr>
        <w:t xml:space="preserve">“The Chair also suggested that the secretariat will support our upcoming consultations on the draft resolution by providing technical guidance in writing for each draft resolution, with a technical analysis on the following three aspects: i) Relation to UNEPs Medium Term Strategy and </w:t>
      </w:r>
      <w:proofErr w:type="spellStart"/>
      <w:r w:rsidRPr="00A0291C">
        <w:rPr>
          <w:i/>
          <w:iCs/>
          <w:sz w:val="16"/>
          <w:szCs w:val="16"/>
          <w:lang w:val="en-US"/>
        </w:rPr>
        <w:t>Programme</w:t>
      </w:r>
      <w:proofErr w:type="spellEnd"/>
      <w:r w:rsidRPr="00A0291C">
        <w:rPr>
          <w:i/>
          <w:iCs/>
          <w:sz w:val="16"/>
          <w:szCs w:val="16"/>
          <w:lang w:val="en-US"/>
        </w:rPr>
        <w:t xml:space="preserve"> of Work; ii) Legal aspects; and iii) Budget implications”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044536"/>
    <w:multiLevelType w:val="hybridMultilevel"/>
    <w:tmpl w:val="C28CFE4E"/>
    <w:lvl w:ilvl="0" w:tplc="7C9007B2">
      <w:start w:val="1"/>
      <w:numFmt w:val="decimal"/>
      <w:lvlText w:val="%1."/>
      <w:lvlJc w:val="left"/>
      <w:pPr>
        <w:ind w:left="720" w:hanging="360"/>
      </w:pPr>
    </w:lvl>
    <w:lvl w:ilvl="1" w:tplc="733A1A74">
      <w:start w:val="1"/>
      <w:numFmt w:val="lowerLetter"/>
      <w:lvlText w:val="%2."/>
      <w:lvlJc w:val="left"/>
      <w:pPr>
        <w:ind w:left="1440" w:hanging="360"/>
      </w:pPr>
    </w:lvl>
    <w:lvl w:ilvl="2" w:tplc="4A02BBC4">
      <w:start w:val="1"/>
      <w:numFmt w:val="lowerRoman"/>
      <w:lvlText w:val="%3."/>
      <w:lvlJc w:val="right"/>
      <w:pPr>
        <w:ind w:left="2160" w:hanging="180"/>
      </w:pPr>
    </w:lvl>
    <w:lvl w:ilvl="3" w:tplc="CDD27A7C">
      <w:start w:val="1"/>
      <w:numFmt w:val="decimal"/>
      <w:lvlText w:val="%4."/>
      <w:lvlJc w:val="left"/>
      <w:pPr>
        <w:ind w:left="2880" w:hanging="360"/>
      </w:pPr>
    </w:lvl>
    <w:lvl w:ilvl="4" w:tplc="56E4BBE6">
      <w:start w:val="1"/>
      <w:numFmt w:val="lowerLetter"/>
      <w:lvlText w:val="%5."/>
      <w:lvlJc w:val="left"/>
      <w:pPr>
        <w:ind w:left="3600" w:hanging="360"/>
      </w:pPr>
    </w:lvl>
    <w:lvl w:ilvl="5" w:tplc="1018C71E">
      <w:start w:val="1"/>
      <w:numFmt w:val="lowerRoman"/>
      <w:lvlText w:val="%6."/>
      <w:lvlJc w:val="right"/>
      <w:pPr>
        <w:ind w:left="4320" w:hanging="180"/>
      </w:pPr>
    </w:lvl>
    <w:lvl w:ilvl="6" w:tplc="74F414CA">
      <w:start w:val="1"/>
      <w:numFmt w:val="decimal"/>
      <w:lvlText w:val="%7."/>
      <w:lvlJc w:val="left"/>
      <w:pPr>
        <w:ind w:left="5040" w:hanging="360"/>
      </w:pPr>
    </w:lvl>
    <w:lvl w:ilvl="7" w:tplc="DD8E43B2">
      <w:start w:val="1"/>
      <w:numFmt w:val="lowerLetter"/>
      <w:lvlText w:val="%8."/>
      <w:lvlJc w:val="left"/>
      <w:pPr>
        <w:ind w:left="5760" w:hanging="360"/>
      </w:pPr>
    </w:lvl>
    <w:lvl w:ilvl="8" w:tplc="8BD4BC8C">
      <w:start w:val="1"/>
      <w:numFmt w:val="lowerRoman"/>
      <w:lvlText w:val="%9."/>
      <w:lvlJc w:val="right"/>
      <w:pPr>
        <w:ind w:left="6480" w:hanging="180"/>
      </w:pPr>
    </w:lvl>
  </w:abstractNum>
  <w:abstractNum w:abstractNumId="1" w15:restartNumberingAfterBreak="0">
    <w:nsid w:val="1BC51881"/>
    <w:multiLevelType w:val="hybridMultilevel"/>
    <w:tmpl w:val="4C640B8E"/>
    <w:lvl w:ilvl="0" w:tplc="98AC726E">
      <w:start w:val="1"/>
      <w:numFmt w:val="lowerRoman"/>
      <w:lvlText w:val="%1)"/>
      <w:lvlJc w:val="left"/>
      <w:pPr>
        <w:ind w:left="1080" w:hanging="72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2" w15:restartNumberingAfterBreak="0">
    <w:nsid w:val="58895595"/>
    <w:multiLevelType w:val="hybridMultilevel"/>
    <w:tmpl w:val="F536A666"/>
    <w:lvl w:ilvl="0" w:tplc="180A0011">
      <w:start w:val="1"/>
      <w:numFmt w:val="decimal"/>
      <w:lvlText w:val="%1)"/>
      <w:lvlJc w:val="left"/>
      <w:pPr>
        <w:ind w:left="720" w:hanging="360"/>
      </w:pPr>
      <w:rPr>
        <w:rFonts w:hint="default"/>
      </w:rPr>
    </w:lvl>
    <w:lvl w:ilvl="1" w:tplc="180A0019" w:tentative="1">
      <w:start w:val="1"/>
      <w:numFmt w:val="lowerLetter"/>
      <w:lvlText w:val="%2."/>
      <w:lvlJc w:val="left"/>
      <w:pPr>
        <w:ind w:left="1440" w:hanging="360"/>
      </w:pPr>
    </w:lvl>
    <w:lvl w:ilvl="2" w:tplc="180A001B" w:tentative="1">
      <w:start w:val="1"/>
      <w:numFmt w:val="lowerRoman"/>
      <w:lvlText w:val="%3."/>
      <w:lvlJc w:val="right"/>
      <w:pPr>
        <w:ind w:left="2160" w:hanging="180"/>
      </w:pPr>
    </w:lvl>
    <w:lvl w:ilvl="3" w:tplc="180A000F" w:tentative="1">
      <w:start w:val="1"/>
      <w:numFmt w:val="decimal"/>
      <w:lvlText w:val="%4."/>
      <w:lvlJc w:val="left"/>
      <w:pPr>
        <w:ind w:left="2880" w:hanging="360"/>
      </w:pPr>
    </w:lvl>
    <w:lvl w:ilvl="4" w:tplc="180A0019" w:tentative="1">
      <w:start w:val="1"/>
      <w:numFmt w:val="lowerLetter"/>
      <w:lvlText w:val="%5."/>
      <w:lvlJc w:val="left"/>
      <w:pPr>
        <w:ind w:left="3600" w:hanging="360"/>
      </w:pPr>
    </w:lvl>
    <w:lvl w:ilvl="5" w:tplc="180A001B" w:tentative="1">
      <w:start w:val="1"/>
      <w:numFmt w:val="lowerRoman"/>
      <w:lvlText w:val="%6."/>
      <w:lvlJc w:val="right"/>
      <w:pPr>
        <w:ind w:left="4320" w:hanging="180"/>
      </w:pPr>
    </w:lvl>
    <w:lvl w:ilvl="6" w:tplc="180A000F" w:tentative="1">
      <w:start w:val="1"/>
      <w:numFmt w:val="decimal"/>
      <w:lvlText w:val="%7."/>
      <w:lvlJc w:val="left"/>
      <w:pPr>
        <w:ind w:left="5040" w:hanging="360"/>
      </w:pPr>
    </w:lvl>
    <w:lvl w:ilvl="7" w:tplc="180A0019" w:tentative="1">
      <w:start w:val="1"/>
      <w:numFmt w:val="lowerLetter"/>
      <w:lvlText w:val="%8."/>
      <w:lvlJc w:val="left"/>
      <w:pPr>
        <w:ind w:left="5760" w:hanging="360"/>
      </w:pPr>
    </w:lvl>
    <w:lvl w:ilvl="8" w:tplc="180A001B" w:tentative="1">
      <w:start w:val="1"/>
      <w:numFmt w:val="lowerRoman"/>
      <w:lvlText w:val="%9."/>
      <w:lvlJc w:val="right"/>
      <w:pPr>
        <w:ind w:left="6480" w:hanging="180"/>
      </w:pPr>
    </w:lvl>
  </w:abstractNum>
  <w:abstractNum w:abstractNumId="3" w15:restartNumberingAfterBreak="0">
    <w:nsid w:val="70897EC5"/>
    <w:multiLevelType w:val="hybridMultilevel"/>
    <w:tmpl w:val="2B98EE2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897D78"/>
    <w:multiLevelType w:val="hybridMultilevel"/>
    <w:tmpl w:val="8EE2FCC0"/>
    <w:lvl w:ilvl="0" w:tplc="F8069218">
      <w:start w:val="1"/>
      <w:numFmt w:val="decimal"/>
      <w:lvlText w:val="%1."/>
      <w:lvlJc w:val="left"/>
      <w:pPr>
        <w:ind w:left="720" w:hanging="360"/>
      </w:pPr>
    </w:lvl>
    <w:lvl w:ilvl="1" w:tplc="3B92DD96">
      <w:start w:val="1"/>
      <w:numFmt w:val="lowerLetter"/>
      <w:lvlText w:val="%2."/>
      <w:lvlJc w:val="left"/>
      <w:pPr>
        <w:ind w:left="1440" w:hanging="360"/>
      </w:pPr>
    </w:lvl>
    <w:lvl w:ilvl="2" w:tplc="4B4AA5A4">
      <w:start w:val="1"/>
      <w:numFmt w:val="lowerRoman"/>
      <w:lvlText w:val="%3."/>
      <w:lvlJc w:val="right"/>
      <w:pPr>
        <w:ind w:left="2160" w:hanging="180"/>
      </w:pPr>
    </w:lvl>
    <w:lvl w:ilvl="3" w:tplc="0B74DA88">
      <w:start w:val="1"/>
      <w:numFmt w:val="decimal"/>
      <w:lvlText w:val="%4."/>
      <w:lvlJc w:val="left"/>
      <w:pPr>
        <w:ind w:left="2880" w:hanging="360"/>
      </w:pPr>
    </w:lvl>
    <w:lvl w:ilvl="4" w:tplc="0F34C456">
      <w:start w:val="1"/>
      <w:numFmt w:val="lowerLetter"/>
      <w:lvlText w:val="%5."/>
      <w:lvlJc w:val="left"/>
      <w:pPr>
        <w:ind w:left="3600" w:hanging="360"/>
      </w:pPr>
    </w:lvl>
    <w:lvl w:ilvl="5" w:tplc="8CC6E83A">
      <w:start w:val="1"/>
      <w:numFmt w:val="lowerRoman"/>
      <w:lvlText w:val="%6."/>
      <w:lvlJc w:val="right"/>
      <w:pPr>
        <w:ind w:left="4320" w:hanging="180"/>
      </w:pPr>
    </w:lvl>
    <w:lvl w:ilvl="6" w:tplc="9D125498">
      <w:start w:val="1"/>
      <w:numFmt w:val="decimal"/>
      <w:lvlText w:val="%7."/>
      <w:lvlJc w:val="left"/>
      <w:pPr>
        <w:ind w:left="5040" w:hanging="360"/>
      </w:pPr>
    </w:lvl>
    <w:lvl w:ilvl="7" w:tplc="B5EC9F76">
      <w:start w:val="1"/>
      <w:numFmt w:val="lowerLetter"/>
      <w:lvlText w:val="%8."/>
      <w:lvlJc w:val="left"/>
      <w:pPr>
        <w:ind w:left="5760" w:hanging="360"/>
      </w:pPr>
    </w:lvl>
    <w:lvl w:ilvl="8" w:tplc="15E07686">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0F05"/>
    <w:rsid w:val="00070EF8"/>
    <w:rsid w:val="000926F1"/>
    <w:rsid w:val="0009797B"/>
    <w:rsid w:val="000A36A9"/>
    <w:rsid w:val="000A5B92"/>
    <w:rsid w:val="000A6218"/>
    <w:rsid w:val="000A710B"/>
    <w:rsid w:val="000C4298"/>
    <w:rsid w:val="000F0F53"/>
    <w:rsid w:val="000F3804"/>
    <w:rsid w:val="00132656"/>
    <w:rsid w:val="00205C56"/>
    <w:rsid w:val="002B206B"/>
    <w:rsid w:val="002E08EC"/>
    <w:rsid w:val="002F1CF9"/>
    <w:rsid w:val="002F6096"/>
    <w:rsid w:val="00327771"/>
    <w:rsid w:val="00341258"/>
    <w:rsid w:val="0034701E"/>
    <w:rsid w:val="003623B3"/>
    <w:rsid w:val="0039394C"/>
    <w:rsid w:val="003B5965"/>
    <w:rsid w:val="003C4353"/>
    <w:rsid w:val="003E3FE9"/>
    <w:rsid w:val="003F0F05"/>
    <w:rsid w:val="00454DE7"/>
    <w:rsid w:val="00484922"/>
    <w:rsid w:val="00497939"/>
    <w:rsid w:val="00497BE3"/>
    <w:rsid w:val="004A3CA1"/>
    <w:rsid w:val="004A5285"/>
    <w:rsid w:val="004B0A53"/>
    <w:rsid w:val="00576DB2"/>
    <w:rsid w:val="005B0B66"/>
    <w:rsid w:val="005C2899"/>
    <w:rsid w:val="005D5C8C"/>
    <w:rsid w:val="005E1956"/>
    <w:rsid w:val="00605245"/>
    <w:rsid w:val="00613CC1"/>
    <w:rsid w:val="00633546"/>
    <w:rsid w:val="00642A72"/>
    <w:rsid w:val="006900F5"/>
    <w:rsid w:val="006A52AD"/>
    <w:rsid w:val="006B60F8"/>
    <w:rsid w:val="006F08AF"/>
    <w:rsid w:val="0072318B"/>
    <w:rsid w:val="007C6DCC"/>
    <w:rsid w:val="007E03AB"/>
    <w:rsid w:val="00803FC5"/>
    <w:rsid w:val="00826E62"/>
    <w:rsid w:val="00855FC4"/>
    <w:rsid w:val="00881A48"/>
    <w:rsid w:val="008E5FAA"/>
    <w:rsid w:val="008F573E"/>
    <w:rsid w:val="009544E6"/>
    <w:rsid w:val="009621FC"/>
    <w:rsid w:val="00971A47"/>
    <w:rsid w:val="00982436"/>
    <w:rsid w:val="009C1D2D"/>
    <w:rsid w:val="009F2407"/>
    <w:rsid w:val="00A0134D"/>
    <w:rsid w:val="00A0291C"/>
    <w:rsid w:val="00A47380"/>
    <w:rsid w:val="00A50D6E"/>
    <w:rsid w:val="00A510EA"/>
    <w:rsid w:val="00B04A09"/>
    <w:rsid w:val="00B52C2D"/>
    <w:rsid w:val="00BC1584"/>
    <w:rsid w:val="00BE0657"/>
    <w:rsid w:val="00BF23DA"/>
    <w:rsid w:val="00C178E7"/>
    <w:rsid w:val="00C472F3"/>
    <w:rsid w:val="00C91DD3"/>
    <w:rsid w:val="00D303EB"/>
    <w:rsid w:val="00D4159A"/>
    <w:rsid w:val="00D5001F"/>
    <w:rsid w:val="00D62108"/>
    <w:rsid w:val="00DB64BA"/>
    <w:rsid w:val="00DD52BC"/>
    <w:rsid w:val="00DE0CDD"/>
    <w:rsid w:val="00DE75C9"/>
    <w:rsid w:val="00E47CF7"/>
    <w:rsid w:val="00E57C79"/>
    <w:rsid w:val="00E65927"/>
    <w:rsid w:val="00EA4CD6"/>
    <w:rsid w:val="00EB7AEB"/>
    <w:rsid w:val="00EC588E"/>
    <w:rsid w:val="00EC5A41"/>
    <w:rsid w:val="00F00957"/>
    <w:rsid w:val="00F27F0A"/>
    <w:rsid w:val="00FB1E36"/>
    <w:rsid w:val="00FB330E"/>
    <w:rsid w:val="0135EBB9"/>
    <w:rsid w:val="02823835"/>
    <w:rsid w:val="02D5285B"/>
    <w:rsid w:val="02F9268A"/>
    <w:rsid w:val="03233951"/>
    <w:rsid w:val="04562972"/>
    <w:rsid w:val="0470F8BC"/>
    <w:rsid w:val="04C01835"/>
    <w:rsid w:val="05B39767"/>
    <w:rsid w:val="07096AB3"/>
    <w:rsid w:val="081CD370"/>
    <w:rsid w:val="0CC1A508"/>
    <w:rsid w:val="0CD05E9B"/>
    <w:rsid w:val="0DA408C5"/>
    <w:rsid w:val="0E12B13E"/>
    <w:rsid w:val="0E44C120"/>
    <w:rsid w:val="0E6C2EFC"/>
    <w:rsid w:val="1168E08F"/>
    <w:rsid w:val="119E3772"/>
    <w:rsid w:val="12D223C8"/>
    <w:rsid w:val="1424534A"/>
    <w:rsid w:val="1505F5B0"/>
    <w:rsid w:val="15DEC720"/>
    <w:rsid w:val="1609C48A"/>
    <w:rsid w:val="16EFCAC6"/>
    <w:rsid w:val="17974B96"/>
    <w:rsid w:val="17A594EB"/>
    <w:rsid w:val="1850B417"/>
    <w:rsid w:val="188275FD"/>
    <w:rsid w:val="190AF5C5"/>
    <w:rsid w:val="1A35283F"/>
    <w:rsid w:val="1ACE4152"/>
    <w:rsid w:val="1AE693EF"/>
    <w:rsid w:val="1B34FB0A"/>
    <w:rsid w:val="1B7D24BA"/>
    <w:rsid w:val="1BBA16BF"/>
    <w:rsid w:val="1E0580B6"/>
    <w:rsid w:val="1E1E34B1"/>
    <w:rsid w:val="1EB4C57C"/>
    <w:rsid w:val="1EF1B781"/>
    <w:rsid w:val="1FA0DCB5"/>
    <w:rsid w:val="2079FBF7"/>
    <w:rsid w:val="215061B6"/>
    <w:rsid w:val="21864ED4"/>
    <w:rsid w:val="2186F1DF"/>
    <w:rsid w:val="22403A24"/>
    <w:rsid w:val="224B00DD"/>
    <w:rsid w:val="2433CFE2"/>
    <w:rsid w:val="24391553"/>
    <w:rsid w:val="24A56A44"/>
    <w:rsid w:val="25622985"/>
    <w:rsid w:val="25F6B410"/>
    <w:rsid w:val="26763DD9"/>
    <w:rsid w:val="27DD0B06"/>
    <w:rsid w:val="282CF122"/>
    <w:rsid w:val="2A28D65B"/>
    <w:rsid w:val="2AE04BDF"/>
    <w:rsid w:val="2B14ABC8"/>
    <w:rsid w:val="2B481313"/>
    <w:rsid w:val="2BB8DADA"/>
    <w:rsid w:val="2C65F594"/>
    <w:rsid w:val="2D34453F"/>
    <w:rsid w:val="2ED3BA8C"/>
    <w:rsid w:val="2FE81CEB"/>
    <w:rsid w:val="30EDEF34"/>
    <w:rsid w:val="313AFA79"/>
    <w:rsid w:val="316A8881"/>
    <w:rsid w:val="331FBDAD"/>
    <w:rsid w:val="340743ED"/>
    <w:rsid w:val="354E791B"/>
    <w:rsid w:val="35AB6659"/>
    <w:rsid w:val="371A23A8"/>
    <w:rsid w:val="39F86CA8"/>
    <w:rsid w:val="3A67FE5F"/>
    <w:rsid w:val="3C6CBF61"/>
    <w:rsid w:val="3CB08655"/>
    <w:rsid w:val="3E1FD745"/>
    <w:rsid w:val="3E3A1CE0"/>
    <w:rsid w:val="3E440038"/>
    <w:rsid w:val="3E6A5DDA"/>
    <w:rsid w:val="3ED946ED"/>
    <w:rsid w:val="3F23A61F"/>
    <w:rsid w:val="3FB4050D"/>
    <w:rsid w:val="3FBBA7A6"/>
    <w:rsid w:val="3FD46A61"/>
    <w:rsid w:val="40A7BEDF"/>
    <w:rsid w:val="4144613C"/>
    <w:rsid w:val="4273E825"/>
    <w:rsid w:val="433827F3"/>
    <w:rsid w:val="43BE5630"/>
    <w:rsid w:val="43FA21FD"/>
    <w:rsid w:val="4475F06C"/>
    <w:rsid w:val="447E541F"/>
    <w:rsid w:val="451CC452"/>
    <w:rsid w:val="47AD912E"/>
    <w:rsid w:val="47D728EC"/>
    <w:rsid w:val="4A7DE3EF"/>
    <w:rsid w:val="4AAC9EA2"/>
    <w:rsid w:val="4B4339D8"/>
    <w:rsid w:val="4BAB157B"/>
    <w:rsid w:val="4D0FE542"/>
    <w:rsid w:val="4DD7D12B"/>
    <w:rsid w:val="4DDC9688"/>
    <w:rsid w:val="4E388AC5"/>
    <w:rsid w:val="4ED700AD"/>
    <w:rsid w:val="4ED878D7"/>
    <w:rsid w:val="4F29FFCE"/>
    <w:rsid w:val="4F329C50"/>
    <w:rsid w:val="50B27798"/>
    <w:rsid w:val="50C5D02F"/>
    <w:rsid w:val="50DF08C2"/>
    <w:rsid w:val="50E55828"/>
    <w:rsid w:val="50FF963F"/>
    <w:rsid w:val="5114374A"/>
    <w:rsid w:val="527B9D7B"/>
    <w:rsid w:val="52A892F9"/>
    <w:rsid w:val="52B007AB"/>
    <w:rsid w:val="52F24984"/>
    <w:rsid w:val="542E8D5D"/>
    <w:rsid w:val="562E5C6D"/>
    <w:rsid w:val="57AFDAF6"/>
    <w:rsid w:val="57D9AECC"/>
    <w:rsid w:val="59BE8E24"/>
    <w:rsid w:val="5A75E3B5"/>
    <w:rsid w:val="5AAEA511"/>
    <w:rsid w:val="5C21719A"/>
    <w:rsid w:val="5D5C2FAC"/>
    <w:rsid w:val="5DCFC899"/>
    <w:rsid w:val="5FB2ECCE"/>
    <w:rsid w:val="6107695B"/>
    <w:rsid w:val="61947E67"/>
    <w:rsid w:val="61B623F8"/>
    <w:rsid w:val="6275ABE9"/>
    <w:rsid w:val="635EB7A8"/>
    <w:rsid w:val="63DB8DFC"/>
    <w:rsid w:val="64868EEB"/>
    <w:rsid w:val="64A7AF64"/>
    <w:rsid w:val="64FF0581"/>
    <w:rsid w:val="665BD678"/>
    <w:rsid w:val="66CD1413"/>
    <w:rsid w:val="66EFED82"/>
    <w:rsid w:val="67DA703A"/>
    <w:rsid w:val="680065C1"/>
    <w:rsid w:val="68A89A95"/>
    <w:rsid w:val="68AF854D"/>
    <w:rsid w:val="6B1738FE"/>
    <w:rsid w:val="6B1BF6C0"/>
    <w:rsid w:val="6B509718"/>
    <w:rsid w:val="6B5D70D5"/>
    <w:rsid w:val="6C581A64"/>
    <w:rsid w:val="6DFCCE44"/>
    <w:rsid w:val="6E0A5113"/>
    <w:rsid w:val="6E357270"/>
    <w:rsid w:val="6E3A746D"/>
    <w:rsid w:val="6F2BA262"/>
    <w:rsid w:val="7017B99B"/>
    <w:rsid w:val="710075CD"/>
    <w:rsid w:val="73477949"/>
    <w:rsid w:val="746D6319"/>
    <w:rsid w:val="753139B8"/>
    <w:rsid w:val="75356F87"/>
    <w:rsid w:val="75C6DA8B"/>
    <w:rsid w:val="76B7DB1D"/>
    <w:rsid w:val="77068127"/>
    <w:rsid w:val="77425F78"/>
    <w:rsid w:val="77B5E5EE"/>
    <w:rsid w:val="79F604EA"/>
    <w:rsid w:val="7C2C1F0D"/>
    <w:rsid w:val="7CE8E569"/>
  </w:rsids>
  <m:mathPr>
    <m:mathFont m:val="Cambria Math"/>
    <m:brkBin m:val="before"/>
    <m:brkBinSub m:val="--"/>
    <m:smallFrac m:val="0"/>
    <m:dispDef/>
    <m:lMargin m:val="0"/>
    <m:rMargin m:val="0"/>
    <m:defJc m:val="centerGroup"/>
    <m:wrapIndent m:val="1440"/>
    <m:intLim m:val="subSup"/>
    <m:naryLim m:val="undOvr"/>
  </m:mathPr>
  <w:themeFontLang w:val="es-P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24565"/>
  <w15:chartTrackingRefBased/>
  <w15:docId w15:val="{8510BEAC-FAE8-4000-A817-F720170B2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P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B04A0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B92"/>
    <w:pPr>
      <w:ind w:left="720"/>
      <w:contextualSpacing/>
    </w:pPr>
  </w:style>
  <w:style w:type="character" w:styleId="Hyperlink">
    <w:name w:val="Hyperlink"/>
    <w:basedOn w:val="DefaultParagraphFont"/>
    <w:uiPriority w:val="99"/>
    <w:unhideWhenUsed/>
    <w:rsid w:val="00A0134D"/>
    <w:rPr>
      <w:color w:val="0563C1" w:themeColor="hyperlink"/>
      <w:u w:val="single"/>
    </w:rPr>
  </w:style>
  <w:style w:type="character" w:styleId="UnresolvedMention">
    <w:name w:val="Unresolved Mention"/>
    <w:basedOn w:val="DefaultParagraphFont"/>
    <w:uiPriority w:val="99"/>
    <w:unhideWhenUsed/>
    <w:rsid w:val="00A0134D"/>
    <w:rPr>
      <w:color w:val="605E5C"/>
      <w:shd w:val="clear" w:color="auto" w:fill="E1DFDD"/>
    </w:rPr>
  </w:style>
  <w:style w:type="paragraph" w:styleId="FootnoteText">
    <w:name w:val="footnote text"/>
    <w:basedOn w:val="Normal"/>
    <w:link w:val="FootnoteTextChar"/>
    <w:uiPriority w:val="99"/>
    <w:semiHidden/>
    <w:unhideWhenUsed/>
    <w:rsid w:val="00A013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134D"/>
    <w:rPr>
      <w:sz w:val="20"/>
      <w:szCs w:val="20"/>
    </w:rPr>
  </w:style>
  <w:style w:type="character" w:styleId="FootnoteReference">
    <w:name w:val="footnote reference"/>
    <w:basedOn w:val="DefaultParagraphFont"/>
    <w:uiPriority w:val="99"/>
    <w:semiHidden/>
    <w:unhideWhenUsed/>
    <w:rsid w:val="00A0134D"/>
    <w:rPr>
      <w:vertAlign w:val="superscript"/>
    </w:rPr>
  </w:style>
  <w:style w:type="paragraph" w:styleId="Header">
    <w:name w:val="header"/>
    <w:basedOn w:val="Normal"/>
    <w:link w:val="HeaderChar"/>
    <w:uiPriority w:val="99"/>
    <w:semiHidden/>
    <w:unhideWhenUsed/>
    <w:rsid w:val="00EC5A4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C5A41"/>
  </w:style>
  <w:style w:type="paragraph" w:styleId="Footer">
    <w:name w:val="footer"/>
    <w:basedOn w:val="Normal"/>
    <w:link w:val="FooterChar"/>
    <w:uiPriority w:val="99"/>
    <w:semiHidden/>
    <w:unhideWhenUsed/>
    <w:rsid w:val="00EC5A4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C5A41"/>
  </w:style>
  <w:style w:type="character" w:customStyle="1" w:styleId="fontstyle01">
    <w:name w:val="fontstyle01"/>
    <w:basedOn w:val="DefaultParagraphFont"/>
    <w:rsid w:val="003B5965"/>
    <w:rPr>
      <w:rFonts w:ascii="ArialMT" w:hAnsi="ArialMT" w:hint="default"/>
      <w:b w:val="0"/>
      <w:bCs w:val="0"/>
      <w:i w:val="0"/>
      <w:iCs w:val="0"/>
      <w:color w:val="000000"/>
      <w:sz w:val="22"/>
      <w:szCs w:val="22"/>
    </w:rPr>
  </w:style>
  <w:style w:type="character" w:styleId="CommentReference">
    <w:name w:val="annotation reference"/>
    <w:basedOn w:val="DefaultParagraphFont"/>
    <w:uiPriority w:val="99"/>
    <w:semiHidden/>
    <w:unhideWhenUsed/>
    <w:rsid w:val="009544E6"/>
    <w:rPr>
      <w:sz w:val="16"/>
      <w:szCs w:val="16"/>
    </w:rPr>
  </w:style>
  <w:style w:type="paragraph" w:styleId="CommentText">
    <w:name w:val="annotation text"/>
    <w:basedOn w:val="Normal"/>
    <w:link w:val="CommentTextChar"/>
    <w:uiPriority w:val="99"/>
    <w:semiHidden/>
    <w:unhideWhenUsed/>
    <w:rsid w:val="009544E6"/>
    <w:pPr>
      <w:spacing w:line="240" w:lineRule="auto"/>
    </w:pPr>
    <w:rPr>
      <w:sz w:val="20"/>
      <w:szCs w:val="20"/>
    </w:rPr>
  </w:style>
  <w:style w:type="character" w:customStyle="1" w:styleId="CommentTextChar">
    <w:name w:val="Comment Text Char"/>
    <w:basedOn w:val="DefaultParagraphFont"/>
    <w:link w:val="CommentText"/>
    <w:uiPriority w:val="99"/>
    <w:semiHidden/>
    <w:rsid w:val="009544E6"/>
    <w:rPr>
      <w:sz w:val="20"/>
      <w:szCs w:val="20"/>
    </w:rPr>
  </w:style>
  <w:style w:type="paragraph" w:styleId="CommentSubject">
    <w:name w:val="annotation subject"/>
    <w:basedOn w:val="CommentText"/>
    <w:next w:val="CommentText"/>
    <w:link w:val="CommentSubjectChar"/>
    <w:uiPriority w:val="99"/>
    <w:semiHidden/>
    <w:unhideWhenUsed/>
    <w:rsid w:val="009544E6"/>
    <w:rPr>
      <w:b/>
      <w:bCs/>
    </w:rPr>
  </w:style>
  <w:style w:type="character" w:customStyle="1" w:styleId="CommentSubjectChar">
    <w:name w:val="Comment Subject Char"/>
    <w:basedOn w:val="CommentTextChar"/>
    <w:link w:val="CommentSubject"/>
    <w:uiPriority w:val="99"/>
    <w:semiHidden/>
    <w:rsid w:val="009544E6"/>
    <w:rPr>
      <w:b/>
      <w:bCs/>
      <w:sz w:val="20"/>
      <w:szCs w:val="20"/>
    </w:rPr>
  </w:style>
  <w:style w:type="character" w:styleId="Mention">
    <w:name w:val="Mention"/>
    <w:basedOn w:val="DefaultParagraphFont"/>
    <w:uiPriority w:val="99"/>
    <w:unhideWhenUsed/>
    <w:rsid w:val="00497BE3"/>
    <w:rPr>
      <w:color w:val="2B579A"/>
      <w:shd w:val="clear" w:color="auto" w:fill="E1DFDD"/>
    </w:rPr>
  </w:style>
  <w:style w:type="character" w:customStyle="1" w:styleId="normaltextrun">
    <w:name w:val="normaltextrun"/>
    <w:basedOn w:val="DefaultParagraphFont"/>
    <w:rsid w:val="00B52C2D"/>
  </w:style>
  <w:style w:type="character" w:customStyle="1" w:styleId="superscript">
    <w:name w:val="superscript"/>
    <w:basedOn w:val="DefaultParagraphFont"/>
    <w:rsid w:val="00B52C2D"/>
  </w:style>
  <w:style w:type="character" w:customStyle="1" w:styleId="eop">
    <w:name w:val="eop"/>
    <w:basedOn w:val="DefaultParagraphFont"/>
    <w:rsid w:val="00B52C2D"/>
  </w:style>
  <w:style w:type="character" w:styleId="FollowedHyperlink">
    <w:name w:val="FollowedHyperlink"/>
    <w:basedOn w:val="DefaultParagraphFont"/>
    <w:uiPriority w:val="99"/>
    <w:semiHidden/>
    <w:unhideWhenUsed/>
    <w:rsid w:val="00A510EA"/>
    <w:rPr>
      <w:color w:val="954F72" w:themeColor="followedHyperlink"/>
      <w:u w:val="single"/>
    </w:rPr>
  </w:style>
  <w:style w:type="character" w:customStyle="1" w:styleId="Heading2Char">
    <w:name w:val="Heading 2 Char"/>
    <w:basedOn w:val="DefaultParagraphFont"/>
    <w:link w:val="Heading2"/>
    <w:uiPriority w:val="9"/>
    <w:rsid w:val="00B04A09"/>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edocs.unep.org/bitstream/handle/20.500.11822/35162/Doc3%20Reve1%20EnglishK2100501.pdf?sequence=1&amp;isAllowed=y" TargetMode="External"/><Relationship Id="rId18" Type="http://schemas.openxmlformats.org/officeDocument/2006/relationships/hyperlink" Target="https://www.oecd.org/corporate/mne/mining.htm" TargetMode="External"/><Relationship Id="rId3" Type="http://schemas.openxmlformats.org/officeDocument/2006/relationships/customXml" Target="../customXml/item3.xml"/><Relationship Id="rId21" Type="http://schemas.openxmlformats.org/officeDocument/2006/relationships/hyperlink" Target="mailto:angela.karuiki@un.org" TargetMode="External"/><Relationship Id="rId7" Type="http://schemas.openxmlformats.org/officeDocument/2006/relationships/settings" Target="settings.xml"/><Relationship Id="rId12" Type="http://schemas.openxmlformats.org/officeDocument/2006/relationships/hyperlink" Target="https://wedocs.unep.org/bitstream/handle/20.500.11822/37714/211217_draft%20MRG%20resolution%20UNEA%205.2%20for%20upload.pdf?sequence=1&amp;isAllowed=y" TargetMode="External"/><Relationship Id="rId17" Type="http://schemas.openxmlformats.org/officeDocument/2006/relationships/hyperlink" Target="http://mneguidelines.oecd.org/" TargetMode="External"/><Relationship Id="rId2" Type="http://schemas.openxmlformats.org/officeDocument/2006/relationships/customXml" Target="../customXml/item2.xml"/><Relationship Id="rId16" Type="http://schemas.openxmlformats.org/officeDocument/2006/relationships/hyperlink" Target="https://wedocs.unep.org/bitstream/handle/20.500.11822/28501/English.pdf?sequence=3&amp;isAllowed=y" TargetMode="External"/><Relationship Id="rId20" Type="http://schemas.openxmlformats.org/officeDocument/2006/relationships/hyperlink" Target="mailto:elisa.tonda@u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docs.unep.org/bitstream/handle/20.500.11822/37281/Chairs%20Summary%208th%20CPR%20annual%20subcommittee%20-%20as%20adopted.pdf?sequence=1&amp;isAllowed=y" TargetMode="External"/><Relationship Id="rId5" Type="http://schemas.openxmlformats.org/officeDocument/2006/relationships/numbering" Target="numbering.xml"/><Relationship Id="rId15" Type="http://schemas.openxmlformats.org/officeDocument/2006/relationships/hyperlink" Target="https://wedocs.unep.org/bitstream/handle/20.500.11822/35162/Doc3%20Reve1%20EnglishK2100501.pdf?sequence=1&amp;isAllowed=y"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edocs.unep.org/bitstream/handle/20.500.11822/35162/Doc3%20Reve1%20EnglishK2100501.pdf?sequence=1&amp;isAllowed=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E76ADBFA9B43409FF3E2E9CD63C4A2" ma:contentTypeVersion="6" ma:contentTypeDescription="Create a new document." ma:contentTypeScope="" ma:versionID="bf5f39eb113758f2ba06394f3ff74492">
  <xsd:schema xmlns:xsd="http://www.w3.org/2001/XMLSchema" xmlns:xs="http://www.w3.org/2001/XMLSchema" xmlns:p="http://schemas.microsoft.com/office/2006/metadata/properties" xmlns:ns2="07ef6231-7f9b-4a1b-ac20-4e05dc44179f" xmlns:ns3="49e1c9bc-22ed-4a1d-90a4-e7268c59dff2" targetNamespace="http://schemas.microsoft.com/office/2006/metadata/properties" ma:root="true" ma:fieldsID="4371c096bcbf6d91a3029c0ea2d87b0a" ns2:_="" ns3:_="">
    <xsd:import namespace="07ef6231-7f9b-4a1b-ac20-4e05dc44179f"/>
    <xsd:import namespace="49e1c9bc-22ed-4a1d-90a4-e7268c59df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ef6231-7f9b-4a1b-ac20-4e05dc4417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e1c9bc-22ed-4a1d-90a4-e7268c59df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2DB20B-785B-4946-BC5B-F6547446D5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ef6231-7f9b-4a1b-ac20-4e05dc44179f"/>
    <ds:schemaRef ds:uri="49e1c9bc-22ed-4a1d-90a4-e7268c59df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4FB467-87DC-40F2-921A-5BA4FF1B76D5}">
  <ds:schemaRefs>
    <ds:schemaRef ds:uri="http://schemas.openxmlformats.org/officeDocument/2006/bibliography"/>
  </ds:schemaRefs>
</ds:datastoreItem>
</file>

<file path=customXml/itemProps3.xml><?xml version="1.0" encoding="utf-8"?>
<ds:datastoreItem xmlns:ds="http://schemas.openxmlformats.org/officeDocument/2006/customXml" ds:itemID="{47367713-3BAB-456F-A105-C188E3811AB4}">
  <ds:schemaRefs>
    <ds:schemaRef ds:uri="http://schemas.microsoft.com/sharepoint/v3/contenttype/forms"/>
  </ds:schemaRefs>
</ds:datastoreItem>
</file>

<file path=customXml/itemProps4.xml><?xml version="1.0" encoding="utf-8"?>
<ds:datastoreItem xmlns:ds="http://schemas.openxmlformats.org/officeDocument/2006/customXml" ds:itemID="{3C90303D-9A50-4ED2-83C7-F86DB6DC457A}">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1508</Words>
  <Characters>8297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Brusco</dc:creator>
  <cp:keywords/>
  <dc:description/>
  <cp:lastModifiedBy>Andrea Brusco</cp:lastModifiedBy>
  <cp:revision>2</cp:revision>
  <dcterms:created xsi:type="dcterms:W3CDTF">2022-01-13T18:48:00Z</dcterms:created>
  <dcterms:modified xsi:type="dcterms:W3CDTF">2022-01-13T18:48:00Z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0x0101000CE76ADBFA9B43409FF3E2E9CD63C4A2</vt:lpwstr>
  </property>
</Properties>
</file>