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745" w:rsidRPr="00F22750" w:rsidRDefault="00AD4EFD">
      <w:pPr>
        <w:rPr>
          <w:rFonts w:ascii="Century" w:hAnsi="Century"/>
          <w:b/>
        </w:rPr>
      </w:pPr>
      <w:bookmarkStart w:id="0" w:name="_GoBack"/>
      <w:bookmarkEnd w:id="0"/>
      <w:r w:rsidRPr="00F22750">
        <w:rPr>
          <w:rFonts w:ascii="Century" w:hAnsi="Century"/>
          <w:b/>
        </w:rPr>
        <w:t>Japan’s views on possible options to address possible gaps in international environmental law and environment-related instruments</w:t>
      </w:r>
    </w:p>
    <w:p w:rsidR="00AD4EFD" w:rsidRDefault="00AD4EFD">
      <w:pPr>
        <w:rPr>
          <w:rFonts w:ascii="Century" w:hAnsi="Century"/>
        </w:rPr>
      </w:pPr>
    </w:p>
    <w:p w:rsidR="00AD4EFD" w:rsidRDefault="00AD4EFD">
      <w:pPr>
        <w:rPr>
          <w:rFonts w:ascii="Century" w:hAnsi="Century"/>
        </w:rPr>
      </w:pPr>
      <w:r>
        <w:rPr>
          <w:rFonts w:ascii="Century" w:hAnsi="Century"/>
        </w:rPr>
        <w:t>Japan will continue to actively participate in the discussion on how we should address possible gaps to make multilateral environmental agreement</w:t>
      </w:r>
      <w:r w:rsidR="0064515F">
        <w:rPr>
          <w:rFonts w:ascii="Century" w:hAnsi="Century"/>
        </w:rPr>
        <w:t>s</w:t>
      </w:r>
      <w:r>
        <w:rPr>
          <w:rFonts w:ascii="Century" w:hAnsi="Century"/>
        </w:rPr>
        <w:t xml:space="preserve"> (MEAs) more effective and efficient in better addressing challenges in the environmental area.</w:t>
      </w:r>
    </w:p>
    <w:p w:rsidR="00AD4EFD" w:rsidRDefault="00AD4EFD">
      <w:pPr>
        <w:rPr>
          <w:rFonts w:ascii="Century" w:hAnsi="Century"/>
        </w:rPr>
      </w:pPr>
    </w:p>
    <w:p w:rsidR="00AD4EFD" w:rsidRDefault="00AD4EFD">
      <w:pPr>
        <w:rPr>
          <w:rFonts w:ascii="Century" w:hAnsi="Century"/>
        </w:rPr>
      </w:pPr>
      <w:r>
        <w:rPr>
          <w:rFonts w:ascii="Century" w:hAnsi="Century"/>
        </w:rPr>
        <w:t>First of all, we think that in order to have a productive discussion on the gaps member states need to have common understanding about the definition of “gap” for the purpose of the work of the Working Group. The UNSG report refers to a “gap” as “a lacuna, void, defect or deficiency” and categorizes it into “regulatory gaps”, “governance gaps”</w:t>
      </w:r>
      <w:r w:rsidR="00373989">
        <w:rPr>
          <w:rFonts w:ascii="Century" w:hAnsi="Century"/>
        </w:rPr>
        <w:t xml:space="preserve"> and “implementing gaps”. In the first substantial session, various views were expressed by member states on the definition of the “gap”. Japan considers a “gap”, for the purpose of the work of the Working Group, as issue or challenge that needs to be addressed to strengthen or improve regulatory regime, governance and implementation of the international environmental law and environment-related instruments.</w:t>
      </w:r>
    </w:p>
    <w:p w:rsidR="00373989" w:rsidRDefault="00373989">
      <w:pPr>
        <w:rPr>
          <w:rFonts w:ascii="Century" w:hAnsi="Century"/>
        </w:rPr>
      </w:pPr>
    </w:p>
    <w:p w:rsidR="00373989" w:rsidRDefault="00373989">
      <w:pPr>
        <w:rPr>
          <w:rFonts w:ascii="Century" w:hAnsi="Century"/>
        </w:rPr>
      </w:pPr>
      <w:r>
        <w:rPr>
          <w:rFonts w:ascii="Century" w:hAnsi="Century"/>
        </w:rPr>
        <w:t>Historically, issues and challenges in the area of the environment protection have been addressed by specific MEAs with “tailored-made” solutions in their respective specific contexts, which is still an evolving process. Efforts are going on to address specific issues and challenges arising in regulatory regime, governance and implementation of each MEA within the relevant fora. In this sense, the current fragmented structure of MEAs and treaty-based institutions should not be identified as a gap that needs to be filled.</w:t>
      </w:r>
    </w:p>
    <w:p w:rsidR="00373989" w:rsidRDefault="00373989">
      <w:pPr>
        <w:rPr>
          <w:rFonts w:ascii="Century" w:hAnsi="Century"/>
        </w:rPr>
      </w:pPr>
    </w:p>
    <w:p w:rsidR="00373989" w:rsidRDefault="00C307E4">
      <w:pPr>
        <w:rPr>
          <w:rFonts w:ascii="Century" w:hAnsi="Century"/>
        </w:rPr>
      </w:pPr>
      <w:r>
        <w:rPr>
          <w:rFonts w:ascii="Century" w:hAnsi="Century"/>
        </w:rPr>
        <w:t>Taking this background into account, we should respect and support the above-mentioned on-going efforts to fill the gaps related to existing MEAs in their respective tracks. One of the issues which should be considered in this light is the coordination and synergies among the existing MEAs and related institutions. While acknowledging various efforts in and out of the UN system in this area, Japan welcomes and is ready to discuss “various means that can address the institutional fragmentation and weak coordination between treaties” suggested in the UNSG report, as well as the role of UNEP and UNEA in this context. We believe that strengthening coordination and synergies among MEAs through practical and coordinated measures would support on-going efforts to improve governance and help implementation</w:t>
      </w:r>
      <w:r w:rsidR="00D528F8">
        <w:rPr>
          <w:rFonts w:ascii="Century" w:hAnsi="Century"/>
        </w:rPr>
        <w:t xml:space="preserve"> of the MEAs, which will contribute to strengthening the international environmental law as a whole.</w:t>
      </w:r>
    </w:p>
    <w:p w:rsidR="00D528F8" w:rsidRDefault="00D528F8">
      <w:pPr>
        <w:rPr>
          <w:rFonts w:ascii="Century" w:hAnsi="Century"/>
        </w:rPr>
      </w:pPr>
    </w:p>
    <w:p w:rsidR="00D528F8" w:rsidRDefault="00F22750">
      <w:pPr>
        <w:rPr>
          <w:rFonts w:ascii="Century" w:hAnsi="Century"/>
        </w:rPr>
      </w:pPr>
      <w:r>
        <w:rPr>
          <w:rFonts w:ascii="Century" w:hAnsi="Century" w:hint="eastAsia"/>
        </w:rPr>
        <w:t>In</w:t>
      </w:r>
      <w:r w:rsidR="0064515F">
        <w:rPr>
          <w:rFonts w:ascii="Century" w:hAnsi="Century" w:hint="eastAsia"/>
        </w:rPr>
        <w:t xml:space="preserve"> this context, J</w:t>
      </w:r>
      <w:r>
        <w:rPr>
          <w:rFonts w:ascii="Century" w:hAnsi="Century" w:hint="eastAsia"/>
        </w:rPr>
        <w:t xml:space="preserve">apan is cautious about creating and adopting a new international instrument that gathers the </w:t>
      </w:r>
      <w:r>
        <w:rPr>
          <w:rFonts w:ascii="Century" w:hAnsi="Century"/>
        </w:rPr>
        <w:t xml:space="preserve">principles of the environmental law with the following reasons.  First, it is not clear how such an instrument with general principles would </w:t>
      </w:r>
      <w:r>
        <w:rPr>
          <w:rFonts w:ascii="Century" w:hAnsi="Century"/>
        </w:rPr>
        <w:lastRenderedPageBreak/>
        <w:t>help address specific issues and challenges in the governance and implementation of the MEAs in a concrete way.  Secondly, there is concern that adopting such general principles, in particular in a legally binding instrument, would raise frictions with the rights and obligations stipulated in the existing MEAs since each MEA was agreed in a certain context or specific situation.  Thirdly, trying to reach agreement on which principles should be included in the international instrument would be a time-consuming and highly controversial process. Serious confrontations could be provided between parties over how to treat some principles, such as so called “CBDR”, which could end up just highlighting disagreement in the international community.  Also it should be noted that the Montevideo Program of UNEP has being addressing gaps and expected future development of the international environmental law, and that we should avoid duplication of having the same discussions in this Working Group.</w:t>
      </w:r>
    </w:p>
    <w:p w:rsidR="00F22750" w:rsidRDefault="00F22750">
      <w:pPr>
        <w:rPr>
          <w:rFonts w:ascii="Century" w:hAnsi="Century"/>
        </w:rPr>
      </w:pPr>
    </w:p>
    <w:p w:rsidR="00F22750" w:rsidRPr="00AD4EFD" w:rsidRDefault="00F22750">
      <w:pPr>
        <w:rPr>
          <w:rFonts w:ascii="Century" w:hAnsi="Century"/>
        </w:rPr>
      </w:pPr>
      <w:r>
        <w:rPr>
          <w:rFonts w:ascii="Century" w:hAnsi="Century"/>
        </w:rPr>
        <w:t xml:space="preserve">In conclusion, in the course of discussions at this Working Group, Japan believes that it is important to first reach a consensus on what gaps there are in </w:t>
      </w:r>
      <w:r w:rsidR="00E7658F">
        <w:rPr>
          <w:rFonts w:ascii="Century" w:hAnsi="Century"/>
        </w:rPr>
        <w:t>international environmental law and environment-related instruments, and, based on it, to identify practical and effective actions that fill the gaps, rather than taking a normative approach.</w:t>
      </w:r>
    </w:p>
    <w:sectPr w:rsidR="00F22750" w:rsidRPr="00AD4EFD" w:rsidSect="00F22750">
      <w:pgSz w:w="11906" w:h="16838"/>
      <w:pgMar w:top="1418"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MS Mincho">
    <w:altName w:val="Yu Gothic UI"/>
    <w:panose1 w:val="02020609040205080304"/>
    <w:charset w:val="80"/>
    <w:family w:val="roma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9BF"/>
    <w:rsid w:val="00373989"/>
    <w:rsid w:val="0064515F"/>
    <w:rsid w:val="006676DF"/>
    <w:rsid w:val="00991745"/>
    <w:rsid w:val="00A24C32"/>
    <w:rsid w:val="00AD4EFD"/>
    <w:rsid w:val="00B179BF"/>
    <w:rsid w:val="00C307E4"/>
    <w:rsid w:val="00D528F8"/>
    <w:rsid w:val="00E62C63"/>
    <w:rsid w:val="00E7658F"/>
    <w:rsid w:val="00F22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212EFA3-AAB5-406F-80AF-88E0F872A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24C32"/>
    <w:pPr>
      <w:widowControl w:val="0"/>
      <w:jc w:val="both"/>
    </w:pPr>
    <w:rPr>
      <w:rFonts w:ascii="MS Mincho" w:eastAsia="MS Mincho" w:hAnsi="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15F"/>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64515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3549</Characters>
  <Application>Microsoft Office Word</Application>
  <DocSecurity>0</DocSecurity>
  <Lines>29</Lines>
  <Paragraphs>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外務省</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情報通信課</dc:creator>
  <cp:keywords/>
  <dc:description/>
  <cp:lastModifiedBy>Stadler Trengove</cp:lastModifiedBy>
  <cp:revision>2</cp:revision>
  <cp:lastPrinted>2019-02-20T10:05:00Z</cp:lastPrinted>
  <dcterms:created xsi:type="dcterms:W3CDTF">2019-02-21T15:25:00Z</dcterms:created>
  <dcterms:modified xsi:type="dcterms:W3CDTF">2019-02-21T15:25:00Z</dcterms:modified>
</cp:coreProperties>
</file>