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right"/>
        <w:tblLayout w:type="fixed"/>
        <w:tblLook w:val="00A0" w:firstRow="1" w:lastRow="0" w:firstColumn="1" w:lastColumn="0" w:noHBand="0" w:noVBand="0"/>
      </w:tblPr>
      <w:tblGrid>
        <w:gridCol w:w="1553"/>
        <w:gridCol w:w="5785"/>
        <w:gridCol w:w="2374"/>
      </w:tblGrid>
      <w:tr w:rsidR="00B10509" w:rsidTr="00D01517">
        <w:trPr>
          <w:cantSplit/>
          <w:trHeight w:val="850"/>
          <w:jc w:val="right"/>
        </w:trPr>
        <w:tc>
          <w:tcPr>
            <w:tcW w:w="1553" w:type="dxa"/>
          </w:tcPr>
          <w:p w:rsidR="00B10509" w:rsidRDefault="00B10509">
            <w:pPr>
              <w:rPr>
                <w:rFonts w:ascii="Univers" w:hAnsi="Univers"/>
                <w:b/>
                <w:noProof/>
                <w:sz w:val="27"/>
                <w:szCs w:val="27"/>
              </w:rPr>
            </w:pPr>
            <w:bookmarkStart w:id="0" w:name="_GoBack"/>
            <w:bookmarkEnd w:id="0"/>
            <w:r>
              <w:rPr>
                <w:rFonts w:ascii="Arial" w:hAnsi="Arial" w:cs="Arial"/>
                <w:b/>
                <w:noProof/>
                <w:sz w:val="27"/>
                <w:szCs w:val="27"/>
              </w:rPr>
              <w:t>UNITED</w:t>
            </w:r>
            <w:r>
              <w:rPr>
                <w:rFonts w:ascii="Arial" w:hAnsi="Arial" w:cs="Arial"/>
                <w:b/>
                <w:noProof/>
                <w:sz w:val="27"/>
                <w:szCs w:val="27"/>
              </w:rPr>
              <w:br/>
              <w:t>NATIONS</w:t>
            </w:r>
          </w:p>
        </w:tc>
        <w:tc>
          <w:tcPr>
            <w:tcW w:w="5785" w:type="dxa"/>
          </w:tcPr>
          <w:p w:rsidR="00B10509" w:rsidRDefault="00B10509">
            <w:pPr>
              <w:rPr>
                <w:rFonts w:ascii="Univers" w:hAnsi="Univers"/>
                <w:b/>
                <w:sz w:val="27"/>
                <w:szCs w:val="27"/>
              </w:rPr>
            </w:pPr>
          </w:p>
        </w:tc>
        <w:tc>
          <w:tcPr>
            <w:tcW w:w="2374" w:type="dxa"/>
          </w:tcPr>
          <w:p w:rsidR="00B10509" w:rsidRDefault="00B10509">
            <w:pPr>
              <w:jc w:val="right"/>
              <w:rPr>
                <w:rFonts w:ascii="Arial" w:hAnsi="Arial" w:cs="Arial"/>
                <w:b/>
                <w:sz w:val="72"/>
                <w:szCs w:val="72"/>
              </w:rPr>
            </w:pPr>
            <w:r>
              <w:rPr>
                <w:rFonts w:ascii="Arial" w:hAnsi="Arial" w:cs="Arial"/>
                <w:b/>
                <w:sz w:val="72"/>
                <w:szCs w:val="72"/>
              </w:rPr>
              <w:t>EP</w:t>
            </w:r>
          </w:p>
        </w:tc>
      </w:tr>
      <w:tr w:rsidR="00B10509" w:rsidTr="00D01517">
        <w:trPr>
          <w:cantSplit/>
          <w:trHeight w:val="281"/>
          <w:jc w:val="right"/>
        </w:trPr>
        <w:tc>
          <w:tcPr>
            <w:tcW w:w="1553" w:type="dxa"/>
            <w:tcBorders>
              <w:top w:val="nil"/>
              <w:left w:val="nil"/>
              <w:bottom w:val="single" w:sz="4" w:space="0" w:color="auto"/>
              <w:right w:val="nil"/>
            </w:tcBorders>
          </w:tcPr>
          <w:p w:rsidR="00B10509" w:rsidRDefault="00B10509">
            <w:pPr>
              <w:rPr>
                <w:noProof/>
                <w:sz w:val="18"/>
                <w:szCs w:val="18"/>
              </w:rPr>
            </w:pPr>
          </w:p>
        </w:tc>
        <w:tc>
          <w:tcPr>
            <w:tcW w:w="5785" w:type="dxa"/>
            <w:tcBorders>
              <w:top w:val="nil"/>
              <w:left w:val="nil"/>
              <w:bottom w:val="single" w:sz="4" w:space="0" w:color="auto"/>
              <w:right w:val="nil"/>
            </w:tcBorders>
          </w:tcPr>
          <w:p w:rsidR="00B10509" w:rsidRDefault="00B10509">
            <w:pPr>
              <w:rPr>
                <w:rFonts w:ascii="Univers" w:hAnsi="Univers"/>
                <w:b/>
                <w:sz w:val="18"/>
                <w:szCs w:val="18"/>
              </w:rPr>
            </w:pPr>
          </w:p>
        </w:tc>
        <w:tc>
          <w:tcPr>
            <w:tcW w:w="2374" w:type="dxa"/>
            <w:tcBorders>
              <w:top w:val="nil"/>
              <w:left w:val="nil"/>
              <w:bottom w:val="single" w:sz="4" w:space="0" w:color="auto"/>
              <w:right w:val="nil"/>
            </w:tcBorders>
          </w:tcPr>
          <w:p w:rsidR="00B10509" w:rsidRDefault="00B10509">
            <w:pPr>
              <w:rPr>
                <w:rFonts w:eastAsia="Malgun Gothic"/>
                <w:noProof/>
                <w:sz w:val="18"/>
                <w:szCs w:val="18"/>
                <w:lang w:val="en-US" w:eastAsia="ko-KR"/>
              </w:rPr>
            </w:pPr>
            <w:r>
              <w:rPr>
                <w:rFonts w:eastAsia="Times New Roman"/>
                <w:b/>
                <w:sz w:val="28"/>
                <w:szCs w:val="28"/>
              </w:rPr>
              <w:t>UNEP</w:t>
            </w:r>
            <w:r>
              <w:rPr>
                <w:rFonts w:eastAsia="Times New Roman"/>
                <w:sz w:val="20"/>
              </w:rPr>
              <w:t>/</w:t>
            </w:r>
            <w:r>
              <w:rPr>
                <w:rFonts w:eastAsia="Malgun Gothic"/>
                <w:sz w:val="20"/>
                <w:lang w:eastAsia="ko-KR"/>
              </w:rPr>
              <w:t>EA.2/INF/19</w:t>
            </w:r>
          </w:p>
        </w:tc>
      </w:tr>
      <w:bookmarkStart w:id="1" w:name="_MON_1021710510"/>
      <w:bookmarkEnd w:id="1"/>
      <w:tr w:rsidR="00B10509" w:rsidTr="00D01517">
        <w:trPr>
          <w:cantSplit/>
          <w:trHeight w:val="2549"/>
          <w:jc w:val="right"/>
        </w:trPr>
        <w:tc>
          <w:tcPr>
            <w:tcW w:w="1553" w:type="dxa"/>
            <w:tcBorders>
              <w:top w:val="single" w:sz="4" w:space="0" w:color="auto"/>
              <w:left w:val="nil"/>
              <w:bottom w:val="single" w:sz="24" w:space="0" w:color="auto"/>
              <w:right w:val="nil"/>
            </w:tcBorders>
          </w:tcPr>
          <w:p w:rsidR="00B10509" w:rsidRDefault="00B10509">
            <w:pPr>
              <w:rPr>
                <w:noProof/>
              </w:rPr>
            </w:pPr>
            <w:r>
              <w:rPr>
                <w:noProof/>
              </w:rPr>
              <w:object w:dxaOrig="1305" w:dyaOrig="1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1pt;height:61.35pt" o:ole="" fillcolor="window">
                  <v:imagedata r:id="rId9" o:title=""/>
                </v:shape>
                <o:OLEObject Type="Embed" ProgID="Word.Picture.8" ShapeID="_x0000_i1025" DrawAspect="Content" ObjectID="_1525014887" r:id="rId10"/>
              </w:object>
            </w:r>
            <w:r w:rsidR="00C24008">
              <w:rPr>
                <w:noProof/>
                <w:lang w:val="en-US"/>
              </w:rPr>
              <w:drawing>
                <wp:inline distT="0" distB="0" distL="0" distR="0">
                  <wp:extent cx="723265" cy="763270"/>
                  <wp:effectExtent l="0" t="0" r="635" b="0"/>
                  <wp:docPr id="2" name="Picture 2" desc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265" cy="763270"/>
                          </a:xfrm>
                          <a:prstGeom prst="rect">
                            <a:avLst/>
                          </a:prstGeom>
                          <a:noFill/>
                          <a:ln>
                            <a:noFill/>
                          </a:ln>
                        </pic:spPr>
                      </pic:pic>
                    </a:graphicData>
                  </a:graphic>
                </wp:inline>
              </w:drawing>
            </w:r>
          </w:p>
        </w:tc>
        <w:tc>
          <w:tcPr>
            <w:tcW w:w="5785" w:type="dxa"/>
            <w:tcBorders>
              <w:top w:val="single" w:sz="4" w:space="0" w:color="auto"/>
              <w:left w:val="nil"/>
              <w:bottom w:val="single" w:sz="24" w:space="0" w:color="auto"/>
              <w:right w:val="nil"/>
            </w:tcBorders>
          </w:tcPr>
          <w:p w:rsidR="00B10509" w:rsidRDefault="00B10509" w:rsidP="00D01517">
            <w:pPr>
              <w:spacing w:before="1400"/>
              <w:rPr>
                <w:rFonts w:ascii="Univers" w:eastAsia="Malgun Gothic" w:hAnsi="Univers"/>
                <w:b/>
                <w:sz w:val="28"/>
                <w:szCs w:val="28"/>
                <w:lang w:eastAsia="ko-KR"/>
              </w:rPr>
            </w:pPr>
            <w:r>
              <w:rPr>
                <w:rFonts w:ascii="Arial" w:hAnsi="Arial" w:cs="Arial"/>
                <w:b/>
                <w:sz w:val="28"/>
                <w:szCs w:val="28"/>
              </w:rPr>
              <w:t xml:space="preserve">United Nations </w:t>
            </w:r>
            <w:r>
              <w:rPr>
                <w:rFonts w:ascii="Arial" w:hAnsi="Arial" w:cs="Arial"/>
                <w:b/>
                <w:sz w:val="28"/>
                <w:szCs w:val="28"/>
              </w:rPr>
              <w:br/>
              <w:t xml:space="preserve">Environment Assembly of the </w:t>
            </w:r>
            <w:r>
              <w:rPr>
                <w:rFonts w:ascii="Arial" w:hAnsi="Arial" w:cs="Arial"/>
                <w:b/>
                <w:sz w:val="28"/>
                <w:szCs w:val="28"/>
              </w:rPr>
              <w:br/>
              <w:t>United Nations Environment Programme</w:t>
            </w:r>
          </w:p>
        </w:tc>
        <w:tc>
          <w:tcPr>
            <w:tcW w:w="2374" w:type="dxa"/>
            <w:tcBorders>
              <w:top w:val="single" w:sz="4" w:space="0" w:color="auto"/>
              <w:left w:val="nil"/>
              <w:bottom w:val="single" w:sz="24" w:space="0" w:color="auto"/>
              <w:right w:val="nil"/>
            </w:tcBorders>
          </w:tcPr>
          <w:p w:rsidR="00B10509" w:rsidRDefault="00B10509">
            <w:pPr>
              <w:pStyle w:val="Normal-pool"/>
              <w:spacing w:before="120" w:after="120"/>
              <w:rPr>
                <w:rFonts w:eastAsia="Malgun Gothic"/>
              </w:rPr>
            </w:pPr>
            <w:r>
              <w:t>Distr.: General</w:t>
            </w:r>
            <w:r>
              <w:br/>
              <w:t>20 April 2016</w:t>
            </w:r>
          </w:p>
          <w:p w:rsidR="00B10509" w:rsidRDefault="00B10509">
            <w:pPr>
              <w:pStyle w:val="Normal-pool"/>
              <w:spacing w:after="120"/>
              <w:rPr>
                <w:rFonts w:eastAsia="Malgun Gothic"/>
              </w:rPr>
            </w:pPr>
            <w:r>
              <w:t>English only</w:t>
            </w:r>
          </w:p>
        </w:tc>
      </w:tr>
    </w:tbl>
    <w:p w:rsidR="00B10509" w:rsidRDefault="00B10509" w:rsidP="005B119B">
      <w:pPr>
        <w:pStyle w:val="AATitle"/>
        <w:rPr>
          <w:rFonts w:eastAsia="Malgun Gothic"/>
        </w:rPr>
      </w:pPr>
      <w:r>
        <w:t>United Nations Environment Assembly of the</w:t>
      </w:r>
    </w:p>
    <w:p w:rsidR="00B10509" w:rsidRDefault="00B10509" w:rsidP="005B119B">
      <w:pPr>
        <w:pStyle w:val="AATitle"/>
        <w:rPr>
          <w:lang w:val="en-US"/>
        </w:rPr>
      </w:pPr>
      <w:r>
        <w:rPr>
          <w:lang w:val="en-US"/>
        </w:rPr>
        <w:t xml:space="preserve">United Nations Environment </w:t>
      </w:r>
      <w:proofErr w:type="spellStart"/>
      <w:r>
        <w:rPr>
          <w:lang w:val="en-US"/>
        </w:rPr>
        <w:t>Programme</w:t>
      </w:r>
      <w:proofErr w:type="spellEnd"/>
    </w:p>
    <w:p w:rsidR="00B10509" w:rsidRDefault="00B10509" w:rsidP="005B119B">
      <w:pPr>
        <w:pStyle w:val="AATitle"/>
        <w:rPr>
          <w:lang w:val="en-US"/>
        </w:rPr>
      </w:pPr>
      <w:r>
        <w:rPr>
          <w:lang w:val="en-US"/>
        </w:rPr>
        <w:t>Second session</w:t>
      </w:r>
    </w:p>
    <w:p w:rsidR="00B10509" w:rsidRDefault="00B10509" w:rsidP="005B119B">
      <w:pPr>
        <w:pStyle w:val="AATitle"/>
        <w:keepNext w:val="0"/>
        <w:keepLines w:val="0"/>
        <w:rPr>
          <w:b w:val="0"/>
          <w:lang w:val="en-US"/>
        </w:rPr>
      </w:pPr>
      <w:r>
        <w:rPr>
          <w:b w:val="0"/>
          <w:lang w:val="en-US"/>
        </w:rPr>
        <w:t>Nairobi, 23–27 May 2016</w:t>
      </w:r>
    </w:p>
    <w:p w:rsidR="00B10509" w:rsidRDefault="00B10509" w:rsidP="005B119B">
      <w:pPr>
        <w:pStyle w:val="AATitle"/>
        <w:rPr>
          <w:b w:val="0"/>
        </w:rPr>
      </w:pPr>
      <w:r>
        <w:rPr>
          <w:b w:val="0"/>
        </w:rPr>
        <w:t>Item 4 (c) of the provisional agenda</w:t>
      </w:r>
      <w:r w:rsidRPr="006929F0">
        <w:rPr>
          <w:rStyle w:val="FootnoteReference"/>
          <w:b w:val="0"/>
          <w:sz w:val="20"/>
          <w:vertAlign w:val="baseline"/>
        </w:rPr>
        <w:footnoteReference w:customMarkFollows="1" w:id="1"/>
        <w:t>*</w:t>
      </w:r>
    </w:p>
    <w:p w:rsidR="00B10509" w:rsidRDefault="00B10509" w:rsidP="005B119B">
      <w:pPr>
        <w:pStyle w:val="AATitle2"/>
        <w:keepNext w:val="0"/>
        <w:keepLines w:val="0"/>
        <w:spacing w:before="60"/>
      </w:pPr>
      <w:r>
        <w:t xml:space="preserve">International environmental policy and </w:t>
      </w:r>
      <w:r>
        <w:br/>
        <w:t>governance issues: chemicals and waste</w:t>
      </w:r>
    </w:p>
    <w:p w:rsidR="00B10509" w:rsidRDefault="00B10509" w:rsidP="005B119B">
      <w:pPr>
        <w:pStyle w:val="BBTitle"/>
      </w:pPr>
      <w:r>
        <w:t xml:space="preserve">Compilation of information on techniques for emissions abatement and on the possibility of replacing lead and cadmium with less hazardous substances or techniques </w:t>
      </w:r>
    </w:p>
    <w:p w:rsidR="00B10509" w:rsidRDefault="00B10509" w:rsidP="005B119B">
      <w:pPr>
        <w:pStyle w:val="Subtitle"/>
        <w:spacing w:after="240"/>
      </w:pPr>
      <w:r>
        <w:t xml:space="preserve">Note </w:t>
      </w:r>
      <w:r w:rsidR="00E43463">
        <w:t>by</w:t>
      </w:r>
      <w:r>
        <w:t xml:space="preserve"> the Executive Director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2"/>
      </w:tblGrid>
      <w:tr w:rsidR="006C5EF8" w:rsidTr="00EE6180">
        <w:tc>
          <w:tcPr>
            <w:tcW w:w="9712" w:type="dxa"/>
            <w:shd w:val="clear" w:color="auto" w:fill="auto"/>
          </w:tcPr>
          <w:p w:rsidR="006C5EF8" w:rsidRPr="001B4318" w:rsidRDefault="006C5EF8" w:rsidP="00EE6180">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0" w:after="200"/>
              <w:ind w:left="0"/>
              <w:contextualSpacing w:val="0"/>
              <w:rPr>
                <w:i/>
                <w:color w:val="000000"/>
                <w:sz w:val="20"/>
                <w:szCs w:val="20"/>
              </w:rPr>
            </w:pPr>
            <w:r w:rsidRPr="001B4318">
              <w:rPr>
                <w:i/>
                <w:color w:val="000000"/>
                <w:sz w:val="20"/>
                <w:szCs w:val="20"/>
              </w:rPr>
              <w:t>Summary</w:t>
            </w:r>
          </w:p>
          <w:p w:rsidR="006C5EF8" w:rsidRDefault="006C5EF8" w:rsidP="00EE6180">
            <w:pPr>
              <w:pStyle w:val="Normal-pool"/>
              <w:tabs>
                <w:tab w:val="clear" w:pos="1247"/>
                <w:tab w:val="clear" w:pos="1814"/>
                <w:tab w:val="clear" w:pos="2381"/>
                <w:tab w:val="clear" w:pos="2948"/>
                <w:tab w:val="clear" w:pos="3515"/>
                <w:tab w:val="clear" w:pos="4082"/>
                <w:tab w:val="left" w:pos="624"/>
              </w:tabs>
              <w:spacing w:after="160"/>
              <w:ind w:left="1247" w:firstLine="624"/>
            </w:pPr>
            <w:r>
              <w:t>I</w:t>
            </w:r>
            <w:r w:rsidRPr="00AE6D41">
              <w:t xml:space="preserve">n </w:t>
            </w:r>
            <w:r>
              <w:t>accordance with</w:t>
            </w:r>
            <w:r w:rsidRPr="00AE6D41">
              <w:t xml:space="preserve"> United Nations Environment Programme Governing Council decision 27/12 II and resolution 1/5 VI on lead and cadmium</w:t>
            </w:r>
            <w:r>
              <w:t xml:space="preserve"> of the </w:t>
            </w:r>
            <w:r w:rsidRPr="00AE6D41">
              <w:t xml:space="preserve">United Nations Environment Assembly </w:t>
            </w:r>
            <w:r>
              <w:t xml:space="preserve">of the United Nations Environment Programme, the present note sets out a summary of a compilation of information on techniques for emissions </w:t>
            </w:r>
            <w:r w:rsidRPr="00E51AE3">
              <w:t>abatement and on the possibility of replacing lead and cadmium with less hazardous substances or techniques. It also provides information to supplement the report of the Executive Director</w:t>
            </w:r>
            <w:r w:rsidRPr="006929F0">
              <w:t xml:space="preserve"> on resolution</w:t>
            </w:r>
            <w:r>
              <w:t xml:space="preserve"> 1/</w:t>
            </w:r>
            <w:r w:rsidRPr="00551B90">
              <w:t xml:space="preserve">5 </w:t>
            </w:r>
            <w:r w:rsidRPr="00564DA3">
              <w:t>(UNEP/EA.2/4).</w:t>
            </w:r>
            <w:r>
              <w:t xml:space="preserve"> </w:t>
            </w:r>
            <w:r w:rsidRPr="00551B90">
              <w:t>The</w:t>
            </w:r>
            <w:r w:rsidRPr="006929F0">
              <w:t xml:space="preserve"> </w:t>
            </w:r>
            <w:r>
              <w:t>summary</w:t>
            </w:r>
            <w:r w:rsidRPr="006929F0">
              <w:t xml:space="preserve"> is based on information</w:t>
            </w:r>
            <w:r>
              <w:t xml:space="preserve"> submitted by</w:t>
            </w:r>
            <w:r w:rsidRPr="006929F0">
              <w:t xml:space="preserve"> </w:t>
            </w:r>
            <w:r>
              <w:t>G</w:t>
            </w:r>
            <w:r w:rsidRPr="006929F0">
              <w:t xml:space="preserve">overnments and stakeholders </w:t>
            </w:r>
            <w:r>
              <w:t>as of</w:t>
            </w:r>
            <w:r w:rsidRPr="006929F0">
              <w:t xml:space="preserve"> December 2015. </w:t>
            </w:r>
            <w:r>
              <w:t>T</w:t>
            </w:r>
            <w:r w:rsidRPr="006929F0">
              <w:t xml:space="preserve">he full </w:t>
            </w:r>
            <w:r>
              <w:t xml:space="preserve">compilation of information on techniques for emissions abatement and on the possibility of replacing lead and cadmium with less hazardous substances or techniques </w:t>
            </w:r>
            <w:r w:rsidRPr="006929F0">
              <w:t xml:space="preserve">is available at: </w:t>
            </w:r>
            <w:hyperlink r:id="rId12" w:history="1">
              <w:r w:rsidRPr="001B4318">
                <w:rPr>
                  <w:rStyle w:val="Hyperlink"/>
                  <w:bCs/>
                  <w:iCs/>
                  <w:lang w:val="en-US" w:eastAsia="en-US"/>
                </w:rPr>
                <w:t>http://www.unep.org/chemicalsandwaste/LeadCadmium/Publications/DevelopmentofTechniquesforEmissions/tabid/838787/Default.aspx</w:t>
              </w:r>
            </w:hyperlink>
            <w:r w:rsidRPr="00E51AE3">
              <w:t xml:space="preserve">. </w:t>
            </w:r>
            <w:r w:rsidRPr="006929F0">
              <w:t xml:space="preserve">Governments and stakeholders are invited to consider follow-up activities as exemplified in paragraph 27 of the present </w:t>
            </w:r>
            <w:r>
              <w:t>note</w:t>
            </w:r>
            <w:r w:rsidRPr="006929F0">
              <w:t>.</w:t>
            </w:r>
          </w:p>
        </w:tc>
      </w:tr>
    </w:tbl>
    <w:p w:rsidR="00B10509" w:rsidRDefault="00B10509" w:rsidP="006C5EF8">
      <w:pPr>
        <w:pStyle w:val="CH1"/>
        <w:rPr>
          <w:bCs/>
        </w:rPr>
      </w:pPr>
      <w:r>
        <w:rPr>
          <w:rFonts w:eastAsia="Malgun Gothic"/>
        </w:rPr>
        <w:br w:type="page"/>
      </w:r>
      <w:r>
        <w:lastRenderedPageBreak/>
        <w:tab/>
      </w:r>
      <w:r w:rsidRPr="001A26E2">
        <w:t>A.</w:t>
      </w:r>
      <w:r w:rsidRPr="001A26E2">
        <w:tab/>
        <w:t>Background and mandate</w:t>
      </w:r>
    </w:p>
    <w:p w:rsidR="00B10509" w:rsidRDefault="00B10509" w:rsidP="006929F0">
      <w:pPr>
        <w:pStyle w:val="Normalnumber"/>
      </w:pPr>
      <w:r>
        <w:t xml:space="preserve">Lead and cadmium are hazardous to human health. In the environment, they are toxic to plants, animals and </w:t>
      </w:r>
      <w:r w:rsidRPr="00551B90">
        <w:t>micro</w:t>
      </w:r>
      <w:r w:rsidRPr="00F60C2F">
        <w:t>organisms</w:t>
      </w:r>
      <w:r w:rsidR="004515DB" w:rsidRPr="00FD5362">
        <w:t xml:space="preserve"> and they</w:t>
      </w:r>
      <w:r w:rsidRPr="00923516">
        <w:t xml:space="preserve"> </w:t>
      </w:r>
      <w:r w:rsidRPr="006C0D2A">
        <w:t xml:space="preserve">are </w:t>
      </w:r>
      <w:r w:rsidRPr="00A32350">
        <w:t>transported over</w:t>
      </w:r>
      <w:r w:rsidR="0027790C" w:rsidRPr="001B4318">
        <w:t xml:space="preserve"> distances</w:t>
      </w:r>
      <w:r w:rsidRPr="00551B90">
        <w:t xml:space="preserve"> </w:t>
      </w:r>
      <w:r w:rsidR="0027790C" w:rsidRPr="001B4318">
        <w:t xml:space="preserve">at the </w:t>
      </w:r>
      <w:r w:rsidRPr="00551B90">
        <w:t xml:space="preserve">local, national </w:t>
      </w:r>
      <w:r w:rsidR="0027790C" w:rsidRPr="001B4318">
        <w:t>and</w:t>
      </w:r>
      <w:r w:rsidRPr="00551B90">
        <w:t xml:space="preserve"> regional </w:t>
      </w:r>
      <w:r w:rsidR="0027790C" w:rsidRPr="00F60C2F">
        <w:t>levels</w:t>
      </w:r>
      <w:r w:rsidRPr="00FD5362">
        <w:t xml:space="preserve">. The trade in new and used products containing lead and cadmium remains a challenge for developing countries and countries with economies in transition which lack </w:t>
      </w:r>
      <w:r w:rsidRPr="00564DA3">
        <w:t>the capacity to manage and dispose of the substances in</w:t>
      </w:r>
      <w:r>
        <w:t xml:space="preserve"> products in an environmentally sound manner. </w:t>
      </w:r>
    </w:p>
    <w:p w:rsidR="00B10509" w:rsidRDefault="00B10509" w:rsidP="00913B1C">
      <w:pPr>
        <w:pStyle w:val="Normalnumber"/>
      </w:pPr>
      <w:r>
        <w:t xml:space="preserve">Since 2001, </w:t>
      </w:r>
      <w:r w:rsidR="002602F6">
        <w:t>the United Nations Environment Programme (</w:t>
      </w:r>
      <w:r>
        <w:t>UNEP</w:t>
      </w:r>
      <w:r w:rsidR="002602F6">
        <w:t>)</w:t>
      </w:r>
      <w:r>
        <w:t xml:space="preserve"> has been mandated to address lead and </w:t>
      </w:r>
      <w:r w:rsidR="002602F6">
        <w:t>c</w:t>
      </w:r>
      <w:r>
        <w:t xml:space="preserve">admium issues. </w:t>
      </w:r>
      <w:r w:rsidR="002602F6">
        <w:t xml:space="preserve">Its </w:t>
      </w:r>
      <w:r>
        <w:t>key activities on lead and cadmium h</w:t>
      </w:r>
      <w:r w:rsidR="002602F6">
        <w:t>a</w:t>
      </w:r>
      <w:r>
        <w:t xml:space="preserve">ve included leading </w:t>
      </w:r>
      <w:r w:rsidR="002602F6">
        <w:t xml:space="preserve">a </w:t>
      </w:r>
      <w:r>
        <w:t xml:space="preserve">global initiative promoting cleaner fuels and vehicles in developing </w:t>
      </w:r>
      <w:r w:rsidR="002602F6">
        <w:t xml:space="preserve">countries and countries with economies in </w:t>
      </w:r>
      <w:r>
        <w:t xml:space="preserve">transition through the Partnership for Clean Fuels and Vehicles (PCFV). Lead in automobile fuels, which used to </w:t>
      </w:r>
      <w:r w:rsidR="0094143B">
        <w:t xml:space="preserve">be </w:t>
      </w:r>
      <w:r>
        <w:t>the ma</w:t>
      </w:r>
      <w:r w:rsidR="002602F6">
        <w:t>in</w:t>
      </w:r>
      <w:r>
        <w:t xml:space="preserve"> source of human exposure to lead worldwide, has been phased out in all but three countries. </w:t>
      </w:r>
    </w:p>
    <w:p w:rsidR="00B10509" w:rsidRPr="00C570E1" w:rsidRDefault="00B10509" w:rsidP="00913B1C">
      <w:pPr>
        <w:pStyle w:val="Normalnumber"/>
      </w:pPr>
      <w:r>
        <w:t xml:space="preserve">Although some restrictions on the use of lead in paint were </w:t>
      </w:r>
      <w:r w:rsidR="00551B90">
        <w:t>impos</w:t>
      </w:r>
      <w:r>
        <w:t xml:space="preserve">ed in many countries in the first </w:t>
      </w:r>
      <w:r w:rsidRPr="00551B90">
        <w:t xml:space="preserve">third of the </w:t>
      </w:r>
      <w:r w:rsidR="00B7544E" w:rsidRPr="00551B90">
        <w:t>twentieth</w:t>
      </w:r>
      <w:r w:rsidRPr="00FD5362">
        <w:t xml:space="preserve"> century, it has become clear in recent years that paints containing high levels of lead are still widely available for purchase for residential purposes in many countries. Available data from paint testing studies in </w:t>
      </w:r>
      <w:r w:rsidR="00B7544E" w:rsidRPr="00923516">
        <w:t>37</w:t>
      </w:r>
      <w:r w:rsidRPr="00C61356">
        <w:t xml:space="preserve"> countries have revealed</w:t>
      </w:r>
      <w:r w:rsidRPr="00F57CD0">
        <w:t xml:space="preserve"> that new paints with high lead concentrations are widely available</w:t>
      </w:r>
      <w:r w:rsidRPr="00C570E1">
        <w:t xml:space="preserve"> in many regions of the world. </w:t>
      </w:r>
    </w:p>
    <w:p w:rsidR="00B10509" w:rsidRPr="00ED316B" w:rsidRDefault="00B10509" w:rsidP="00913B1C">
      <w:pPr>
        <w:pStyle w:val="Normalnumber"/>
      </w:pPr>
      <w:r>
        <w:t>In the</w:t>
      </w:r>
      <w:r w:rsidR="00B7544E">
        <w:t xml:space="preserve"> context of the Global Alliance to Eliminate</w:t>
      </w:r>
      <w:r>
        <w:t xml:space="preserve"> Lead Paint, </w:t>
      </w:r>
      <w:r w:rsidR="00B7544E">
        <w:t>59</w:t>
      </w:r>
      <w:r>
        <w:t xml:space="preserve"> </w:t>
      </w:r>
      <w:r w:rsidR="00B7544E">
        <w:t>G</w:t>
      </w:r>
      <w:r>
        <w:t>overnments</w:t>
      </w:r>
      <w:r w:rsidR="00DF6463">
        <w:t xml:space="preserve"> recently</w:t>
      </w:r>
      <w:r>
        <w:t xml:space="preserve"> reported</w:t>
      </w:r>
      <w:r w:rsidR="00B7544E">
        <w:t xml:space="preserve"> </w:t>
      </w:r>
      <w:r>
        <w:t>hav</w:t>
      </w:r>
      <w:r w:rsidR="009F0076">
        <w:t>ing</w:t>
      </w:r>
      <w:r>
        <w:t xml:space="preserve"> legally binding restrictions</w:t>
      </w:r>
      <w:r w:rsidR="00B7544E">
        <w:t xml:space="preserve"> in place</w:t>
      </w:r>
      <w:r>
        <w:t xml:space="preserve"> on the use of lead in paint</w:t>
      </w:r>
      <w:r w:rsidR="00B7544E">
        <w:t>, while 65</w:t>
      </w:r>
      <w:r>
        <w:t xml:space="preserve"> </w:t>
      </w:r>
      <w:r w:rsidR="00B7544E">
        <w:t>G</w:t>
      </w:r>
      <w:r>
        <w:t>overnments reported not hav</w:t>
      </w:r>
      <w:r w:rsidR="009F0076">
        <w:t>ing</w:t>
      </w:r>
      <w:r>
        <w:t xml:space="preserve"> </w:t>
      </w:r>
      <w:r w:rsidR="00B7544E">
        <w:t xml:space="preserve">such </w:t>
      </w:r>
      <w:r>
        <w:t>restrictions</w:t>
      </w:r>
      <w:r w:rsidR="00B7544E">
        <w:t xml:space="preserve"> in place</w:t>
      </w:r>
      <w:r w:rsidR="009F0076">
        <w:t>,</w:t>
      </w:r>
      <w:r w:rsidR="00E51AE3">
        <w:t xml:space="preserve"> and i</w:t>
      </w:r>
      <w:r>
        <w:t xml:space="preserve">nformation </w:t>
      </w:r>
      <w:r w:rsidR="00B7544E">
        <w:t xml:space="preserve">on the matter </w:t>
      </w:r>
      <w:r>
        <w:t>was lacking for a further 71 countries. Th</w:t>
      </w:r>
      <w:r w:rsidR="00B7544E">
        <w:t>e data</w:t>
      </w:r>
      <w:r>
        <w:t xml:space="preserve"> suggest that </w:t>
      </w:r>
      <w:r w:rsidR="00DF6463">
        <w:t xml:space="preserve">much work </w:t>
      </w:r>
      <w:r w:rsidR="00DF6463" w:rsidRPr="00551B90">
        <w:t xml:space="preserve">remains to be done before </w:t>
      </w:r>
      <w:r w:rsidRPr="00FD5362">
        <w:t xml:space="preserve">all countries </w:t>
      </w:r>
      <w:r w:rsidRPr="00923516">
        <w:t xml:space="preserve">have </w:t>
      </w:r>
      <w:r w:rsidRPr="00F57CD0">
        <w:t xml:space="preserve">effective measures, including regulations, </w:t>
      </w:r>
      <w:r w:rsidR="00DF6463" w:rsidRPr="006C0D2A">
        <w:t>in place with the aim of</w:t>
      </w:r>
      <w:r w:rsidRPr="00A32350">
        <w:t xml:space="preserve"> phas</w:t>
      </w:r>
      <w:r w:rsidR="00DF6463" w:rsidRPr="00A32350">
        <w:t>ing</w:t>
      </w:r>
      <w:r w:rsidRPr="00ED316B">
        <w:t xml:space="preserve"> out the use of lead in paint by 2020.</w:t>
      </w:r>
    </w:p>
    <w:p w:rsidR="00B10509" w:rsidRDefault="00DF6463" w:rsidP="00913B1C">
      <w:pPr>
        <w:pStyle w:val="Normalnumber"/>
      </w:pPr>
      <w:r>
        <w:t xml:space="preserve">The situation </w:t>
      </w:r>
      <w:r w:rsidR="00B10509">
        <w:t xml:space="preserve">with regard to other products containing lead and cadmium, most notably batteries, </w:t>
      </w:r>
      <w:r>
        <w:t xml:space="preserve">needs to be </w:t>
      </w:r>
      <w:r w:rsidR="00B10509">
        <w:t>analysed</w:t>
      </w:r>
      <w:r>
        <w:t xml:space="preserve"> further</w:t>
      </w:r>
      <w:r w:rsidR="00B10509">
        <w:t>.</w:t>
      </w:r>
    </w:p>
    <w:p w:rsidR="00B10509" w:rsidRDefault="00B10509" w:rsidP="00913B1C">
      <w:pPr>
        <w:pStyle w:val="Normalnumber"/>
      </w:pPr>
      <w:r>
        <w:t xml:space="preserve">Lead-acid batteries and nickel-cadmium batteries are the major end-uses of lead and cadmium. The </w:t>
      </w:r>
      <w:r w:rsidR="00E51AE3">
        <w:t xml:space="preserve">final reviews of scientific information on lead and cadmium </w:t>
      </w:r>
      <w:r>
        <w:t>(UNEP 2010) estimate that batteries account for 78 per</w:t>
      </w:r>
      <w:r w:rsidR="00DF6463">
        <w:t xml:space="preserve"> </w:t>
      </w:r>
      <w:r>
        <w:t>cent of reported global consumption of lead in 2003 and 82 per</w:t>
      </w:r>
      <w:r w:rsidR="00E51AE3">
        <w:t xml:space="preserve"> </w:t>
      </w:r>
      <w:r>
        <w:t xml:space="preserve">cent of the estimated world consumption of cadmium in 2005. The </w:t>
      </w:r>
      <w:r w:rsidRPr="001B4318">
        <w:rPr>
          <w:i/>
        </w:rPr>
        <w:t>Global Chemicals Outlook: Towards Sound Management of Chemicals</w:t>
      </w:r>
      <w:r>
        <w:t xml:space="preserve"> (UNEP 2013) estimates that lead-acid batteries accounted for about 89 per cent of lead consumption</w:t>
      </w:r>
      <w:r w:rsidR="00E51AE3" w:rsidRPr="00E51AE3">
        <w:t xml:space="preserve"> </w:t>
      </w:r>
      <w:r w:rsidR="00E51AE3">
        <w:t>in 2009</w:t>
      </w:r>
      <w:r>
        <w:t xml:space="preserve"> </w:t>
      </w:r>
      <w:r w:rsidR="00E51AE3">
        <w:t>and</w:t>
      </w:r>
      <w:r>
        <w:t xml:space="preserve"> </w:t>
      </w:r>
      <w:r w:rsidR="0096428D">
        <w:t xml:space="preserve">that figure remains at </w:t>
      </w:r>
      <w:r>
        <w:t>over 80 per</w:t>
      </w:r>
      <w:r w:rsidR="00E51AE3">
        <w:t xml:space="preserve"> </w:t>
      </w:r>
      <w:r>
        <w:t xml:space="preserve">cent in 2011 (International Lead and Zinc Study Group, 2012). </w:t>
      </w:r>
      <w:r w:rsidR="0096428D">
        <w:t>Lead and cadmium are also used in</w:t>
      </w:r>
      <w:r>
        <w:t xml:space="preserve"> pigments and compounds, cable sheathing, rolled</w:t>
      </w:r>
      <w:r w:rsidR="0096428D">
        <w:t xml:space="preserve"> and </w:t>
      </w:r>
      <w:r>
        <w:t xml:space="preserve">extruded products and ammunition. </w:t>
      </w:r>
    </w:p>
    <w:p w:rsidR="00B10509" w:rsidRDefault="00B10509" w:rsidP="00913B1C">
      <w:pPr>
        <w:pStyle w:val="Normalnumber"/>
      </w:pPr>
      <w:r>
        <w:t>In February 2013, the UNEP Governing Council, by decision 27/12 II</w:t>
      </w:r>
      <w:r w:rsidR="0096428D">
        <w:t xml:space="preserve"> on l</w:t>
      </w:r>
      <w:r>
        <w:t xml:space="preserve">ead and </w:t>
      </w:r>
      <w:r w:rsidR="0096428D">
        <w:t>c</w:t>
      </w:r>
      <w:r>
        <w:t xml:space="preserve">admium, requested UNEP to compile information on techniques for emissions abatement and on the possibility of replacing lead and cadmium with less hazardous substances or techniques.  </w:t>
      </w:r>
    </w:p>
    <w:p w:rsidR="00B10509" w:rsidRPr="00F57CD0" w:rsidRDefault="00B10509" w:rsidP="001B4318">
      <w:pPr>
        <w:pStyle w:val="Normalnumber"/>
      </w:pPr>
      <w:r>
        <w:t xml:space="preserve">In June 2014, </w:t>
      </w:r>
      <w:r w:rsidR="0096428D">
        <w:t>at its</w:t>
      </w:r>
      <w:r>
        <w:t xml:space="preserve"> </w:t>
      </w:r>
      <w:r w:rsidR="0096428D">
        <w:t>f</w:t>
      </w:r>
      <w:r>
        <w:t>irst session</w:t>
      </w:r>
      <w:r w:rsidR="0096428D">
        <w:t>,</w:t>
      </w:r>
      <w:r>
        <w:t xml:space="preserve"> the United Nations Environment Assembly of </w:t>
      </w:r>
      <w:r w:rsidR="0096428D">
        <w:t>UNEP adopted</w:t>
      </w:r>
      <w:r>
        <w:t xml:space="preserve"> </w:t>
      </w:r>
      <w:r w:rsidR="0096428D">
        <w:t>r</w:t>
      </w:r>
      <w:r>
        <w:t>esolution 1/5 VI on lead and cadmium</w:t>
      </w:r>
      <w:r w:rsidR="0096428D">
        <w:t>, in which it r</w:t>
      </w:r>
      <w:r w:rsidRPr="00551B90">
        <w:t>ecognize</w:t>
      </w:r>
      <w:r w:rsidR="0096428D">
        <w:t>d</w:t>
      </w:r>
      <w:r w:rsidRPr="00551B90">
        <w:t xml:space="preserve"> the s</w:t>
      </w:r>
      <w:r w:rsidRPr="00F60C2F">
        <w:t>ignificant risks to human health and the environment arising from the releases of lead and cadmium into the environment;</w:t>
      </w:r>
      <w:r w:rsidR="0096428D">
        <w:t xml:space="preserve"> w</w:t>
      </w:r>
      <w:r w:rsidRPr="00551B90">
        <w:t>elcome</w:t>
      </w:r>
      <w:r w:rsidR="0096428D">
        <w:t>d</w:t>
      </w:r>
      <w:r w:rsidRPr="00551B90">
        <w:t xml:space="preserve"> the upcoming third meeting of the Global Alliance to Eliminate Lead Paint</w:t>
      </w:r>
      <w:r w:rsidR="00B06914">
        <w:t xml:space="preserve"> </w:t>
      </w:r>
      <w:r w:rsidRPr="00551B90">
        <w:t>and the associated workshop focusing on the deve</w:t>
      </w:r>
      <w:r w:rsidRPr="00F60C2F">
        <w:t xml:space="preserve">lopment of national legislation to phase-out lead in paint, and requests the United Nations Environment Programme, in coordination with the World Health Organization, to continue to </w:t>
      </w:r>
      <w:r w:rsidRPr="00FD5362">
        <w:t>build capacity on lead paint through possible regional workshops;</w:t>
      </w:r>
      <w:r w:rsidR="0096428D" w:rsidRPr="00564DA3">
        <w:t xml:space="preserve"> and look</w:t>
      </w:r>
      <w:r w:rsidR="0096428D" w:rsidRPr="00923516">
        <w:t>ed forward to</w:t>
      </w:r>
      <w:r w:rsidR="0096428D" w:rsidRPr="00C61356">
        <w:t xml:space="preserve"> </w:t>
      </w:r>
      <w:r w:rsidR="009237F2">
        <w:t xml:space="preserve">the </w:t>
      </w:r>
      <w:r w:rsidRPr="00564DA3">
        <w:t>compilation of information on techniques for</w:t>
      </w:r>
      <w:r w:rsidRPr="00923516">
        <w:t xml:space="preserve"> emission abatement and on the possibility of replacing lead and cadmium with less hazardous substances or techniques.</w:t>
      </w:r>
    </w:p>
    <w:p w:rsidR="00B10509" w:rsidRPr="00913B1C" w:rsidRDefault="009237F2" w:rsidP="00913B1C">
      <w:pPr>
        <w:pStyle w:val="Normalnumber"/>
      </w:pPr>
      <w:r>
        <w:t xml:space="preserve">Accordingly, </w:t>
      </w:r>
      <w:r w:rsidR="00B10509">
        <w:t xml:space="preserve">a summary of </w:t>
      </w:r>
      <w:r>
        <w:t xml:space="preserve">the </w:t>
      </w:r>
      <w:r w:rsidR="00B10509">
        <w:t>compilation of information on techniques for emissions abatement and on the possibility of replacing lead and cadmium with less hazardous substances or techniques</w:t>
      </w:r>
      <w:r w:rsidR="00C44F14">
        <w:t xml:space="preserve"> is set out in the annex to the present note</w:t>
      </w:r>
      <w:r w:rsidR="00B10509">
        <w:t xml:space="preserve">. </w:t>
      </w:r>
    </w:p>
    <w:p w:rsidR="00B10509" w:rsidRPr="00913B1C" w:rsidRDefault="00B10509" w:rsidP="00913B1C">
      <w:pPr>
        <w:pStyle w:val="CH2"/>
      </w:pPr>
      <w:r>
        <w:tab/>
        <w:t>B</w:t>
      </w:r>
      <w:r w:rsidRPr="00913B1C">
        <w:t>.</w:t>
      </w:r>
      <w:r w:rsidRPr="00913B1C">
        <w:tab/>
        <w:t xml:space="preserve">Scope and coverage </w:t>
      </w:r>
      <w:r w:rsidR="00564DA3">
        <w:t>of</w:t>
      </w:r>
      <w:r w:rsidRPr="00913B1C">
        <w:t xml:space="preserve"> th</w:t>
      </w:r>
      <w:r w:rsidR="00564DA3">
        <w:t>e</w:t>
      </w:r>
      <w:r w:rsidRPr="00913B1C">
        <w:t xml:space="preserve"> compilation</w:t>
      </w:r>
    </w:p>
    <w:p w:rsidR="00B10509" w:rsidRDefault="00B10509" w:rsidP="00913B1C">
      <w:pPr>
        <w:pStyle w:val="Normalnumber"/>
      </w:pPr>
      <w:r>
        <w:t xml:space="preserve">The compilation of information on techniques for emissions abatement and on the possibility of replacing lead and cadmium with less hazardous substances or techniques is based on information </w:t>
      </w:r>
      <w:r w:rsidR="009237F2">
        <w:t xml:space="preserve">submitted by </w:t>
      </w:r>
      <w:r>
        <w:t xml:space="preserve">Governments, </w:t>
      </w:r>
      <w:r w:rsidR="009237F2">
        <w:t>i</w:t>
      </w:r>
      <w:r>
        <w:t>ntergovernmental organizations and regional economic integration</w:t>
      </w:r>
      <w:r w:rsidR="009237F2">
        <w:t xml:space="preserve"> organizations</w:t>
      </w:r>
      <w:r>
        <w:t xml:space="preserve">, non-governmental organizations and other stakeholders. </w:t>
      </w:r>
    </w:p>
    <w:p w:rsidR="00B10509" w:rsidRPr="001B4318" w:rsidRDefault="00B10509" w:rsidP="00913B1C">
      <w:pPr>
        <w:pStyle w:val="Normalnumber"/>
      </w:pPr>
      <w:r>
        <w:t xml:space="preserve">Submissions of specific relevance to the techniques for emissions abatement and the possibility of </w:t>
      </w:r>
      <w:r w:rsidRPr="00551B90">
        <w:t xml:space="preserve">replacing lead and cadmium with less hazardous substances or techniques were received from the following: Argentina, Azerbaijan, Belarus, Brazil, Chile, China, Costa Rica, Ecuador, </w:t>
      </w:r>
      <w:r w:rsidR="009237F2" w:rsidRPr="00F60C2F">
        <w:t xml:space="preserve">the </w:t>
      </w:r>
      <w:r w:rsidRPr="00FD5362">
        <w:t xml:space="preserve">European </w:t>
      </w:r>
      <w:r w:rsidRPr="00FD5362">
        <w:lastRenderedPageBreak/>
        <w:t xml:space="preserve">Union and its </w:t>
      </w:r>
      <w:r w:rsidR="009237F2" w:rsidRPr="00564DA3">
        <w:t>m</w:t>
      </w:r>
      <w:r w:rsidRPr="00C61356">
        <w:t>embe</w:t>
      </w:r>
      <w:r w:rsidRPr="006C0D2A">
        <w:t xml:space="preserve">r States, Finland, Kiribati, Madagascar, Malaysia, Mauritius, </w:t>
      </w:r>
      <w:r w:rsidR="009237F2" w:rsidRPr="00C570E1">
        <w:t xml:space="preserve">the </w:t>
      </w:r>
      <w:r w:rsidRPr="00A32350">
        <w:t>Philippines, Poland, Russia</w:t>
      </w:r>
      <w:r w:rsidR="009237F2" w:rsidRPr="00ED316B">
        <w:t>n Federation</w:t>
      </w:r>
      <w:r w:rsidRPr="00ED316B">
        <w:t xml:space="preserve">, Togo, Turkey, the United States of America, </w:t>
      </w:r>
      <w:r w:rsidR="009237F2" w:rsidRPr="002C7143">
        <w:t xml:space="preserve">and </w:t>
      </w:r>
      <w:r w:rsidRPr="002C7143">
        <w:t>the Organi</w:t>
      </w:r>
      <w:r w:rsidR="009237F2" w:rsidRPr="001A26E2">
        <w:t>z</w:t>
      </w:r>
      <w:r w:rsidRPr="001B4318">
        <w:t>ation for Economic Cooperation and Development (OECD), the International Cadmium Association (</w:t>
      </w:r>
      <w:proofErr w:type="spellStart"/>
      <w:r w:rsidRPr="001B4318">
        <w:t>ICdA</w:t>
      </w:r>
      <w:proofErr w:type="spellEnd"/>
      <w:r w:rsidRPr="001B4318">
        <w:t xml:space="preserve">), the International POPs Elimination Network (IPEN), the Research and Education Centre for Development (CREPD), OK International, RSR Corporation and </w:t>
      </w:r>
      <w:proofErr w:type="spellStart"/>
      <w:r w:rsidRPr="001B4318">
        <w:t>VinylPlus</w:t>
      </w:r>
      <w:proofErr w:type="spellEnd"/>
      <w:r w:rsidRPr="001B4318">
        <w:t>. Additional information, where easily available, has either been included or referenced by hyperlinks.</w:t>
      </w:r>
    </w:p>
    <w:p w:rsidR="00B10509" w:rsidRPr="00551B90" w:rsidRDefault="00B10509" w:rsidP="00913B1C">
      <w:pPr>
        <w:pStyle w:val="Normalnumber"/>
      </w:pPr>
      <w:r w:rsidRPr="001B4318">
        <w:t>In addition to th</w:t>
      </w:r>
      <w:r w:rsidR="009237F2" w:rsidRPr="001B4318">
        <w:t>e</w:t>
      </w:r>
      <w:r w:rsidRPr="001B4318">
        <w:t xml:space="preserve"> information</w:t>
      </w:r>
      <w:r w:rsidR="009237F2" w:rsidRPr="001B4318">
        <w:t xml:space="preserve"> submitted</w:t>
      </w:r>
      <w:r w:rsidRPr="001B4318">
        <w:t xml:space="preserve">, UNEP has made available technical information </w:t>
      </w:r>
      <w:r w:rsidR="00C44F14" w:rsidRPr="001B4318">
        <w:t xml:space="preserve">that aims to </w:t>
      </w:r>
      <w:r w:rsidRPr="001B4318">
        <w:t>contribut</w:t>
      </w:r>
      <w:r w:rsidR="00C44F14" w:rsidRPr="001B4318">
        <w:t>e</w:t>
      </w:r>
      <w:r w:rsidRPr="001B4318">
        <w:t xml:space="preserve"> to the reduction of </w:t>
      </w:r>
      <w:r w:rsidR="009237F2" w:rsidRPr="001B4318">
        <w:t xml:space="preserve">the </w:t>
      </w:r>
      <w:r w:rsidRPr="001B4318">
        <w:t xml:space="preserve">health and environmental risks of lead and cadmium. This includes the information on alternatives to lead-containing paints presented in the </w:t>
      </w:r>
      <w:r w:rsidR="008155A0">
        <w:t>“</w:t>
      </w:r>
      <w:r w:rsidRPr="001B4318">
        <w:rPr>
          <w:iCs/>
        </w:rPr>
        <w:t xml:space="preserve">Toolkit </w:t>
      </w:r>
      <w:r w:rsidR="008155A0" w:rsidRPr="00551B90">
        <w:rPr>
          <w:iCs/>
        </w:rPr>
        <w:t>for establishing laws to control the use of lead in paint</w:t>
      </w:r>
      <w:r w:rsidR="008155A0">
        <w:rPr>
          <w:iCs/>
        </w:rPr>
        <w:t>”</w:t>
      </w:r>
      <w:r w:rsidR="008155A0" w:rsidRPr="00551B90">
        <w:t xml:space="preserve"> </w:t>
      </w:r>
      <w:r w:rsidRPr="00551B90">
        <w:t>(</w:t>
      </w:r>
      <w:hyperlink r:id="rId13" w:history="1">
        <w:r w:rsidRPr="00F60C2F">
          <w:rPr>
            <w:rStyle w:val="Hyperlink"/>
            <w:lang w:val="en-US" w:eastAsia="en-US"/>
          </w:rPr>
          <w:t>http://www.unep.org/chemicalsandwaste/noleadinpaint/toolkit</w:t>
        </w:r>
      </w:hyperlink>
      <w:r w:rsidRPr="00551B90">
        <w:t xml:space="preserve">) and the </w:t>
      </w:r>
      <w:r w:rsidRPr="001B4318">
        <w:rPr>
          <w:iCs/>
        </w:rPr>
        <w:t xml:space="preserve">East Africa </w:t>
      </w:r>
      <w:proofErr w:type="spellStart"/>
      <w:r w:rsidRPr="001B4318">
        <w:rPr>
          <w:iCs/>
        </w:rPr>
        <w:t>Subregional</w:t>
      </w:r>
      <w:proofErr w:type="spellEnd"/>
      <w:r w:rsidRPr="001B4318">
        <w:rPr>
          <w:iCs/>
        </w:rPr>
        <w:t xml:space="preserve"> Workshop on the Establishment of Legal Limits on Lead in Paint</w:t>
      </w:r>
      <w:r w:rsidRPr="00551B90">
        <w:t xml:space="preserve"> </w:t>
      </w:r>
      <w:r w:rsidR="008155A0">
        <w:t xml:space="preserve">held at the </w:t>
      </w:r>
      <w:r w:rsidRPr="00551B90">
        <w:t xml:space="preserve">United Nations Conference Centre, Addis Ababa, </w:t>
      </w:r>
      <w:r w:rsidR="008155A0">
        <w:t xml:space="preserve">on </w:t>
      </w:r>
      <w:r w:rsidR="008155A0" w:rsidRPr="00DA4260">
        <w:t>2</w:t>
      </w:r>
      <w:r w:rsidR="008155A0">
        <w:t xml:space="preserve"> and </w:t>
      </w:r>
      <w:r w:rsidR="008155A0" w:rsidRPr="00DA4260">
        <w:t xml:space="preserve">3 December 2015 </w:t>
      </w:r>
      <w:r w:rsidRPr="00551B90">
        <w:t xml:space="preserve"> </w:t>
      </w:r>
      <w:r w:rsidR="008155A0">
        <w:t>(</w:t>
      </w:r>
      <w:hyperlink r:id="rId14" w:history="1">
        <w:r w:rsidRPr="001B4318">
          <w:rPr>
            <w:rStyle w:val="Hyperlink"/>
            <w:lang w:val="en-US" w:eastAsia="en-US"/>
          </w:rPr>
          <w:t>http://www.unep.org/chemicalsandwaste/LeadandCadmium/LeadPaintAlliance/MeetingsandEvents/EastAfricaSub-regionalWorkshop/tabid/1060793/Default.aspx</w:t>
        </w:r>
      </w:hyperlink>
      <w:r w:rsidRPr="00551B90">
        <w:t xml:space="preserve"> ). It also includes information on the </w:t>
      </w:r>
      <w:r w:rsidRPr="001B4318">
        <w:rPr>
          <w:iCs/>
        </w:rPr>
        <w:t>sound management of used lead</w:t>
      </w:r>
      <w:r w:rsidR="00C44F14" w:rsidRPr="001B4318">
        <w:rPr>
          <w:iCs/>
        </w:rPr>
        <w:t>-</w:t>
      </w:r>
      <w:r w:rsidRPr="001B4318">
        <w:rPr>
          <w:iCs/>
        </w:rPr>
        <w:t>acid batteries</w:t>
      </w:r>
      <w:r w:rsidRPr="00551B90">
        <w:t xml:space="preserve"> presented at a workshop held in Osaka, Japan</w:t>
      </w:r>
      <w:r w:rsidR="00C44F14" w:rsidRPr="001B4318">
        <w:t>,</w:t>
      </w:r>
      <w:r w:rsidRPr="00551B90">
        <w:t xml:space="preserve"> in November 2015, and posted on the website for the workshop </w:t>
      </w:r>
      <w:r w:rsidR="008155A0">
        <w:t>(</w:t>
      </w:r>
      <w:hyperlink r:id="rId15" w:history="1">
        <w:r w:rsidRPr="001B4318">
          <w:rPr>
            <w:rStyle w:val="Hyperlink"/>
            <w:lang w:val="en-US" w:eastAsia="en-US"/>
          </w:rPr>
          <w:t>http://www.unep.org/chemicalsandwaste/LeadandCadmium/PbandCdBatteries/ULABWorkshop-Osaka/tabid/1060855/Default.aspx</w:t>
        </w:r>
      </w:hyperlink>
      <w:r w:rsidR="008155A0">
        <w:t>)</w:t>
      </w:r>
      <w:r w:rsidR="009237F2" w:rsidRPr="001B4318">
        <w:t>.</w:t>
      </w:r>
    </w:p>
    <w:p w:rsidR="00B10509" w:rsidRPr="004178D0" w:rsidRDefault="00B10509" w:rsidP="004178D0">
      <w:pPr>
        <w:pStyle w:val="CH2"/>
      </w:pPr>
      <w:r w:rsidRPr="004178D0">
        <w:tab/>
        <w:t>C.</w:t>
      </w:r>
      <w:r w:rsidRPr="004178D0">
        <w:tab/>
      </w:r>
      <w:r w:rsidR="003F1EEB" w:rsidRPr="001B4318">
        <w:t>C</w:t>
      </w:r>
      <w:r w:rsidRPr="00551B90">
        <w:t>all for information</w:t>
      </w:r>
    </w:p>
    <w:p w:rsidR="00B10509" w:rsidRDefault="00B10509" w:rsidP="00913B1C">
      <w:pPr>
        <w:pStyle w:val="Normalnumber"/>
      </w:pPr>
      <w:r>
        <w:t>In response to Governing Council decision 27/12 II, UNEP sought technical input and submissions</w:t>
      </w:r>
      <w:r w:rsidR="003F1EEB">
        <w:t xml:space="preserve"> of information</w:t>
      </w:r>
      <w:r>
        <w:t xml:space="preserve"> from Governments and other stakeholders with regard to the compilation of information on techniques for emissions abatement and on the possibility of replacing lead and cadmium with less hazardous substances or techniques.  </w:t>
      </w:r>
    </w:p>
    <w:p w:rsidR="00B10509" w:rsidRPr="001B4318" w:rsidRDefault="003F1EEB" w:rsidP="00913B1C">
      <w:pPr>
        <w:pStyle w:val="Normalnumber"/>
      </w:pPr>
      <w:r>
        <w:t>An i</w:t>
      </w:r>
      <w:r w:rsidR="00B10509">
        <w:t xml:space="preserve">nitial request was </w:t>
      </w:r>
      <w:r>
        <w:t>sent in</w:t>
      </w:r>
      <w:r w:rsidR="00B10509">
        <w:t xml:space="preserve"> a letter</w:t>
      </w:r>
      <w:r>
        <w:t>, dated 14 April 2014,</w:t>
      </w:r>
      <w:r w:rsidR="00B10509">
        <w:t xml:space="preserve"> from the Head of the Chemicals </w:t>
      </w:r>
      <w:r w:rsidR="00A707E8">
        <w:t xml:space="preserve">and Waste </w:t>
      </w:r>
      <w:r w:rsidR="00B10509">
        <w:t xml:space="preserve">Branch of the UNEP Division of Technology, Industry and Economics, to all </w:t>
      </w:r>
      <w:r>
        <w:t xml:space="preserve">the Strategic Approach to </w:t>
      </w:r>
      <w:r w:rsidRPr="00551B90">
        <w:t xml:space="preserve">International Chemicals Management </w:t>
      </w:r>
      <w:r w:rsidRPr="00F60C2F">
        <w:t>f</w:t>
      </w:r>
      <w:r w:rsidR="00B10509" w:rsidRPr="00FD5362">
        <w:t xml:space="preserve">ocal </w:t>
      </w:r>
      <w:r w:rsidRPr="00923516">
        <w:t>p</w:t>
      </w:r>
      <w:r w:rsidR="00B10509" w:rsidRPr="00C61356">
        <w:t>oints</w:t>
      </w:r>
      <w:r w:rsidRPr="006C0D2A">
        <w:t>, copied</w:t>
      </w:r>
      <w:r w:rsidR="00B10509" w:rsidRPr="00A32350">
        <w:t xml:space="preserve"> to all </w:t>
      </w:r>
      <w:r w:rsidRPr="00A32350">
        <w:t xml:space="preserve">the </w:t>
      </w:r>
      <w:r w:rsidRPr="00ED316B">
        <w:t>p</w:t>
      </w:r>
      <w:r w:rsidR="00B10509" w:rsidRPr="002C7143">
        <w:t xml:space="preserve">ermanent </w:t>
      </w:r>
      <w:r w:rsidRPr="001A26E2">
        <w:t>m</w:t>
      </w:r>
      <w:r w:rsidR="00B10509" w:rsidRPr="001B4318">
        <w:t>issions in Geneva and in Nairobi and</w:t>
      </w:r>
      <w:r w:rsidRPr="001B4318">
        <w:t xml:space="preserve"> to members of the</w:t>
      </w:r>
      <w:r w:rsidR="00B10509" w:rsidRPr="001B4318">
        <w:t xml:space="preserve"> </w:t>
      </w:r>
      <w:r w:rsidR="00155106" w:rsidRPr="001B4318">
        <w:t xml:space="preserve">working group on </w:t>
      </w:r>
      <w:r w:rsidRPr="001B4318">
        <w:t>lead and cadmium</w:t>
      </w:r>
      <w:r w:rsidR="00B10509" w:rsidRPr="001B4318">
        <w:t>.</w:t>
      </w:r>
    </w:p>
    <w:p w:rsidR="00B10509" w:rsidRDefault="00B10509" w:rsidP="00913B1C">
      <w:pPr>
        <w:pStyle w:val="Normalnumber"/>
      </w:pPr>
      <w:r>
        <w:t xml:space="preserve">In response to </w:t>
      </w:r>
      <w:r w:rsidR="003F1EEB">
        <w:t>r</w:t>
      </w:r>
      <w:r>
        <w:t xml:space="preserve">esolution 1/5 VI on lead and cadmium, UNEP extended the deadline </w:t>
      </w:r>
      <w:r w:rsidR="003F1EEB">
        <w:t>for submission of</w:t>
      </w:r>
      <w:r>
        <w:t xml:space="preserve"> further information in relation to the compilation of information. </w:t>
      </w:r>
    </w:p>
    <w:p w:rsidR="00B10509" w:rsidRDefault="00B10509" w:rsidP="00913B1C">
      <w:pPr>
        <w:pStyle w:val="Normalnumber"/>
      </w:pPr>
      <w:r>
        <w:t>As of 6 January 2016, a total of 19 Governments</w:t>
      </w:r>
      <w:r w:rsidR="003F1EEB">
        <w:t xml:space="preserve"> and </w:t>
      </w:r>
      <w:r>
        <w:t xml:space="preserve">the European Union and its Member States, 1 </w:t>
      </w:r>
      <w:r w:rsidR="003F1EEB">
        <w:t>i</w:t>
      </w:r>
      <w:r>
        <w:t>ntergovernmental organization, 4 non-governmental organizations and 2 other organization</w:t>
      </w:r>
      <w:r w:rsidR="003F1EEB">
        <w:t>s</w:t>
      </w:r>
      <w:r>
        <w:t xml:space="preserve"> </w:t>
      </w:r>
      <w:r w:rsidR="003F1EEB">
        <w:t xml:space="preserve">had </w:t>
      </w:r>
      <w:r>
        <w:t>submitted information with regard to the compilation of information</w:t>
      </w:r>
      <w:r w:rsidR="003F1EEB">
        <w:t>.</w:t>
      </w:r>
      <w:r>
        <w:t xml:space="preserve">  </w:t>
      </w:r>
    </w:p>
    <w:p w:rsidR="00B10509" w:rsidRDefault="00B10509" w:rsidP="00913B1C">
      <w:pPr>
        <w:pStyle w:val="Normalnumber"/>
        <w:rPr>
          <w:lang w:eastAsia="da-DK"/>
        </w:rPr>
      </w:pPr>
      <w:r>
        <w:rPr>
          <w:lang w:eastAsia="da-DK"/>
        </w:rPr>
        <w:t xml:space="preserve">The majority of the submissions were received in English, with a few exceptions received in other official languages of the United Nations. All </w:t>
      </w:r>
      <w:r w:rsidR="00A707E8">
        <w:rPr>
          <w:lang w:eastAsia="da-DK"/>
        </w:rPr>
        <w:t xml:space="preserve">the </w:t>
      </w:r>
      <w:r>
        <w:rPr>
          <w:lang w:eastAsia="da-DK"/>
        </w:rPr>
        <w:t xml:space="preserve">information received by the Chemicals and Waste Branch has been made available on the </w:t>
      </w:r>
      <w:r w:rsidR="00A707E8">
        <w:rPr>
          <w:lang w:eastAsia="da-DK"/>
        </w:rPr>
        <w:t>lead and cadmium activit</w:t>
      </w:r>
      <w:r>
        <w:rPr>
          <w:lang w:eastAsia="da-DK"/>
        </w:rPr>
        <w:t xml:space="preserve">ies website, and wherever </w:t>
      </w:r>
      <w:r w:rsidR="00A707E8">
        <w:rPr>
          <w:lang w:eastAsia="da-DK"/>
        </w:rPr>
        <w:t xml:space="preserve">necessary and </w:t>
      </w:r>
      <w:r>
        <w:rPr>
          <w:lang w:eastAsia="da-DK"/>
        </w:rPr>
        <w:t>possible an English translation</w:t>
      </w:r>
      <w:r w:rsidR="00A707E8">
        <w:rPr>
          <w:lang w:eastAsia="da-DK"/>
        </w:rPr>
        <w:t xml:space="preserve"> has been made available</w:t>
      </w:r>
      <w:r>
        <w:rPr>
          <w:lang w:eastAsia="da-DK"/>
        </w:rPr>
        <w:t xml:space="preserve">. The information </w:t>
      </w:r>
      <w:r w:rsidR="00A707E8">
        <w:rPr>
          <w:lang w:eastAsia="da-DK"/>
        </w:rPr>
        <w:t>submitted is available at</w:t>
      </w:r>
      <w:r>
        <w:rPr>
          <w:lang w:eastAsia="da-DK"/>
        </w:rPr>
        <w:t xml:space="preserve">: </w:t>
      </w:r>
      <w:r w:rsidRPr="00551B90">
        <w:rPr>
          <w:lang w:eastAsia="da-DK"/>
        </w:rPr>
        <w:t>(</w:t>
      </w:r>
      <w:hyperlink r:id="rId16" w:history="1">
        <w:r w:rsidRPr="001B4318">
          <w:rPr>
            <w:rStyle w:val="Hyperlink"/>
            <w:lang w:val="en-US" w:eastAsia="da-DK"/>
          </w:rPr>
          <w:t>http://www.unep.org/chemicalsandwaste/LeadCadmium/Publications/DevelopmentofTechniquesforEmissions/tabid/838787/Default.aspx</w:t>
        </w:r>
      </w:hyperlink>
      <w:r w:rsidRPr="00F60C2F">
        <w:rPr>
          <w:lang w:eastAsia="da-DK"/>
        </w:rPr>
        <w:t>).</w:t>
      </w:r>
      <w:r>
        <w:rPr>
          <w:lang w:eastAsia="da-DK"/>
        </w:rPr>
        <w:t xml:space="preserve">   </w:t>
      </w:r>
    </w:p>
    <w:p w:rsidR="00B10509" w:rsidRDefault="00B10509" w:rsidP="004178D0">
      <w:pPr>
        <w:pStyle w:val="CH2"/>
      </w:pPr>
      <w:r>
        <w:tab/>
        <w:t>D.</w:t>
      </w:r>
      <w:r>
        <w:tab/>
        <w:t xml:space="preserve">Overview of the </w:t>
      </w:r>
      <w:r w:rsidR="00A707E8">
        <w:t>s</w:t>
      </w:r>
      <w:r>
        <w:t>ubmissions</w:t>
      </w:r>
    </w:p>
    <w:p w:rsidR="00B10509" w:rsidRDefault="00B10509" w:rsidP="004178D0">
      <w:pPr>
        <w:pStyle w:val="Normalnumber"/>
        <w:tabs>
          <w:tab w:val="num" w:pos="720"/>
        </w:tabs>
      </w:pPr>
      <w:r>
        <w:t>The submissions received by the end of 2015 are summari</w:t>
      </w:r>
      <w:r w:rsidR="00A707E8">
        <w:t>z</w:t>
      </w:r>
      <w:r>
        <w:t xml:space="preserve">ed in the annex to the present </w:t>
      </w:r>
      <w:r w:rsidR="00A707E8">
        <w:t>note</w:t>
      </w:r>
      <w:r>
        <w:t xml:space="preserve">. </w:t>
      </w:r>
    </w:p>
    <w:p w:rsidR="00B10509" w:rsidRDefault="00B10509" w:rsidP="004178D0">
      <w:pPr>
        <w:pStyle w:val="Normalnumber"/>
        <w:tabs>
          <w:tab w:val="num" w:pos="720"/>
        </w:tabs>
      </w:pPr>
      <w:r>
        <w:t xml:space="preserve">Submissions from </w:t>
      </w:r>
      <w:r w:rsidR="00A707E8">
        <w:t>G</w:t>
      </w:r>
      <w:r>
        <w:t>overnments and other stakeholders included information on</w:t>
      </w:r>
      <w:r w:rsidR="00A707E8">
        <w:t xml:space="preserve"> (a)</w:t>
      </w:r>
      <w:r>
        <w:t xml:space="preserve"> government policies and regulations on the management of lead and cadmium, </w:t>
      </w:r>
      <w:r w:rsidR="00A707E8">
        <w:t xml:space="preserve">(b) </w:t>
      </w:r>
      <w:r>
        <w:t>technologies and alternatives to reduce their use and emissions, and (</w:t>
      </w:r>
      <w:r w:rsidR="00A707E8">
        <w:t>c</w:t>
      </w:r>
      <w:r>
        <w:t>) inventories and risk assessments.</w:t>
      </w:r>
    </w:p>
    <w:p w:rsidR="00B10509" w:rsidRDefault="00B10509" w:rsidP="004178D0">
      <w:pPr>
        <w:pStyle w:val="Normalnumber"/>
        <w:tabs>
          <w:tab w:val="num" w:pos="720"/>
        </w:tabs>
      </w:pPr>
      <w:r w:rsidRPr="004178D0">
        <w:t xml:space="preserve">A number of </w:t>
      </w:r>
      <w:r w:rsidR="00A707E8">
        <w:t>G</w:t>
      </w:r>
      <w:r w:rsidRPr="004178D0">
        <w:t xml:space="preserve">overnments </w:t>
      </w:r>
      <w:r w:rsidR="00A707E8">
        <w:t>provided information</w:t>
      </w:r>
      <w:r w:rsidR="00A707E8" w:rsidRPr="004178D0">
        <w:t xml:space="preserve"> </w:t>
      </w:r>
      <w:r w:rsidRPr="004178D0">
        <w:t>on their regulation</w:t>
      </w:r>
      <w:r w:rsidR="00A707E8">
        <w:t>s</w:t>
      </w:r>
      <w:r w:rsidRPr="004178D0">
        <w:t>, product standard</w:t>
      </w:r>
      <w:r w:rsidR="00A707E8">
        <w:t>s</w:t>
      </w:r>
      <w:r w:rsidRPr="004178D0">
        <w:t xml:space="preserve"> and voluntary measures regarding lead and cadmium</w:t>
      </w:r>
      <w:r w:rsidR="00A707E8">
        <w:t xml:space="preserve">, including </w:t>
      </w:r>
      <w:r w:rsidRPr="004178D0">
        <w:t>the following:</w:t>
      </w:r>
    </w:p>
    <w:p w:rsidR="00B10509" w:rsidRDefault="00B10509" w:rsidP="004178D0">
      <w:pPr>
        <w:pStyle w:val="Normalnumber"/>
        <w:numPr>
          <w:ilvl w:val="1"/>
          <w:numId w:val="4"/>
        </w:numPr>
      </w:pPr>
      <w:r w:rsidRPr="004178D0">
        <w:t>Restriction of lead in automobile fuels;</w:t>
      </w:r>
    </w:p>
    <w:p w:rsidR="00B10509" w:rsidRDefault="00B10509" w:rsidP="004178D0">
      <w:pPr>
        <w:pStyle w:val="Normalnumber"/>
        <w:numPr>
          <w:ilvl w:val="1"/>
          <w:numId w:val="4"/>
        </w:numPr>
      </w:pPr>
      <w:r w:rsidRPr="004178D0">
        <w:t>Restriction of lead and cadmium in paints, batteries, plastics stabilizers, automobiles, electric and electronic equipment, jewellery, ceramics</w:t>
      </w:r>
      <w:r w:rsidR="00472876">
        <w:t xml:space="preserve"> and</w:t>
      </w:r>
      <w:r w:rsidRPr="004178D0">
        <w:t xml:space="preserve"> toys;</w:t>
      </w:r>
    </w:p>
    <w:p w:rsidR="00B10509" w:rsidRPr="00551B90" w:rsidRDefault="00B10509" w:rsidP="004178D0">
      <w:pPr>
        <w:pStyle w:val="Normalnumber"/>
        <w:numPr>
          <w:ilvl w:val="1"/>
          <w:numId w:val="4"/>
        </w:numPr>
      </w:pPr>
      <w:r w:rsidRPr="004178D0">
        <w:t xml:space="preserve">Best </w:t>
      </w:r>
      <w:r w:rsidRPr="00551B90">
        <w:t>environmental practices in mining;</w:t>
      </w:r>
    </w:p>
    <w:p w:rsidR="00B10509" w:rsidRPr="00A32350" w:rsidRDefault="00B10509" w:rsidP="004178D0">
      <w:pPr>
        <w:pStyle w:val="Normalnumber"/>
        <w:numPr>
          <w:ilvl w:val="1"/>
          <w:numId w:val="4"/>
        </w:numPr>
      </w:pPr>
      <w:r w:rsidRPr="00F60C2F">
        <w:t xml:space="preserve">Regulation of </w:t>
      </w:r>
      <w:r w:rsidRPr="00564DA3">
        <w:t>emission</w:t>
      </w:r>
      <w:r w:rsidR="00472876" w:rsidRPr="00923516">
        <w:t>s to air</w:t>
      </w:r>
      <w:r w:rsidRPr="00C61356">
        <w:t xml:space="preserve"> and </w:t>
      </w:r>
      <w:r w:rsidRPr="006C0D2A">
        <w:t>discharge</w:t>
      </w:r>
      <w:r w:rsidR="00155106" w:rsidRPr="00C570E1">
        <w:t>s</w:t>
      </w:r>
      <w:r w:rsidR="00472876" w:rsidRPr="00A32350">
        <w:t xml:space="preserve"> to water</w:t>
      </w:r>
      <w:r w:rsidRPr="00A32350">
        <w:t xml:space="preserve"> of lead and cadmium;</w:t>
      </w:r>
    </w:p>
    <w:p w:rsidR="00B10509" w:rsidRPr="00ED316B" w:rsidRDefault="00B10509" w:rsidP="004178D0">
      <w:pPr>
        <w:pStyle w:val="Normalnumber"/>
        <w:numPr>
          <w:ilvl w:val="1"/>
          <w:numId w:val="4"/>
        </w:numPr>
      </w:pPr>
      <w:r w:rsidRPr="00ED316B">
        <w:t>Environmental quality standards;</w:t>
      </w:r>
    </w:p>
    <w:p w:rsidR="00B10509" w:rsidRDefault="00B10509" w:rsidP="004178D0">
      <w:pPr>
        <w:pStyle w:val="Normalnumber"/>
        <w:numPr>
          <w:ilvl w:val="1"/>
          <w:numId w:val="4"/>
        </w:numPr>
      </w:pPr>
      <w:r w:rsidRPr="004178D0">
        <w:lastRenderedPageBreak/>
        <w:t>Management of hazardous waste</w:t>
      </w:r>
      <w:r w:rsidR="00472876">
        <w:t>s</w:t>
      </w:r>
      <w:r w:rsidRPr="004178D0">
        <w:t>;</w:t>
      </w:r>
    </w:p>
    <w:p w:rsidR="00B10509" w:rsidRPr="00FD5362" w:rsidRDefault="00B10509" w:rsidP="004178D0">
      <w:pPr>
        <w:pStyle w:val="Normalnumber"/>
        <w:numPr>
          <w:ilvl w:val="1"/>
          <w:numId w:val="4"/>
        </w:numPr>
      </w:pPr>
      <w:r w:rsidRPr="004178D0">
        <w:t xml:space="preserve">Battery recycling, including environmentally sound management of </w:t>
      </w:r>
      <w:r w:rsidRPr="00551B90">
        <w:t>used lead</w:t>
      </w:r>
      <w:r w:rsidR="00155106" w:rsidRPr="00551B90">
        <w:t>-</w:t>
      </w:r>
      <w:r w:rsidRPr="00FD5362">
        <w:t>acid batteries.</w:t>
      </w:r>
    </w:p>
    <w:p w:rsidR="00B10509" w:rsidRDefault="00B10509" w:rsidP="004178D0">
      <w:pPr>
        <w:pStyle w:val="Normalnumber"/>
        <w:tabs>
          <w:tab w:val="num" w:pos="720"/>
        </w:tabs>
      </w:pPr>
      <w:r>
        <w:t xml:space="preserve">The European Union and its member </w:t>
      </w:r>
      <w:r w:rsidR="00472876">
        <w:t>S</w:t>
      </w:r>
      <w:r>
        <w:t xml:space="preserve">tates submitted the </w:t>
      </w:r>
      <w:r w:rsidR="00AC24E2">
        <w:t xml:space="preserve">best available technology reference document </w:t>
      </w:r>
      <w:r>
        <w:t xml:space="preserve">describing emission control technologies for </w:t>
      </w:r>
      <w:r w:rsidRPr="004178D0">
        <w:t xml:space="preserve">waste incineration, cement, lime and magnesium oxide production, glass manufacturing, non-ferrous metals production, ferrous metals processing, iron and steel production, and </w:t>
      </w:r>
      <w:proofErr w:type="spellStart"/>
      <w:r w:rsidRPr="004178D0">
        <w:t>smitheries</w:t>
      </w:r>
      <w:proofErr w:type="spellEnd"/>
      <w:r w:rsidRPr="004178D0">
        <w:t xml:space="preserve"> and foundries</w:t>
      </w:r>
      <w:r w:rsidR="00AC24E2">
        <w:t>.</w:t>
      </w:r>
      <w:r w:rsidRPr="004178D0">
        <w:t xml:space="preserve"> Their other submissions included information on technology to reduce or replace the use of lead and cadmium in products and processes such as batteries, pigments, stabili</w:t>
      </w:r>
      <w:r w:rsidR="00AC24E2">
        <w:t>z</w:t>
      </w:r>
      <w:r w:rsidRPr="004178D0">
        <w:t>ers</w:t>
      </w:r>
      <w:r w:rsidR="00AC24E2">
        <w:t xml:space="preserve"> and</w:t>
      </w:r>
      <w:r w:rsidRPr="004178D0">
        <w:t xml:space="preserve"> </w:t>
      </w:r>
      <w:r>
        <w:t xml:space="preserve">plating. </w:t>
      </w:r>
      <w:r w:rsidR="00AC24E2">
        <w:t xml:space="preserve">A number of </w:t>
      </w:r>
      <w:r>
        <w:t>other countries and organizations submitted information on these specific technologies.</w:t>
      </w:r>
    </w:p>
    <w:p w:rsidR="00B10509" w:rsidRDefault="00B10509" w:rsidP="004178D0">
      <w:pPr>
        <w:pStyle w:val="Normalnumber"/>
        <w:tabs>
          <w:tab w:val="num" w:pos="720"/>
        </w:tabs>
      </w:pPr>
      <w:r w:rsidRPr="004178D0">
        <w:t>Governments also reported on the risk assessments conducted in regulatory and voluntary processes, and their work on establishing inventories of use and emission</w:t>
      </w:r>
      <w:r w:rsidR="00AC24E2">
        <w:t>s</w:t>
      </w:r>
      <w:r w:rsidRPr="004178D0">
        <w:t xml:space="preserve"> of lead and cadmium.</w:t>
      </w:r>
    </w:p>
    <w:p w:rsidR="00B10509" w:rsidRDefault="00B10509" w:rsidP="004178D0">
      <w:pPr>
        <w:pStyle w:val="Normalnumber"/>
        <w:tabs>
          <w:tab w:val="num" w:pos="720"/>
        </w:tabs>
      </w:pPr>
      <w:r w:rsidRPr="004178D0">
        <w:t>Some submissions also</w:t>
      </w:r>
      <w:r w:rsidR="00AC24E2">
        <w:t xml:space="preserve"> highlighted the</w:t>
      </w:r>
      <w:r w:rsidRPr="004178D0">
        <w:t xml:space="preserve"> health and environmental risk</w:t>
      </w:r>
      <w:r w:rsidR="00AC24E2">
        <w:t>s</w:t>
      </w:r>
      <w:r w:rsidRPr="004178D0">
        <w:t xml:space="preserve"> posed by the recycling of used lead</w:t>
      </w:r>
      <w:r w:rsidR="00AC24E2">
        <w:t>-</w:t>
      </w:r>
      <w:r w:rsidRPr="004178D0">
        <w:t>acid batteries, the production of batteries, and other use</w:t>
      </w:r>
      <w:r w:rsidR="00AC24E2">
        <w:t>s</w:t>
      </w:r>
      <w:r w:rsidRPr="004178D0">
        <w:t xml:space="preserve"> of lead and cadmium.</w:t>
      </w:r>
    </w:p>
    <w:p w:rsidR="00B10509" w:rsidRDefault="00B10509" w:rsidP="004178D0">
      <w:pPr>
        <w:pStyle w:val="CH2"/>
      </w:pPr>
      <w:r>
        <w:tab/>
        <w:t>E.</w:t>
      </w:r>
      <w:r>
        <w:tab/>
        <w:t>Future considerations</w:t>
      </w:r>
    </w:p>
    <w:p w:rsidR="00B10509" w:rsidRDefault="00B10509" w:rsidP="004178D0">
      <w:pPr>
        <w:pStyle w:val="Normalnumber"/>
        <w:tabs>
          <w:tab w:val="num" w:pos="720"/>
        </w:tabs>
      </w:pPr>
      <w:r>
        <w:t>The survey provided an initial overview of policies, technologies and alternatives contributing to the assessment and reduction of the risk</w:t>
      </w:r>
      <w:r w:rsidR="00FC26FA">
        <w:t>s</w:t>
      </w:r>
      <w:r>
        <w:t xml:space="preserve"> posed by lead and cadmium </w:t>
      </w:r>
      <w:r w:rsidR="00FC26FA">
        <w:t xml:space="preserve">for </w:t>
      </w:r>
      <w:r>
        <w:t xml:space="preserve">human health and the environment. Further submissions are encouraged and will be added to the full compilation </w:t>
      </w:r>
      <w:r w:rsidR="00FC26FA">
        <w:t xml:space="preserve">which </w:t>
      </w:r>
      <w:r>
        <w:t xml:space="preserve">is available on the website of the UNEP </w:t>
      </w:r>
      <w:r w:rsidR="008E0EE1">
        <w:t>lead and cadmium programme</w:t>
      </w:r>
      <w:r>
        <w:t xml:space="preserve">. </w:t>
      </w:r>
    </w:p>
    <w:p w:rsidR="00B10509" w:rsidRDefault="00B10509" w:rsidP="004178D0">
      <w:pPr>
        <w:pStyle w:val="Normalnumber"/>
        <w:tabs>
          <w:tab w:val="num" w:pos="720"/>
        </w:tabs>
      </w:pPr>
      <w:r>
        <w:t xml:space="preserve">Various submissions suggested that information contained in the </w:t>
      </w:r>
      <w:r w:rsidR="008E0EE1">
        <w:t>final reviews of scientific information on lead and cadmium</w:t>
      </w:r>
      <w:r>
        <w:t xml:space="preserve"> published by UNEP in 2010 could be examined to identify further techniques for emission abatement and the possibility of replacing lead and cadmium with less hazardous substances or techniques. </w:t>
      </w:r>
    </w:p>
    <w:p w:rsidR="00B10509" w:rsidRDefault="00B10509" w:rsidP="004178D0">
      <w:pPr>
        <w:pStyle w:val="Normalnumber"/>
        <w:tabs>
          <w:tab w:val="num" w:pos="720"/>
        </w:tabs>
      </w:pPr>
      <w:r>
        <w:t>It should be noted that UNEP and WHO conducted a review of government regulations on lead in paint submitted to the International Conference on Chemicals Management</w:t>
      </w:r>
      <w:r w:rsidR="008E0EE1">
        <w:t xml:space="preserve"> at its fourth session</w:t>
      </w:r>
      <w:r>
        <w:t xml:space="preserve"> </w:t>
      </w:r>
      <w:r w:rsidR="008E0EE1">
        <w:t xml:space="preserve">in a note by the secretariat entitled “Status of the phasing out of lead in paint by countries: 2015 global report” </w:t>
      </w:r>
      <w:r>
        <w:t xml:space="preserve">(SAICM/ICCM.4/INF/25), and that UNEP plans to publish a further analysis of such regulatory measures. The Partnership for Clean Fuels and Vehicles reviews regulations on lead in automobile fuels. </w:t>
      </w:r>
      <w:r w:rsidR="008E0EE1">
        <w:t>A g</w:t>
      </w:r>
      <w:r>
        <w:t xml:space="preserve">lobal review of regulations </w:t>
      </w:r>
      <w:r w:rsidR="008E0EE1">
        <w:t xml:space="preserve">relating to </w:t>
      </w:r>
      <w:r>
        <w:t xml:space="preserve">other uses and emissions of lead and cadmium has not been conducted </w:t>
      </w:r>
      <w:r w:rsidR="008E0EE1">
        <w:t>to date</w:t>
      </w:r>
      <w:r>
        <w:t>.</w:t>
      </w:r>
    </w:p>
    <w:p w:rsidR="00B10509" w:rsidRDefault="00B10509" w:rsidP="004178D0">
      <w:pPr>
        <w:pStyle w:val="Normalnumber"/>
        <w:tabs>
          <w:tab w:val="num" w:pos="720"/>
        </w:tabs>
      </w:pPr>
      <w:r>
        <w:t xml:space="preserve">Building on the survey, possible follow-up activities </w:t>
      </w:r>
      <w:r w:rsidR="00FC26FA">
        <w:t>that might</w:t>
      </w:r>
      <w:r>
        <w:t xml:space="preserve"> be considered</w:t>
      </w:r>
      <w:r w:rsidR="00FC26FA">
        <w:t xml:space="preserve"> include</w:t>
      </w:r>
      <w:r>
        <w:t>:</w:t>
      </w:r>
    </w:p>
    <w:p w:rsidR="00B10509" w:rsidRDefault="00B10509" w:rsidP="004178D0">
      <w:pPr>
        <w:pStyle w:val="Normalnumber"/>
        <w:numPr>
          <w:ilvl w:val="1"/>
          <w:numId w:val="4"/>
        </w:numPr>
      </w:pPr>
      <w:r>
        <w:t>Collecting further scientific and technical</w:t>
      </w:r>
      <w:r w:rsidR="00B06914">
        <w:t xml:space="preserve"> </w:t>
      </w:r>
      <w:r>
        <w:t>information</w:t>
      </w:r>
      <w:r w:rsidR="008564C4">
        <w:t xml:space="preserve">, for example </w:t>
      </w:r>
      <w:r w:rsidR="00FC26FA">
        <w:t xml:space="preserve">on </w:t>
      </w:r>
      <w:r>
        <w:t>use</w:t>
      </w:r>
      <w:r w:rsidR="00FC26FA">
        <w:t>s</w:t>
      </w:r>
      <w:r>
        <w:t xml:space="preserve"> and emission</w:t>
      </w:r>
      <w:r w:rsidR="00FC26FA">
        <w:t>s</w:t>
      </w:r>
      <w:r>
        <w:t xml:space="preserve"> of lead and cadmium, human and environmental exposure, reduction technologies and alternatives, and analysing it to update of </w:t>
      </w:r>
      <w:r w:rsidRPr="00551B90">
        <w:t xml:space="preserve">the </w:t>
      </w:r>
      <w:r w:rsidR="008564C4" w:rsidRPr="00551B90">
        <w:t>final review</w:t>
      </w:r>
      <w:r w:rsidR="008564C4" w:rsidRPr="00F60C2F">
        <w:t>s</w:t>
      </w:r>
      <w:r w:rsidR="008564C4" w:rsidRPr="00FD5362">
        <w:t xml:space="preserve"> of scientific information</w:t>
      </w:r>
      <w:r w:rsidR="008564C4">
        <w:t xml:space="preserve"> on lead and cadmium</w:t>
      </w:r>
      <w:r>
        <w:t>;</w:t>
      </w:r>
    </w:p>
    <w:p w:rsidR="00B10509" w:rsidRDefault="00B10509" w:rsidP="004178D0">
      <w:pPr>
        <w:pStyle w:val="Normalnumber"/>
        <w:numPr>
          <w:ilvl w:val="1"/>
          <w:numId w:val="4"/>
        </w:numPr>
      </w:pPr>
      <w:r>
        <w:t>Conducting a survey of regulations and voluntary measures on the use of lead and cadmium in products and processes, environmental emission</w:t>
      </w:r>
      <w:r w:rsidR="008564C4">
        <w:t>s</w:t>
      </w:r>
      <w:r>
        <w:t xml:space="preserve"> and waste management with a view to shar</w:t>
      </w:r>
      <w:r w:rsidR="0045551E">
        <w:t>ing</w:t>
      </w:r>
      <w:r>
        <w:t xml:space="preserve"> knowledge and encourag</w:t>
      </w:r>
      <w:r w:rsidR="0045551E">
        <w:t>ing</w:t>
      </w:r>
      <w:r>
        <w:t xml:space="preserve"> </w:t>
      </w:r>
      <w:r w:rsidR="0045551E">
        <w:t xml:space="preserve">the </w:t>
      </w:r>
      <w:r>
        <w:t>replicat</w:t>
      </w:r>
      <w:r w:rsidR="0045551E">
        <w:t>ion of</w:t>
      </w:r>
      <w:r>
        <w:t xml:space="preserve"> good practices; </w:t>
      </w:r>
    </w:p>
    <w:p w:rsidR="00B10509" w:rsidRDefault="00B10509" w:rsidP="004178D0">
      <w:pPr>
        <w:pStyle w:val="Normalnumber"/>
        <w:numPr>
          <w:ilvl w:val="1"/>
          <w:numId w:val="4"/>
        </w:numPr>
      </w:pPr>
      <w:r>
        <w:t>Establishing a partnership to disseminate technologies and alternatives to reduce the risk posed by lead and cadmium.</w:t>
      </w:r>
    </w:p>
    <w:p w:rsidR="00B10509" w:rsidRDefault="00B10509" w:rsidP="004178D0">
      <w:pPr>
        <w:pStyle w:val="Normalnumber"/>
        <w:tabs>
          <w:tab w:val="num" w:pos="720"/>
        </w:tabs>
      </w:pPr>
      <w:r>
        <w:t xml:space="preserve">Governments and stakeholders are invited to consider </w:t>
      </w:r>
      <w:r w:rsidR="0045551E">
        <w:t xml:space="preserve">the </w:t>
      </w:r>
      <w:r>
        <w:t>above-mentioned or any other possible follow-up activities.</w:t>
      </w:r>
    </w:p>
    <w:p w:rsidR="0045551E" w:rsidRPr="006C5EF8" w:rsidRDefault="0045551E" w:rsidP="006C5EF8">
      <w:pPr>
        <w:pStyle w:val="Normalnumber"/>
        <w:numPr>
          <w:ilvl w:val="0"/>
          <w:numId w:val="0"/>
        </w:numPr>
        <w:ind w:left="1247"/>
        <w:rPr>
          <w:b/>
          <w:sz w:val="28"/>
          <w:szCs w:val="28"/>
        </w:rPr>
      </w:pPr>
      <w:r>
        <w:br w:type="page"/>
      </w:r>
      <w:r w:rsidRPr="006C5EF8">
        <w:rPr>
          <w:b/>
          <w:sz w:val="28"/>
          <w:szCs w:val="28"/>
        </w:rPr>
        <w:lastRenderedPageBreak/>
        <w:t>Annex</w:t>
      </w:r>
    </w:p>
    <w:p w:rsidR="00B10509" w:rsidRPr="004178D0" w:rsidRDefault="00B10509" w:rsidP="004178D0">
      <w:pPr>
        <w:pStyle w:val="BBTitle"/>
      </w:pPr>
      <w:r w:rsidRPr="004178D0">
        <w:t xml:space="preserve">Compilation of information on techniques for emissions abatement and on the possibility of replacing lead and cadmium with less hazardous substances or techniques </w:t>
      </w:r>
    </w:p>
    <w:p w:rsidR="00B10509" w:rsidRDefault="00B10509" w:rsidP="004178D0">
      <w:pPr>
        <w:pStyle w:val="CH2"/>
      </w:pPr>
      <w:r>
        <w:tab/>
      </w:r>
      <w:r w:rsidR="0045551E" w:rsidRPr="001A26E2">
        <w:t>A</w:t>
      </w:r>
      <w:r w:rsidRPr="001B4318">
        <w:t>.</w:t>
      </w:r>
      <w:r w:rsidRPr="001B4318">
        <w:tab/>
        <w:t xml:space="preserve">Submissions </w:t>
      </w:r>
      <w:r w:rsidR="00C662ED" w:rsidRPr="001B4318">
        <w:t xml:space="preserve">by </w:t>
      </w:r>
      <w:r w:rsidRPr="001B4318">
        <w:t>Governments</w:t>
      </w:r>
    </w:p>
    <w:p w:rsidR="00B10509" w:rsidRDefault="00B10509" w:rsidP="001B4318">
      <w:pPr>
        <w:pStyle w:val="CH3"/>
        <w:rPr>
          <w:b w:val="0"/>
          <w:lang w:val="en-US"/>
        </w:rPr>
      </w:pPr>
      <w:r>
        <w:rPr>
          <w:lang w:val="en-US"/>
        </w:rPr>
        <w:tab/>
      </w:r>
      <w:r>
        <w:rPr>
          <w:lang w:val="en-US"/>
        </w:rPr>
        <w:tab/>
        <w:t>Argentina</w:t>
      </w:r>
    </w:p>
    <w:p w:rsidR="00B10509" w:rsidRPr="001B4318" w:rsidRDefault="00C662ED" w:rsidP="001B4318">
      <w:pPr>
        <w:pStyle w:val="Normalnumber"/>
        <w:numPr>
          <w:ilvl w:val="0"/>
          <w:numId w:val="16"/>
        </w:numPr>
      </w:pPr>
      <w:r>
        <w:t xml:space="preserve">In its submission, </w:t>
      </w:r>
      <w:r w:rsidR="00B10509" w:rsidRPr="001B4318">
        <w:t>Argentina made reference to Directive 2013/56/E</w:t>
      </w:r>
      <w:r w:rsidR="006259CD">
        <w:t>U</w:t>
      </w:r>
      <w:r w:rsidR="00B10509" w:rsidRPr="001B4318">
        <w:t>, which amends Directive 2006/66/EC on batteries and accumulators</w:t>
      </w:r>
      <w:r w:rsidR="006259CD">
        <w:t>,</w:t>
      </w:r>
      <w:r w:rsidR="00B10509" w:rsidRPr="001B4318">
        <w:t xml:space="preserve"> as regards the market </w:t>
      </w:r>
      <w:r w:rsidR="006259CD">
        <w:t>for</w:t>
      </w:r>
      <w:r w:rsidR="006259CD" w:rsidRPr="001B4318">
        <w:t xml:space="preserve"> </w:t>
      </w:r>
      <w:r w:rsidR="00B10509" w:rsidRPr="001B4318">
        <w:t xml:space="preserve">portable batteries and accumulators containing cadmium based on the availability of substitutes on the market for this type of batteries, such as nickel-metal hybrid and lithium-ion. In Argentina, </w:t>
      </w:r>
      <w:r w:rsidR="006259CD">
        <w:t xml:space="preserve">the </w:t>
      </w:r>
      <w:r w:rsidR="00B10509" w:rsidRPr="001B4318">
        <w:t xml:space="preserve">legal limits </w:t>
      </w:r>
      <w:r w:rsidR="006259CD">
        <w:t>for</w:t>
      </w:r>
      <w:r w:rsidR="00B10509" w:rsidRPr="001B4318">
        <w:t xml:space="preserve"> mercury, cadmium and lead content in batteries are 0.0005 weight per</w:t>
      </w:r>
      <w:r w:rsidR="00AA5574">
        <w:t xml:space="preserve"> </w:t>
      </w:r>
      <w:r w:rsidR="00B10509" w:rsidRPr="001B4318">
        <w:t>cent (</w:t>
      </w:r>
      <w:proofErr w:type="spellStart"/>
      <w:proofErr w:type="gramStart"/>
      <w:r w:rsidR="00B10509" w:rsidRPr="001B4318">
        <w:t>wt</w:t>
      </w:r>
      <w:proofErr w:type="spellEnd"/>
      <w:r w:rsidR="00B10509" w:rsidRPr="001B4318">
        <w:t>%</w:t>
      </w:r>
      <w:proofErr w:type="gramEnd"/>
      <w:r w:rsidR="00B10509" w:rsidRPr="001B4318">
        <w:t xml:space="preserve">), 0.015 </w:t>
      </w:r>
      <w:proofErr w:type="spellStart"/>
      <w:r w:rsidR="00B10509" w:rsidRPr="001B4318">
        <w:t>wt</w:t>
      </w:r>
      <w:proofErr w:type="spellEnd"/>
      <w:r w:rsidR="00B10509" w:rsidRPr="001B4318">
        <w:t xml:space="preserve">%, and 0.200 </w:t>
      </w:r>
      <w:proofErr w:type="spellStart"/>
      <w:r w:rsidR="00B10509" w:rsidRPr="001B4318">
        <w:t>wt</w:t>
      </w:r>
      <w:proofErr w:type="spellEnd"/>
      <w:r w:rsidR="00B10509" w:rsidRPr="001B4318">
        <w:t>%</w:t>
      </w:r>
      <w:r w:rsidR="006259CD">
        <w:t>, respectively</w:t>
      </w:r>
      <w:r w:rsidR="00B10509" w:rsidRPr="001B4318">
        <w:t xml:space="preserve">. </w:t>
      </w:r>
      <w:r w:rsidR="006259CD">
        <w:t xml:space="preserve">At present </w:t>
      </w:r>
      <w:r w:rsidR="00B10509" w:rsidRPr="001B4318">
        <w:t xml:space="preserve">there is no information available on techniques to reduce emissions of lead and cadmium and to replace such metals with less hazardous substances. </w:t>
      </w:r>
    </w:p>
    <w:p w:rsidR="00B10509" w:rsidRPr="001B4318" w:rsidRDefault="00B10509" w:rsidP="001B4318">
      <w:pPr>
        <w:pStyle w:val="CH3"/>
        <w:rPr>
          <w:lang w:val="en-US"/>
        </w:rPr>
      </w:pPr>
      <w:r>
        <w:rPr>
          <w:lang w:val="en-US"/>
        </w:rPr>
        <w:tab/>
      </w:r>
      <w:r>
        <w:rPr>
          <w:lang w:val="en-US"/>
        </w:rPr>
        <w:tab/>
      </w:r>
      <w:r w:rsidRPr="001B4318">
        <w:rPr>
          <w:lang w:val="en-US"/>
        </w:rPr>
        <w:t xml:space="preserve">Azerbaijan </w:t>
      </w:r>
    </w:p>
    <w:p w:rsidR="00B10509" w:rsidRPr="002C7143" w:rsidRDefault="00B10509" w:rsidP="001B4318">
      <w:pPr>
        <w:pStyle w:val="Normalnumber"/>
        <w:tabs>
          <w:tab w:val="num" w:pos="720"/>
        </w:tabs>
      </w:pPr>
      <w:r>
        <w:t xml:space="preserve">Azerbaijan </w:t>
      </w:r>
      <w:r w:rsidR="00AA5574">
        <w:t>highlighted</w:t>
      </w:r>
      <w:r>
        <w:t xml:space="preserve"> the particular importance </w:t>
      </w:r>
      <w:r w:rsidR="00AA5574">
        <w:t xml:space="preserve">accorded </w:t>
      </w:r>
      <w:r>
        <w:t xml:space="preserve">to </w:t>
      </w:r>
      <w:r w:rsidR="006259CD">
        <w:t xml:space="preserve">the </w:t>
      </w:r>
      <w:r>
        <w:t xml:space="preserve">introduction of new technologies, </w:t>
      </w:r>
      <w:r w:rsidR="00AA5574">
        <w:t xml:space="preserve">the </w:t>
      </w:r>
      <w:r>
        <w:t xml:space="preserve">reduction of all kinds of </w:t>
      </w:r>
      <w:r w:rsidRPr="00A32350">
        <w:t xml:space="preserve">harmful substances formed </w:t>
      </w:r>
      <w:r w:rsidR="00AA5574" w:rsidRPr="00ED316B">
        <w:t>during</w:t>
      </w:r>
      <w:r w:rsidRPr="002C7143">
        <w:t xml:space="preserve"> </w:t>
      </w:r>
      <w:r w:rsidR="00AA5574" w:rsidRPr="001A26E2">
        <w:t xml:space="preserve">the </w:t>
      </w:r>
      <w:r w:rsidRPr="001B4318">
        <w:t xml:space="preserve">production process, including </w:t>
      </w:r>
      <w:r w:rsidR="00AA5574" w:rsidRPr="001B4318">
        <w:t xml:space="preserve">the </w:t>
      </w:r>
      <w:r w:rsidRPr="001B4318">
        <w:t>management of heavy metals as well as</w:t>
      </w:r>
      <w:r w:rsidR="00AA5574" w:rsidRPr="001B4318">
        <w:t xml:space="preserve"> the</w:t>
      </w:r>
      <w:r w:rsidRPr="001B4318">
        <w:t xml:space="preserve"> replacement of lead to nickel-plated compounds, cadmium to titanium oxide or zinc compounds</w:t>
      </w:r>
      <w:r w:rsidR="00A32350" w:rsidRPr="001B4318">
        <w:t>,</w:t>
      </w:r>
      <w:r w:rsidRPr="001B4318">
        <w:t xml:space="preserve"> </w:t>
      </w:r>
      <w:r w:rsidR="00A32350">
        <w:t xml:space="preserve">stating that </w:t>
      </w:r>
      <w:r w:rsidRPr="00ED316B">
        <w:t xml:space="preserve">projects </w:t>
      </w:r>
      <w:r w:rsidR="00A32350" w:rsidRPr="001B4318">
        <w:t>to</w:t>
      </w:r>
      <w:r w:rsidRPr="00ED316B">
        <w:t xml:space="preserve"> replac</w:t>
      </w:r>
      <w:r w:rsidR="00A32350" w:rsidRPr="001B4318">
        <w:t>e harmful substances by</w:t>
      </w:r>
      <w:r w:rsidRPr="00ED316B">
        <w:t xml:space="preserve"> more</w:t>
      </w:r>
      <w:r w:rsidR="00A32350" w:rsidRPr="001B4318">
        <w:t xml:space="preserve"> advanced</w:t>
      </w:r>
      <w:r w:rsidRPr="00ED316B">
        <w:t xml:space="preserve"> methods </w:t>
      </w:r>
      <w:r w:rsidR="00A32350">
        <w:t>were</w:t>
      </w:r>
      <w:r w:rsidRPr="00ED316B">
        <w:t xml:space="preserve"> a key priority</w:t>
      </w:r>
      <w:r w:rsidRPr="002C7143">
        <w:t>.</w:t>
      </w:r>
    </w:p>
    <w:p w:rsidR="00B10509" w:rsidRPr="001B4318" w:rsidRDefault="00B10509" w:rsidP="001B4318">
      <w:pPr>
        <w:pStyle w:val="CH3"/>
        <w:rPr>
          <w:b w:val="0"/>
          <w:lang w:val="en-US"/>
        </w:rPr>
      </w:pPr>
      <w:r>
        <w:rPr>
          <w:lang w:val="en-US"/>
        </w:rPr>
        <w:tab/>
      </w:r>
      <w:r>
        <w:rPr>
          <w:lang w:val="en-US"/>
        </w:rPr>
        <w:tab/>
      </w:r>
      <w:r w:rsidRPr="001B4318">
        <w:rPr>
          <w:lang w:val="en-US"/>
        </w:rPr>
        <w:t>Belarus</w:t>
      </w:r>
    </w:p>
    <w:p w:rsidR="00B10509" w:rsidRPr="001B4318" w:rsidRDefault="00B10509" w:rsidP="001B4318">
      <w:pPr>
        <w:pStyle w:val="Normalnumber"/>
        <w:tabs>
          <w:tab w:val="num" w:pos="720"/>
        </w:tabs>
      </w:pPr>
      <w:r>
        <w:t>Under the “National Strategy for Sustainable Socio</w:t>
      </w:r>
      <w:r w:rsidR="0051621C">
        <w:t>e</w:t>
      </w:r>
      <w:r>
        <w:t xml:space="preserve">conomic Development of the Republic of Belarus for the period up to 2020”, Belarus has set targets for improving waste management </w:t>
      </w:r>
      <w:r w:rsidR="0051621C">
        <w:t xml:space="preserve">that aim </w:t>
      </w:r>
      <w:r>
        <w:t xml:space="preserve">to </w:t>
      </w:r>
      <w:r w:rsidR="0051621C">
        <w:t>achieve</w:t>
      </w:r>
      <w:r>
        <w:t xml:space="preserve"> 85 </w:t>
      </w:r>
      <w:r w:rsidR="0051621C">
        <w:t>per cent</w:t>
      </w:r>
      <w:r>
        <w:t xml:space="preserve"> reuse of waste and </w:t>
      </w:r>
      <w:r w:rsidR="0051621C">
        <w:t>a 50 per cent reduction</w:t>
      </w:r>
      <w:r>
        <w:t xml:space="preserve"> </w:t>
      </w:r>
      <w:r w:rsidR="0051621C">
        <w:t xml:space="preserve">in </w:t>
      </w:r>
      <w:r>
        <w:t xml:space="preserve">the volume of </w:t>
      </w:r>
      <w:r w:rsidR="0051621C" w:rsidRPr="00551B90">
        <w:t xml:space="preserve">classes 1–3 </w:t>
      </w:r>
      <w:r w:rsidRPr="00551B90">
        <w:t xml:space="preserve">stored </w:t>
      </w:r>
      <w:r w:rsidR="0051621C" w:rsidRPr="00F60C2F">
        <w:t xml:space="preserve">hazardous </w:t>
      </w:r>
      <w:r w:rsidRPr="00FD5362">
        <w:t>waste</w:t>
      </w:r>
      <w:r>
        <w:t xml:space="preserve">. Private companies are engaged in collecting various types of hazardous waste, in the disposal and recycling of </w:t>
      </w:r>
      <w:r w:rsidR="0051621C">
        <w:t xml:space="preserve">such </w:t>
      </w:r>
      <w:r>
        <w:t xml:space="preserve">waste, and in the production of energy from them. The </w:t>
      </w:r>
      <w:r w:rsidR="0051621C">
        <w:t xml:space="preserve">submission reports on the </w:t>
      </w:r>
      <w:r>
        <w:t xml:space="preserve">number of actors involved. </w:t>
      </w:r>
      <w:r w:rsidR="0051621C">
        <w:t>In addition</w:t>
      </w:r>
      <w:r>
        <w:t xml:space="preserve">, air quality is being monitored under the National Environmental Monitoring System, and the emission limits are determined </w:t>
      </w:r>
      <w:r w:rsidRPr="006C0D2A">
        <w:t xml:space="preserve">by the </w:t>
      </w:r>
      <w:r w:rsidR="00E03C84" w:rsidRPr="006C0D2A">
        <w:t xml:space="preserve">Protocol on </w:t>
      </w:r>
      <w:r w:rsidRPr="00C570E1">
        <w:t xml:space="preserve">Heavy Metals </w:t>
      </w:r>
      <w:r w:rsidR="00E03C84" w:rsidRPr="00A32350">
        <w:t>to the Convention on Long</w:t>
      </w:r>
      <w:r w:rsidR="00E03C84" w:rsidRPr="006C0D2A">
        <w:t xml:space="preserve">-Range </w:t>
      </w:r>
      <w:proofErr w:type="spellStart"/>
      <w:r w:rsidR="00E03C84" w:rsidRPr="006C0D2A">
        <w:t>Transboundary</w:t>
      </w:r>
      <w:proofErr w:type="spellEnd"/>
      <w:r w:rsidR="00E03C84" w:rsidRPr="006C0D2A">
        <w:t xml:space="preserve"> Air Pollution</w:t>
      </w:r>
      <w:r w:rsidRPr="006C0D2A">
        <w:t xml:space="preserve">. The Ministry of Health restricts the use of lead and cadmium in consumer goods, and </w:t>
      </w:r>
      <w:r w:rsidR="00E641BA" w:rsidRPr="006C0D2A">
        <w:t>the health s</w:t>
      </w:r>
      <w:r w:rsidRPr="006C0D2A">
        <w:t>ector</w:t>
      </w:r>
      <w:r>
        <w:t xml:space="preserve"> monitors the content of heavy metals in the environment.</w:t>
      </w:r>
    </w:p>
    <w:p w:rsidR="00B10509" w:rsidRPr="00B10509" w:rsidRDefault="00B10509" w:rsidP="001B4318">
      <w:pPr>
        <w:pStyle w:val="CH3"/>
        <w:rPr>
          <w:lang w:val="en-US"/>
        </w:rPr>
      </w:pPr>
      <w:r>
        <w:rPr>
          <w:lang w:val="en-US"/>
        </w:rPr>
        <w:tab/>
      </w:r>
      <w:r>
        <w:rPr>
          <w:lang w:val="en-US"/>
        </w:rPr>
        <w:tab/>
      </w:r>
      <w:r w:rsidRPr="00B10509">
        <w:rPr>
          <w:lang w:val="en-US"/>
        </w:rPr>
        <w:t>Brazil</w:t>
      </w:r>
    </w:p>
    <w:p w:rsidR="00B10509" w:rsidRPr="002C7143" w:rsidRDefault="00B10509" w:rsidP="001B4318">
      <w:pPr>
        <w:pStyle w:val="Normalnumber"/>
        <w:tabs>
          <w:tab w:val="num" w:pos="720"/>
        </w:tabs>
      </w:pPr>
      <w:r>
        <w:t>According to Brazil</w:t>
      </w:r>
      <w:r w:rsidR="00E641BA">
        <w:t>’</w:t>
      </w:r>
      <w:r>
        <w:t xml:space="preserve">s submission, lead and cadmium are </w:t>
      </w:r>
      <w:r w:rsidRPr="00551B90">
        <w:t xml:space="preserve">not utilized in the production process of the automotive industry </w:t>
      </w:r>
      <w:r w:rsidR="00E641BA" w:rsidRPr="00FD5362">
        <w:t xml:space="preserve">owing </w:t>
      </w:r>
      <w:r w:rsidRPr="00564DA3">
        <w:t xml:space="preserve">to the implementation of </w:t>
      </w:r>
      <w:r w:rsidR="00E641BA" w:rsidRPr="00923516">
        <w:t xml:space="preserve">extremely </w:t>
      </w:r>
      <w:r w:rsidRPr="00C61356">
        <w:t>restrictive policies</w:t>
      </w:r>
      <w:r w:rsidRPr="00F57CD0">
        <w:t xml:space="preserve"> </w:t>
      </w:r>
      <w:r w:rsidR="00E641BA" w:rsidRPr="006C0D2A">
        <w:t xml:space="preserve">on </w:t>
      </w:r>
      <w:r w:rsidRPr="006C0D2A">
        <w:t xml:space="preserve">toxic substances </w:t>
      </w:r>
      <w:r w:rsidR="00E641BA" w:rsidRPr="00A32350">
        <w:t xml:space="preserve">concerning </w:t>
      </w:r>
      <w:r w:rsidRPr="00A32350">
        <w:t xml:space="preserve">the replacement of the following products: C.I pigment yellow, </w:t>
      </w:r>
      <w:proofErr w:type="spellStart"/>
      <w:proofErr w:type="gramStart"/>
      <w:r w:rsidRPr="00A32350">
        <w:t>Cobal</w:t>
      </w:r>
      <w:proofErr w:type="spellEnd"/>
      <w:r w:rsidRPr="00A32350">
        <w:t>(</w:t>
      </w:r>
      <w:proofErr w:type="gramEnd"/>
      <w:r w:rsidRPr="00A32350">
        <w:t xml:space="preserve">II) </w:t>
      </w:r>
      <w:proofErr w:type="spellStart"/>
      <w:r w:rsidRPr="00A32350">
        <w:t>etylhexanoate</w:t>
      </w:r>
      <w:proofErr w:type="spellEnd"/>
      <w:r w:rsidRPr="00A32350">
        <w:t xml:space="preserve">, </w:t>
      </w:r>
      <w:r w:rsidR="00E641BA" w:rsidRPr="00ED316B">
        <w:t>i</w:t>
      </w:r>
      <w:r w:rsidRPr="002C7143">
        <w:t>ron oxide and hydrated iron oxide.</w:t>
      </w:r>
    </w:p>
    <w:p w:rsidR="00B10509" w:rsidRDefault="00B10509" w:rsidP="001B4318">
      <w:pPr>
        <w:pStyle w:val="Normalnumber"/>
        <w:tabs>
          <w:tab w:val="num" w:pos="720"/>
        </w:tabs>
      </w:pPr>
      <w:r>
        <w:t>Further</w:t>
      </w:r>
      <w:r w:rsidR="00C662ED">
        <w:t>more</w:t>
      </w:r>
      <w:r>
        <w:t>, emission</w:t>
      </w:r>
      <w:r w:rsidR="00E641BA">
        <w:t>s</w:t>
      </w:r>
      <w:r>
        <w:t xml:space="preserve"> of lead and cadmium ha</w:t>
      </w:r>
      <w:r w:rsidR="00E641BA">
        <w:t>ve</w:t>
      </w:r>
      <w:r>
        <w:t xml:space="preserve"> been significantly reduced </w:t>
      </w:r>
      <w:r w:rsidR="00E641BA">
        <w:t xml:space="preserve">due </w:t>
      </w:r>
      <w:r>
        <w:t xml:space="preserve">to the removal of tetraethyl lead in gasoline since1989 and its replacement by ethanol, which has </w:t>
      </w:r>
      <w:r w:rsidR="00E641BA">
        <w:t xml:space="preserve">in particular brought about </w:t>
      </w:r>
      <w:r>
        <w:t xml:space="preserve">a significant reduction of the level of lead in </w:t>
      </w:r>
      <w:r w:rsidRPr="00551B90">
        <w:t>the air.</w:t>
      </w:r>
      <w:r>
        <w:t xml:space="preserve"> </w:t>
      </w:r>
    </w:p>
    <w:p w:rsidR="00B10509" w:rsidRPr="001B4318" w:rsidRDefault="00E641BA" w:rsidP="001B4318">
      <w:pPr>
        <w:pStyle w:val="Normalnumber"/>
        <w:tabs>
          <w:tab w:val="num" w:pos="720"/>
        </w:tabs>
      </w:pPr>
      <w:r>
        <w:t xml:space="preserve">Restrictions on </w:t>
      </w:r>
      <w:r w:rsidR="00B10509">
        <w:t xml:space="preserve">the use of lead in paint became effective in 2008 (Law 11.762/2008). </w:t>
      </w:r>
      <w:r>
        <w:t xml:space="preserve">Current </w:t>
      </w:r>
      <w:r w:rsidR="00B10509">
        <w:t>legislation aims at prohibiting lead in household paints, while allowing for exceptions of some level of lead concentrations in paints for industry and agricultur</w:t>
      </w:r>
      <w:r>
        <w:t>al</w:t>
      </w:r>
      <w:r w:rsidR="00B10509">
        <w:t xml:space="preserve"> equipment, traffic paint and other </w:t>
      </w:r>
      <w:r w:rsidR="00B10509" w:rsidRPr="006C0D2A">
        <w:t xml:space="preserve">applications. </w:t>
      </w:r>
      <w:r w:rsidRPr="006C0D2A">
        <w:t>Paint manufacturers have found a</w:t>
      </w:r>
      <w:r w:rsidR="00B10509" w:rsidRPr="006C0D2A">
        <w:t>lternative</w:t>
      </w:r>
      <w:r w:rsidRPr="00C570E1">
        <w:t>s</w:t>
      </w:r>
      <w:r w:rsidR="00B10509" w:rsidRPr="00A32350">
        <w:t xml:space="preserve"> to the use of hazardous substances</w:t>
      </w:r>
      <w:r w:rsidR="00DA751D" w:rsidRPr="006C0D2A">
        <w:t>,</w:t>
      </w:r>
      <w:r w:rsidR="00B10509" w:rsidRPr="006C0D2A">
        <w:t xml:space="preserve"> </w:t>
      </w:r>
      <w:r w:rsidRPr="006C0D2A">
        <w:t>including</w:t>
      </w:r>
      <w:r w:rsidR="00B10509" w:rsidRPr="00C570E1">
        <w:t xml:space="preserve"> the </w:t>
      </w:r>
      <w:r w:rsidR="006C0D2A" w:rsidRPr="006C0D2A">
        <w:t xml:space="preserve">experimental </w:t>
      </w:r>
      <w:r w:rsidR="00B10509" w:rsidRPr="006C0D2A">
        <w:t xml:space="preserve">use of </w:t>
      </w:r>
      <w:proofErr w:type="spellStart"/>
      <w:r w:rsidR="00B10509" w:rsidRPr="006C0D2A">
        <w:t>nanoscience</w:t>
      </w:r>
      <w:proofErr w:type="spellEnd"/>
      <w:r w:rsidR="00B10509" w:rsidRPr="006C0D2A">
        <w:t xml:space="preserve"> and nanotec</w:t>
      </w:r>
      <w:r w:rsidR="006C0D2A" w:rsidRPr="006C0D2A">
        <w:t>hnology</w:t>
      </w:r>
      <w:r w:rsidR="00B10509" w:rsidRPr="006C0D2A">
        <w:t>.</w:t>
      </w:r>
    </w:p>
    <w:p w:rsidR="00B10509" w:rsidRDefault="00B10509" w:rsidP="00015ACD">
      <w:pPr>
        <w:pStyle w:val="CH3"/>
        <w:rPr>
          <w:lang w:val="en-US"/>
        </w:rPr>
      </w:pPr>
      <w:r>
        <w:rPr>
          <w:lang w:val="en-US"/>
        </w:rPr>
        <w:tab/>
      </w:r>
      <w:r>
        <w:rPr>
          <w:lang w:val="en-US"/>
        </w:rPr>
        <w:tab/>
      </w:r>
      <w:r w:rsidRPr="00015ACD">
        <w:rPr>
          <w:lang w:val="en-US"/>
        </w:rPr>
        <w:t>Chile</w:t>
      </w:r>
      <w:r>
        <w:rPr>
          <w:lang w:val="en-US"/>
        </w:rPr>
        <w:t xml:space="preserve"> </w:t>
      </w:r>
    </w:p>
    <w:p w:rsidR="00B10509" w:rsidRPr="001B4318" w:rsidRDefault="00B10509" w:rsidP="001B4318">
      <w:pPr>
        <w:pStyle w:val="Normalnumber"/>
        <w:tabs>
          <w:tab w:val="num" w:pos="720"/>
        </w:tabs>
      </w:pPr>
      <w:r w:rsidRPr="001B4318">
        <w:t xml:space="preserve">Chile </w:t>
      </w:r>
      <w:r w:rsidR="00640260">
        <w:t xml:space="preserve">described a project launched by the Ministry of Environment in 2011 entitled </w:t>
      </w:r>
      <w:r w:rsidRPr="001B4318">
        <w:t xml:space="preserve">“Identification of the Main Sources of Cd and </w:t>
      </w:r>
      <w:proofErr w:type="spellStart"/>
      <w:r w:rsidRPr="001B4318">
        <w:t>Pb</w:t>
      </w:r>
      <w:proofErr w:type="spellEnd"/>
      <w:r w:rsidRPr="001B4318">
        <w:t xml:space="preserve"> at a National level, National Registry of Sites with Potential Presence of Cd and </w:t>
      </w:r>
      <w:proofErr w:type="spellStart"/>
      <w:r w:rsidRPr="001B4318">
        <w:t>Pb</w:t>
      </w:r>
      <w:proofErr w:type="spellEnd"/>
      <w:r w:rsidRPr="001B4318">
        <w:t xml:space="preserve">, and Development of a Methodological Guide for the Assessment of Use, Consumption and Emissions of Cd and </w:t>
      </w:r>
      <w:proofErr w:type="spellStart"/>
      <w:r w:rsidRPr="001B4318">
        <w:t>Pb</w:t>
      </w:r>
      <w:proofErr w:type="spellEnd"/>
      <w:r w:rsidRPr="001B4318">
        <w:t>”.</w:t>
      </w:r>
    </w:p>
    <w:p w:rsidR="00B10509" w:rsidRPr="001B4318" w:rsidRDefault="00B10509" w:rsidP="001B4318">
      <w:pPr>
        <w:pStyle w:val="Normalnumber"/>
        <w:tabs>
          <w:tab w:val="num" w:pos="720"/>
        </w:tabs>
      </w:pPr>
      <w:r w:rsidRPr="001B4318">
        <w:t>The main objective of the project was to develop methodological guideline</w:t>
      </w:r>
      <w:r w:rsidR="00640260">
        <w:t>s</w:t>
      </w:r>
      <w:r w:rsidRPr="001B4318">
        <w:t xml:space="preserve"> for the identification and quantification of </w:t>
      </w:r>
      <w:r w:rsidR="00640260">
        <w:t xml:space="preserve">lead and cadmium </w:t>
      </w:r>
      <w:r w:rsidRPr="001B4318">
        <w:t>emissions and to estimate</w:t>
      </w:r>
      <w:r w:rsidR="00640260">
        <w:t xml:space="preserve"> the</w:t>
      </w:r>
      <w:r w:rsidRPr="001B4318">
        <w:t xml:space="preserve"> magnitude of the </w:t>
      </w:r>
      <w:r w:rsidR="00640260" w:rsidRPr="00ED316B">
        <w:t>presence of lead and cadmium</w:t>
      </w:r>
      <w:r w:rsidRPr="001B4318">
        <w:t xml:space="preserve"> (emission source</w:t>
      </w:r>
      <w:r w:rsidR="00640260" w:rsidRPr="00ED316B">
        <w:t>s</w:t>
      </w:r>
      <w:r w:rsidRPr="001B4318">
        <w:t xml:space="preserve"> and potentially polluted sites) in Chile. Th</w:t>
      </w:r>
      <w:r w:rsidR="00640260" w:rsidRPr="00ED316B">
        <w:t xml:space="preserve">e project also </w:t>
      </w:r>
      <w:r w:rsidRPr="001B4318">
        <w:t xml:space="preserve">considered gathering information regarding internationally used alternatives </w:t>
      </w:r>
      <w:r w:rsidR="00BE6623">
        <w:t>to</w:t>
      </w:r>
      <w:r w:rsidRPr="001B4318">
        <w:t xml:space="preserve"> products </w:t>
      </w:r>
      <w:r w:rsidR="00640260">
        <w:lastRenderedPageBreak/>
        <w:t xml:space="preserve">containing lead and cadmium </w:t>
      </w:r>
      <w:r w:rsidRPr="001B4318">
        <w:t xml:space="preserve">and processes using </w:t>
      </w:r>
      <w:r w:rsidR="00640260">
        <w:t>lead and cadmium</w:t>
      </w:r>
      <w:r w:rsidRPr="001B4318">
        <w:t xml:space="preserve">, as well as the assessment and proposal of alternatives </w:t>
      </w:r>
      <w:r w:rsidR="00640260">
        <w:t xml:space="preserve">that could be </w:t>
      </w:r>
      <w:r w:rsidRPr="001B4318">
        <w:t>applicable in Chile.</w:t>
      </w:r>
    </w:p>
    <w:p w:rsidR="00B10509" w:rsidRDefault="00B10509" w:rsidP="00015ACD">
      <w:pPr>
        <w:pStyle w:val="CH3"/>
        <w:rPr>
          <w:lang w:val="en-US"/>
        </w:rPr>
      </w:pPr>
      <w:r>
        <w:rPr>
          <w:lang w:val="en-US"/>
        </w:rPr>
        <w:tab/>
      </w:r>
      <w:r>
        <w:rPr>
          <w:lang w:val="en-US"/>
        </w:rPr>
        <w:tab/>
      </w:r>
      <w:r w:rsidRPr="00015ACD">
        <w:rPr>
          <w:lang w:val="en-US"/>
        </w:rPr>
        <w:t>China</w:t>
      </w:r>
      <w:r>
        <w:rPr>
          <w:lang w:val="en-US"/>
        </w:rPr>
        <w:t xml:space="preserve"> </w:t>
      </w:r>
    </w:p>
    <w:p w:rsidR="00B10509" w:rsidRPr="001B4318" w:rsidRDefault="00B10509" w:rsidP="001B4318">
      <w:pPr>
        <w:pStyle w:val="Normalnumber"/>
        <w:tabs>
          <w:tab w:val="num" w:pos="720"/>
        </w:tabs>
      </w:pPr>
      <w:r w:rsidRPr="001B4318">
        <w:t>China submitted information about lead and cadmium emission reduction technologies and pollutant control technologies for non-ferrous metal smelting industries, including lead, zinc, and copper smelting. The mechanisms and efficienc</w:t>
      </w:r>
      <w:r w:rsidR="00D06171">
        <w:t>y</w:t>
      </w:r>
      <w:r w:rsidRPr="001B4318">
        <w:t xml:space="preserve"> of each technique are described in detail in the submission. </w:t>
      </w:r>
    </w:p>
    <w:p w:rsidR="00B10509" w:rsidRPr="001B4318" w:rsidRDefault="00B10509" w:rsidP="001B4318">
      <w:pPr>
        <w:pStyle w:val="Normalnumber"/>
        <w:tabs>
          <w:tab w:val="num" w:pos="720"/>
        </w:tabs>
      </w:pPr>
      <w:r w:rsidRPr="001B4318">
        <w:t xml:space="preserve">Substitutes for lead and cadmium in the battery industry, including lithium-ion batteries, nickel-hydrogen batteries and zinc-manganese dioxide batteries, and their performances are also discussed in the submission. </w:t>
      </w:r>
      <w:r w:rsidR="005F0EC0" w:rsidRPr="00551B90">
        <w:t>In addition</w:t>
      </w:r>
      <w:r w:rsidRPr="001B4318">
        <w:t xml:space="preserve">, a list of alternatives </w:t>
      </w:r>
      <w:r w:rsidR="00BE6623" w:rsidRPr="00551B90">
        <w:t>to</w:t>
      </w:r>
      <w:r w:rsidR="00BE6623" w:rsidRPr="001B4318">
        <w:t xml:space="preserve"> </w:t>
      </w:r>
      <w:r w:rsidRPr="001B4318">
        <w:t xml:space="preserve">toxic and hazardous materials </w:t>
      </w:r>
      <w:r w:rsidR="00BE6623" w:rsidRPr="00551B90">
        <w:t xml:space="preserve">whose use is </w:t>
      </w:r>
      <w:r w:rsidRPr="001B4318">
        <w:t xml:space="preserve">encouraged by the </w:t>
      </w:r>
      <w:r w:rsidR="005F0EC0" w:rsidRPr="00551B90">
        <w:t>G</w:t>
      </w:r>
      <w:r w:rsidRPr="001B4318">
        <w:t>overnment is attached</w:t>
      </w:r>
      <w:r w:rsidR="005F0EC0" w:rsidRPr="00551B90">
        <w:t xml:space="preserve"> to the submission</w:t>
      </w:r>
      <w:r w:rsidRPr="001B4318">
        <w:t>. The list includes: calcium hypophosphite antirust pigments instead of lead, lead calcium and zinc chromium antirust pigments; novel alloy lead-acid batteries instead of cadmium-containing lead-acid batteries; lead-free solder paste for hybrid integrated circuits, thermistors and solar cells; and calcium-zinc and rare earth stabilizers instead of lead stabilizers for polyvinyl chloride (PVC).</w:t>
      </w:r>
      <w:r w:rsidRPr="00FE0F77">
        <w:tab/>
      </w:r>
    </w:p>
    <w:p w:rsidR="00B10509" w:rsidRPr="00015ACD" w:rsidRDefault="00B10509" w:rsidP="00015ACD">
      <w:pPr>
        <w:pStyle w:val="CH3"/>
        <w:rPr>
          <w:lang w:val="en-US"/>
        </w:rPr>
      </w:pPr>
      <w:r>
        <w:rPr>
          <w:lang w:val="en-US"/>
        </w:rPr>
        <w:tab/>
      </w:r>
      <w:r>
        <w:rPr>
          <w:lang w:val="en-US"/>
        </w:rPr>
        <w:tab/>
      </w:r>
      <w:r w:rsidRPr="00015ACD">
        <w:rPr>
          <w:lang w:val="en-US"/>
        </w:rPr>
        <w:t xml:space="preserve">Costa Rica </w:t>
      </w:r>
    </w:p>
    <w:p w:rsidR="00B10509" w:rsidRDefault="00B10509" w:rsidP="001B4318">
      <w:pPr>
        <w:pStyle w:val="Normalnumber"/>
        <w:tabs>
          <w:tab w:val="num" w:pos="720"/>
        </w:tabs>
      </w:pPr>
      <w:r>
        <w:t xml:space="preserve">Costa Rica </w:t>
      </w:r>
      <w:r w:rsidR="005F0EC0">
        <w:t xml:space="preserve">noted </w:t>
      </w:r>
      <w:r>
        <w:t xml:space="preserve">that </w:t>
      </w:r>
      <w:r w:rsidR="00DA751D">
        <w:t xml:space="preserve">it has eliminated </w:t>
      </w:r>
      <w:r>
        <w:t xml:space="preserve">the lead additive in fuel, and limits on the amount of lead and cadmium in the atmosphere </w:t>
      </w:r>
      <w:r w:rsidR="005F0EC0">
        <w:t>are</w:t>
      </w:r>
      <w:r>
        <w:t xml:space="preserve"> being established. There is only one lead smelter company in the country, PB Metals, </w:t>
      </w:r>
      <w:r w:rsidR="005F0EC0">
        <w:t xml:space="preserve">which has had the </w:t>
      </w:r>
      <w:r>
        <w:t xml:space="preserve">technologies </w:t>
      </w:r>
      <w:r w:rsidR="005F0EC0">
        <w:t xml:space="preserve">for </w:t>
      </w:r>
      <w:r>
        <w:t>collect</w:t>
      </w:r>
      <w:r w:rsidR="005F0EC0">
        <w:t>ing</w:t>
      </w:r>
      <w:r>
        <w:t>, transport</w:t>
      </w:r>
      <w:r w:rsidR="005F0EC0">
        <w:t xml:space="preserve">ing </w:t>
      </w:r>
      <w:r>
        <w:t>and recycl</w:t>
      </w:r>
      <w:r w:rsidR="005F0EC0">
        <w:t>ing</w:t>
      </w:r>
      <w:r>
        <w:t xml:space="preserve"> lead-acid batteries since 2012. Batteries containing cadmium are subjected to control</w:t>
      </w:r>
      <w:r w:rsidR="005F0EC0">
        <w:t>s under</w:t>
      </w:r>
      <w:r>
        <w:t xml:space="preserve"> special waste regulations. </w:t>
      </w:r>
    </w:p>
    <w:p w:rsidR="00B10509" w:rsidRPr="00015ACD" w:rsidRDefault="00B10509" w:rsidP="00015ACD">
      <w:pPr>
        <w:pStyle w:val="CH3"/>
        <w:rPr>
          <w:lang w:val="en-US"/>
        </w:rPr>
      </w:pPr>
      <w:r>
        <w:rPr>
          <w:lang w:val="en-US"/>
        </w:rPr>
        <w:tab/>
      </w:r>
      <w:r>
        <w:rPr>
          <w:lang w:val="en-US"/>
        </w:rPr>
        <w:tab/>
        <w:t>Ecuado</w:t>
      </w:r>
      <w:r w:rsidR="0045551E">
        <w:rPr>
          <w:lang w:val="en-US"/>
        </w:rPr>
        <w:t>r</w:t>
      </w:r>
    </w:p>
    <w:p w:rsidR="00B10509" w:rsidRDefault="00B10509" w:rsidP="001B4318">
      <w:pPr>
        <w:pStyle w:val="Normalnumber"/>
        <w:tabs>
          <w:tab w:val="num" w:pos="720"/>
        </w:tabs>
      </w:pPr>
      <w:r>
        <w:t xml:space="preserve">Ecuador </w:t>
      </w:r>
      <w:r w:rsidR="00C662ED">
        <w:t xml:space="preserve">said that it </w:t>
      </w:r>
      <w:r>
        <w:t xml:space="preserve">has enacted national standards to govern the usage of lead and cadmium in various products including jewellery, paint, and household goods, especially in reference to ceramic products. </w:t>
      </w:r>
      <w:r w:rsidR="005F0EC0">
        <w:t>In addition</w:t>
      </w:r>
      <w:r>
        <w:t xml:space="preserve">, requirements and guidelines for adequate handling and management of used lead-acid batteries have been established. Based on </w:t>
      </w:r>
      <w:r w:rsidR="00E24D7A">
        <w:t xml:space="preserve">existing </w:t>
      </w:r>
      <w:r>
        <w:t xml:space="preserve">legislation, the Ministry of Environment has been developing restrictions on lead and cadmium content in imported products and has drafted instructions for the management and recycling of lead-acid batteries. </w:t>
      </w:r>
      <w:r w:rsidR="00E24D7A">
        <w:t>Lastly</w:t>
      </w:r>
      <w:r>
        <w:t>, ceramic dishes imported from China were recalled due to high levels of lead and cadmium</w:t>
      </w:r>
      <w:r w:rsidR="00E24D7A">
        <w:t xml:space="preserve"> content –</w:t>
      </w:r>
      <w:r>
        <w:t xml:space="preserve"> </w:t>
      </w:r>
      <w:r w:rsidR="00E24D7A">
        <w:t>over</w:t>
      </w:r>
      <w:r>
        <w:t xml:space="preserve"> 2 mg/L and </w:t>
      </w:r>
      <w:r w:rsidR="00E24D7A">
        <w:t>over</w:t>
      </w:r>
      <w:r>
        <w:t xml:space="preserve"> 0.25 mg/L, respectively</w:t>
      </w:r>
      <w:r w:rsidR="00E24D7A">
        <w:t xml:space="preserve"> –</w:t>
      </w:r>
      <w:r>
        <w:t xml:space="preserve"> in March of 2013.  </w:t>
      </w:r>
    </w:p>
    <w:p w:rsidR="00B10509" w:rsidRPr="00015ACD" w:rsidRDefault="00B10509" w:rsidP="00015ACD">
      <w:pPr>
        <w:pStyle w:val="CH3"/>
        <w:rPr>
          <w:lang w:val="en-US"/>
        </w:rPr>
      </w:pPr>
      <w:r>
        <w:rPr>
          <w:lang w:val="en-US"/>
        </w:rPr>
        <w:tab/>
      </w:r>
      <w:r>
        <w:rPr>
          <w:lang w:val="en-US"/>
        </w:rPr>
        <w:tab/>
      </w:r>
      <w:r w:rsidRPr="002C7143">
        <w:rPr>
          <w:lang w:val="en-US"/>
        </w:rPr>
        <w:t xml:space="preserve">European Union and its </w:t>
      </w:r>
      <w:r w:rsidR="0045551E" w:rsidRPr="001A26E2">
        <w:rPr>
          <w:lang w:val="en-US"/>
        </w:rPr>
        <w:t>m</w:t>
      </w:r>
      <w:r w:rsidRPr="001B4318">
        <w:rPr>
          <w:lang w:val="en-US"/>
        </w:rPr>
        <w:t>ember States</w:t>
      </w:r>
    </w:p>
    <w:p w:rsidR="00B10509" w:rsidRDefault="00B10509" w:rsidP="001B4318">
      <w:pPr>
        <w:pStyle w:val="Normalnumber"/>
        <w:tabs>
          <w:tab w:val="num" w:pos="720"/>
        </w:tabs>
      </w:pPr>
      <w:r>
        <w:t xml:space="preserve">The European Union and its </w:t>
      </w:r>
      <w:r w:rsidR="0045551E">
        <w:t>m</w:t>
      </w:r>
      <w:r>
        <w:t>ember States submitted documents and links to websites that contain information on techniques for emissions abatement and on the possibility of replacing lead and cadmium with less hazardous substances or techniques</w:t>
      </w:r>
      <w:r w:rsidR="005D50FB">
        <w:t>, including the following:</w:t>
      </w:r>
    </w:p>
    <w:p w:rsidR="00B10509" w:rsidRDefault="00B10509" w:rsidP="001B4318">
      <w:pPr>
        <w:pStyle w:val="Normalnumber"/>
        <w:tabs>
          <w:tab w:val="num" w:pos="720"/>
        </w:tabs>
        <w:rPr>
          <w:lang w:val="en-US"/>
        </w:rPr>
      </w:pPr>
      <w:r w:rsidRPr="008F5FF0">
        <w:rPr>
          <w:lang w:val="en-US"/>
        </w:rPr>
        <w:t xml:space="preserve">The compilation of information from the </w:t>
      </w:r>
      <w:r w:rsidR="00E24D7A" w:rsidRPr="008F5FF0">
        <w:rPr>
          <w:lang w:val="en-US"/>
        </w:rPr>
        <w:t>best available techniques</w:t>
      </w:r>
      <w:r w:rsidRPr="008F5FF0">
        <w:rPr>
          <w:lang w:val="en-US"/>
        </w:rPr>
        <w:t xml:space="preserve"> reference documents </w:t>
      </w:r>
      <w:r w:rsidRPr="00C570E1">
        <w:rPr>
          <w:lang w:val="en-US"/>
        </w:rPr>
        <w:t>(BREFs)</w:t>
      </w:r>
      <w:r w:rsidRPr="008F5FF0">
        <w:rPr>
          <w:lang w:val="en-US"/>
        </w:rPr>
        <w:t xml:space="preserve"> concerning</w:t>
      </w:r>
      <w:r>
        <w:rPr>
          <w:lang w:val="en-US"/>
        </w:rPr>
        <w:t xml:space="preserve"> emissions to air of lead and cadmium and </w:t>
      </w:r>
      <w:r w:rsidR="00E24D7A">
        <w:rPr>
          <w:lang w:val="en-US"/>
        </w:rPr>
        <w:t xml:space="preserve">best available techniques </w:t>
      </w:r>
      <w:r>
        <w:rPr>
          <w:lang w:val="en-US"/>
        </w:rPr>
        <w:t xml:space="preserve">conclusions adopted by the European Commission </w:t>
      </w:r>
      <w:r w:rsidR="00E24D7A">
        <w:rPr>
          <w:lang w:val="en-US"/>
        </w:rPr>
        <w:t>provides</w:t>
      </w:r>
      <w:r>
        <w:rPr>
          <w:lang w:val="en-US"/>
        </w:rPr>
        <w:t xml:space="preserve"> information on current emissions of lead and cadmium from relevant proce</w:t>
      </w:r>
      <w:r w:rsidRPr="008F5FF0">
        <w:rPr>
          <w:lang w:val="en-US"/>
        </w:rPr>
        <w:t xml:space="preserve">sses, </w:t>
      </w:r>
      <w:r w:rsidRPr="00C570E1">
        <w:rPr>
          <w:lang w:val="en-US"/>
        </w:rPr>
        <w:t>candidates</w:t>
      </w:r>
      <w:r w:rsidRPr="008F5FF0">
        <w:rPr>
          <w:lang w:val="en-US"/>
        </w:rPr>
        <w:t xml:space="preserve"> for </w:t>
      </w:r>
      <w:r w:rsidR="008F5FF0" w:rsidRPr="008F5FF0">
        <w:rPr>
          <w:lang w:val="en-US"/>
        </w:rPr>
        <w:t xml:space="preserve">the application of </w:t>
      </w:r>
      <w:r w:rsidR="00573214" w:rsidRPr="008F5FF0">
        <w:rPr>
          <w:lang w:val="en-US"/>
        </w:rPr>
        <w:t>best available techniques</w:t>
      </w:r>
      <w:r w:rsidR="008F5FF0" w:rsidRPr="008F5FF0">
        <w:rPr>
          <w:lang w:val="en-US"/>
        </w:rPr>
        <w:t>,</w:t>
      </w:r>
      <w:r w:rsidRPr="008F5FF0">
        <w:rPr>
          <w:lang w:val="en-US"/>
        </w:rPr>
        <w:t xml:space="preserve"> and the emission levels </w:t>
      </w:r>
      <w:r w:rsidR="00573214" w:rsidRPr="008F5FF0">
        <w:rPr>
          <w:lang w:val="en-US"/>
        </w:rPr>
        <w:t xml:space="preserve">that </w:t>
      </w:r>
      <w:r w:rsidRPr="008F5FF0">
        <w:rPr>
          <w:lang w:val="en-US"/>
        </w:rPr>
        <w:t>can be achie</w:t>
      </w:r>
      <w:r w:rsidR="008F5FF0" w:rsidRPr="008F5FF0">
        <w:rPr>
          <w:lang w:val="en-US"/>
        </w:rPr>
        <w:t>ved by applying w</w:t>
      </w:r>
      <w:r w:rsidRPr="008F5FF0">
        <w:rPr>
          <w:lang w:val="en-US"/>
        </w:rPr>
        <w:t xml:space="preserve">hat are considered to be </w:t>
      </w:r>
      <w:r w:rsidR="00573214" w:rsidRPr="008F5FF0">
        <w:rPr>
          <w:lang w:val="en-US"/>
        </w:rPr>
        <w:t xml:space="preserve">best available techniques in terms of </w:t>
      </w:r>
      <w:r w:rsidRPr="008F5FF0">
        <w:rPr>
          <w:lang w:val="en-US"/>
        </w:rPr>
        <w:t xml:space="preserve">the following activities: waste incineration, cement, lime and magnesium oxide production, glass manufacturing, non-ferrous metals production, ferrous metals processing, iron and steel production, and </w:t>
      </w:r>
      <w:proofErr w:type="spellStart"/>
      <w:r w:rsidRPr="00C570E1">
        <w:rPr>
          <w:lang w:val="en-US"/>
        </w:rPr>
        <w:t>smitheries</w:t>
      </w:r>
      <w:proofErr w:type="spellEnd"/>
      <w:r w:rsidRPr="008F5FF0">
        <w:rPr>
          <w:lang w:val="en-US"/>
        </w:rPr>
        <w:t xml:space="preserve"> and</w:t>
      </w:r>
      <w:r>
        <w:rPr>
          <w:lang w:val="en-US"/>
        </w:rPr>
        <w:t xml:space="preserve"> foundries.</w:t>
      </w:r>
    </w:p>
    <w:p w:rsidR="00B10509" w:rsidRDefault="00B10509" w:rsidP="001B4318">
      <w:pPr>
        <w:pStyle w:val="Normalnumber"/>
        <w:tabs>
          <w:tab w:val="num" w:pos="720"/>
        </w:tabs>
        <w:rPr>
          <w:lang w:val="en-US"/>
        </w:rPr>
      </w:pPr>
      <w:r>
        <w:rPr>
          <w:i/>
          <w:iCs/>
          <w:lang w:val="en-US"/>
        </w:rPr>
        <w:t xml:space="preserve">European Union Risk Assessment Report on </w:t>
      </w:r>
      <w:r w:rsidR="00573214">
        <w:rPr>
          <w:i/>
          <w:iCs/>
          <w:lang w:val="en-US"/>
        </w:rPr>
        <w:t>Cadmium Metal and Cadmium Oxide</w:t>
      </w:r>
      <w:r>
        <w:rPr>
          <w:i/>
          <w:iCs/>
          <w:lang w:val="en-US"/>
        </w:rPr>
        <w:t>: Part I – Environment</w:t>
      </w:r>
      <w:r>
        <w:rPr>
          <w:lang w:val="en-US"/>
        </w:rPr>
        <w:t xml:space="preserve"> </w:t>
      </w:r>
      <w:proofErr w:type="gramStart"/>
      <w:r>
        <w:rPr>
          <w:lang w:val="en-US"/>
        </w:rPr>
        <w:t>describes</w:t>
      </w:r>
      <w:proofErr w:type="gramEnd"/>
      <w:r>
        <w:rPr>
          <w:lang w:val="en-US"/>
        </w:rPr>
        <w:t xml:space="preserve"> the general uses of cadmium, including </w:t>
      </w:r>
      <w:r w:rsidR="00573214">
        <w:rPr>
          <w:lang w:val="en-US"/>
        </w:rPr>
        <w:t xml:space="preserve">for </w:t>
      </w:r>
      <w:r>
        <w:rPr>
          <w:lang w:val="en-US"/>
        </w:rPr>
        <w:t>nickel-cadmium batteries, pigments, stabilizers, alloys and plating, and also introduces legislative and voluntary control measures. The document focuses on giving detailed information on the sources of cadmium metal and cadmium oxide release</w:t>
      </w:r>
      <w:r w:rsidR="00573214">
        <w:rPr>
          <w:lang w:val="en-US"/>
        </w:rPr>
        <w:t>d</w:t>
      </w:r>
      <w:r>
        <w:rPr>
          <w:lang w:val="en-US"/>
        </w:rPr>
        <w:t xml:space="preserve"> into the environment, the local exposure assessments of aquatic, terrestrial, and atmospheric compartments, and the risk characterizations for each region. </w:t>
      </w:r>
      <w:r w:rsidR="008155A0">
        <w:rPr>
          <w:i/>
          <w:iCs/>
          <w:lang w:val="en-US"/>
        </w:rPr>
        <w:t xml:space="preserve">European Union Risk Assessment Report on Cadmium Metal and Cadmium Oxide: </w:t>
      </w:r>
      <w:r>
        <w:rPr>
          <w:i/>
          <w:iCs/>
          <w:lang w:val="en-US"/>
        </w:rPr>
        <w:t>Part II – Human Health</w:t>
      </w:r>
      <w:r>
        <w:rPr>
          <w:lang w:val="en-US"/>
        </w:rPr>
        <w:t xml:space="preserve"> explains possible exposure </w:t>
      </w:r>
      <w:r w:rsidRPr="00ED316B">
        <w:rPr>
          <w:lang w:val="en-US"/>
        </w:rPr>
        <w:t>paths to cadmium</w:t>
      </w:r>
      <w:r w:rsidR="00573214" w:rsidRPr="00ED316B">
        <w:rPr>
          <w:lang w:val="en-US"/>
        </w:rPr>
        <w:t xml:space="preserve"> metal</w:t>
      </w:r>
      <w:r w:rsidRPr="00ED316B">
        <w:rPr>
          <w:lang w:val="en-US"/>
        </w:rPr>
        <w:t xml:space="preserve"> and</w:t>
      </w:r>
      <w:r>
        <w:rPr>
          <w:lang w:val="en-US"/>
        </w:rPr>
        <w:t xml:space="preserve"> cadmium oxide, including </w:t>
      </w:r>
      <w:r w:rsidR="00573214">
        <w:rPr>
          <w:lang w:val="en-US"/>
        </w:rPr>
        <w:t xml:space="preserve">for </w:t>
      </w:r>
      <w:r>
        <w:rPr>
          <w:lang w:val="en-US"/>
        </w:rPr>
        <w:t xml:space="preserve">occupational, consumer and environmental exposures, and focuses on delivering information on the health hazards caused by cadmium poisoning, giving specific case study examples. </w:t>
      </w:r>
    </w:p>
    <w:p w:rsidR="00B10509" w:rsidRPr="001B4318" w:rsidRDefault="00DA751D" w:rsidP="001B4318">
      <w:pPr>
        <w:pStyle w:val="Normalnumber"/>
        <w:tabs>
          <w:tab w:val="num" w:pos="720"/>
        </w:tabs>
        <w:rPr>
          <w:iCs/>
          <w:lang w:val="en-US"/>
        </w:rPr>
      </w:pPr>
      <w:r w:rsidRPr="001B4318">
        <w:rPr>
          <w:iCs/>
          <w:lang w:val="en-US"/>
        </w:rPr>
        <w:t>The report entitled “</w:t>
      </w:r>
      <w:r w:rsidR="00B10509" w:rsidRPr="001B4318">
        <w:rPr>
          <w:iCs/>
          <w:lang w:val="en-US"/>
        </w:rPr>
        <w:t>Socio-</w:t>
      </w:r>
      <w:r w:rsidRPr="00551B90">
        <w:rPr>
          <w:iCs/>
          <w:lang w:val="en-US"/>
        </w:rPr>
        <w:t>economic impact of a potential update of the restrictions on the marketing and use of cadmiu</w:t>
      </w:r>
      <w:r w:rsidR="00B10509" w:rsidRPr="001B4318">
        <w:rPr>
          <w:iCs/>
          <w:lang w:val="en-US"/>
        </w:rPr>
        <w:t>m</w:t>
      </w:r>
      <w:r w:rsidRPr="001B4318">
        <w:rPr>
          <w:iCs/>
          <w:lang w:val="en-US"/>
        </w:rPr>
        <w:t>”</w:t>
      </w:r>
      <w:r w:rsidR="00B10509">
        <w:rPr>
          <w:lang w:val="en-US"/>
        </w:rPr>
        <w:t xml:space="preserve"> reports </w:t>
      </w:r>
      <w:r w:rsidR="0040413A">
        <w:rPr>
          <w:lang w:val="en-US"/>
        </w:rPr>
        <w:t xml:space="preserve">on </w:t>
      </w:r>
      <w:r w:rsidR="00B10509">
        <w:rPr>
          <w:lang w:val="en-US"/>
        </w:rPr>
        <w:t xml:space="preserve">cadmium usage and current restrictions on cadmium usage within the </w:t>
      </w:r>
      <w:r w:rsidR="0040413A">
        <w:rPr>
          <w:lang w:val="en-US"/>
        </w:rPr>
        <w:t>European Union</w:t>
      </w:r>
      <w:r w:rsidR="00B10509">
        <w:rPr>
          <w:lang w:val="en-US"/>
        </w:rPr>
        <w:t xml:space="preserve">. </w:t>
      </w:r>
      <w:r w:rsidR="0040413A">
        <w:rPr>
          <w:lang w:val="en-US"/>
        </w:rPr>
        <w:t>In addition</w:t>
      </w:r>
      <w:r w:rsidR="00B10509">
        <w:rPr>
          <w:lang w:val="en-US"/>
        </w:rPr>
        <w:t xml:space="preserve">, the document discusses the socio-economic impacts and the </w:t>
      </w:r>
      <w:r w:rsidR="00B10509">
        <w:rPr>
          <w:lang w:val="en-US"/>
        </w:rPr>
        <w:lastRenderedPageBreak/>
        <w:t xml:space="preserve">effectiveness of the various policy options in terms of health and environmental risk reduction, particularly for the use of cadmium in brazing alloys, </w:t>
      </w:r>
      <w:proofErr w:type="spellStart"/>
      <w:r w:rsidR="00B10509">
        <w:rPr>
          <w:lang w:val="en-US"/>
        </w:rPr>
        <w:t>jewellery</w:t>
      </w:r>
      <w:proofErr w:type="spellEnd"/>
      <w:r w:rsidR="00B10509">
        <w:rPr>
          <w:lang w:val="en-US"/>
        </w:rPr>
        <w:t xml:space="preserve">, and recycled </w:t>
      </w:r>
      <w:r w:rsidR="00B10509" w:rsidRPr="00551B90">
        <w:rPr>
          <w:lang w:val="en-US"/>
        </w:rPr>
        <w:t>PVC.</w:t>
      </w:r>
    </w:p>
    <w:p w:rsidR="00B10509" w:rsidRPr="00564DA3" w:rsidRDefault="0040413A" w:rsidP="001B4318">
      <w:pPr>
        <w:pStyle w:val="Normalnumber"/>
        <w:tabs>
          <w:tab w:val="num" w:pos="720"/>
        </w:tabs>
        <w:rPr>
          <w:lang w:val="en-US"/>
        </w:rPr>
      </w:pPr>
      <w:r w:rsidRPr="00551B90">
        <w:rPr>
          <w:lang w:val="en-US"/>
        </w:rPr>
        <w:t>The b</w:t>
      </w:r>
      <w:r w:rsidR="00B10509" w:rsidRPr="00F60C2F">
        <w:rPr>
          <w:lang w:val="en-US"/>
        </w:rPr>
        <w:t>ackground documen</w:t>
      </w:r>
      <w:r w:rsidR="00B10509" w:rsidRPr="00FD5362">
        <w:rPr>
          <w:lang w:val="en-US"/>
        </w:rPr>
        <w:t xml:space="preserve">t to the </w:t>
      </w:r>
      <w:r w:rsidR="00C662ED">
        <w:rPr>
          <w:lang w:val="en-US"/>
        </w:rPr>
        <w:t>“O</w:t>
      </w:r>
      <w:r w:rsidR="00B10509" w:rsidRPr="00551B90">
        <w:rPr>
          <w:lang w:val="en-US"/>
        </w:rPr>
        <w:t>pinion</w:t>
      </w:r>
      <w:r w:rsidR="00B10509" w:rsidRPr="00F60C2F">
        <w:rPr>
          <w:lang w:val="en-US"/>
        </w:rPr>
        <w:t xml:space="preserve"> on the </w:t>
      </w:r>
      <w:r w:rsidR="00B10509" w:rsidRPr="001B4318">
        <w:rPr>
          <w:iCs/>
          <w:lang w:val="en-US"/>
        </w:rPr>
        <w:t xml:space="preserve">Annex XV </w:t>
      </w:r>
      <w:r w:rsidR="00DA751D" w:rsidRPr="00551B90">
        <w:rPr>
          <w:iCs/>
          <w:lang w:val="en-US"/>
        </w:rPr>
        <w:t>dossier proposing restrictions on lead and compounds in articles intended for consumer u</w:t>
      </w:r>
      <w:r w:rsidR="005D50FB" w:rsidRPr="001B4318">
        <w:rPr>
          <w:iCs/>
          <w:lang w:val="en-US"/>
        </w:rPr>
        <w:t>se</w:t>
      </w:r>
      <w:r w:rsidR="00DA751D" w:rsidRPr="001B4318">
        <w:rPr>
          <w:iCs/>
          <w:lang w:val="en-US"/>
        </w:rPr>
        <w:t>”</w:t>
      </w:r>
      <w:r w:rsidR="00B10509" w:rsidRPr="00551B90">
        <w:rPr>
          <w:lang w:val="en-US"/>
        </w:rPr>
        <w:t xml:space="preserve"> </w:t>
      </w:r>
      <w:r w:rsidR="005D50FB" w:rsidRPr="00F60C2F">
        <w:rPr>
          <w:lang w:val="en-US"/>
        </w:rPr>
        <w:t>provides</w:t>
      </w:r>
      <w:r w:rsidR="005D50FB" w:rsidRPr="00FD5362">
        <w:rPr>
          <w:lang w:val="en-US"/>
        </w:rPr>
        <w:t xml:space="preserve"> concise</w:t>
      </w:r>
      <w:r w:rsidR="00B10509" w:rsidRPr="00564DA3">
        <w:rPr>
          <w:lang w:val="en-US"/>
        </w:rPr>
        <w:t xml:space="preserve"> information on hazards, exposure routes, costs for substitutions and restriction assessments.</w:t>
      </w:r>
    </w:p>
    <w:p w:rsidR="00B10509" w:rsidRDefault="005D50FB" w:rsidP="001B4318">
      <w:pPr>
        <w:pStyle w:val="Normalnumber"/>
        <w:tabs>
          <w:tab w:val="num" w:pos="720"/>
        </w:tabs>
        <w:rPr>
          <w:lang w:val="en-US"/>
        </w:rPr>
      </w:pPr>
      <w:r w:rsidRPr="00923516">
        <w:rPr>
          <w:lang w:val="en-US"/>
        </w:rPr>
        <w:t>The b</w:t>
      </w:r>
      <w:r w:rsidR="00B10509" w:rsidRPr="006C0D2A">
        <w:rPr>
          <w:lang w:val="en-US"/>
        </w:rPr>
        <w:t xml:space="preserve">ackground document to the </w:t>
      </w:r>
      <w:r w:rsidR="00C662ED">
        <w:rPr>
          <w:lang w:val="en-US"/>
        </w:rPr>
        <w:t>“O</w:t>
      </w:r>
      <w:r w:rsidR="00B10509" w:rsidRPr="00551B90">
        <w:rPr>
          <w:lang w:val="en-US"/>
        </w:rPr>
        <w:t>pinion</w:t>
      </w:r>
      <w:r w:rsidR="00B10509" w:rsidRPr="00F60C2F">
        <w:rPr>
          <w:lang w:val="en-US"/>
        </w:rPr>
        <w:t xml:space="preserve"> on the </w:t>
      </w:r>
      <w:r w:rsidR="00B10509" w:rsidRPr="001B4318">
        <w:rPr>
          <w:iCs/>
          <w:lang w:val="en-US"/>
        </w:rPr>
        <w:t xml:space="preserve">Annex XV </w:t>
      </w:r>
      <w:r w:rsidR="00DA751D" w:rsidRPr="00551B90">
        <w:rPr>
          <w:iCs/>
          <w:lang w:val="en-US"/>
        </w:rPr>
        <w:t xml:space="preserve">dossier proposing restrictions on lead and its compounds in </w:t>
      </w:r>
      <w:proofErr w:type="spellStart"/>
      <w:r w:rsidR="00DA751D" w:rsidRPr="00551B90">
        <w:rPr>
          <w:iCs/>
          <w:lang w:val="en-US"/>
        </w:rPr>
        <w:t>jewel</w:t>
      </w:r>
      <w:r w:rsidR="00B10509" w:rsidRPr="001B4318">
        <w:rPr>
          <w:iCs/>
          <w:lang w:val="en-US"/>
        </w:rPr>
        <w:t>lery</w:t>
      </w:r>
      <w:proofErr w:type="spellEnd"/>
      <w:r w:rsidR="00DA751D" w:rsidRPr="001B4318">
        <w:rPr>
          <w:iCs/>
          <w:lang w:val="en-US"/>
        </w:rPr>
        <w:t>”</w:t>
      </w:r>
      <w:r w:rsidR="00B10509" w:rsidRPr="00551B90">
        <w:rPr>
          <w:lang w:val="en-US"/>
        </w:rPr>
        <w:t xml:space="preserve"> reports </w:t>
      </w:r>
      <w:r w:rsidRPr="00551B90">
        <w:rPr>
          <w:lang w:val="en-US"/>
        </w:rPr>
        <w:t xml:space="preserve">on </w:t>
      </w:r>
      <w:r w:rsidR="00B10509" w:rsidRPr="00F60C2F">
        <w:rPr>
          <w:lang w:val="en-US"/>
        </w:rPr>
        <w:t>the us</w:t>
      </w:r>
      <w:r w:rsidR="00B10509">
        <w:rPr>
          <w:lang w:val="en-US"/>
        </w:rPr>
        <w:t xml:space="preserve">e of lead and its compounds in fashion </w:t>
      </w:r>
      <w:proofErr w:type="spellStart"/>
      <w:r w:rsidR="00B10509">
        <w:rPr>
          <w:lang w:val="en-US"/>
        </w:rPr>
        <w:t>jewellery</w:t>
      </w:r>
      <w:proofErr w:type="spellEnd"/>
      <w:r w:rsidR="00B10509">
        <w:rPr>
          <w:lang w:val="en-US"/>
        </w:rPr>
        <w:t xml:space="preserve"> and the assessments of the resulting human health hazard, exposure and risk. Detailed information about possible alternatives </w:t>
      </w:r>
      <w:r w:rsidR="00BE6623">
        <w:rPr>
          <w:lang w:val="en-US"/>
        </w:rPr>
        <w:t xml:space="preserve">to </w:t>
      </w:r>
      <w:r w:rsidR="00B10509">
        <w:rPr>
          <w:lang w:val="en-US"/>
        </w:rPr>
        <w:t xml:space="preserve">lead – silver, tin, zinc, copper and bismuth – is given, regarding their availability and potential risks </w:t>
      </w:r>
      <w:r>
        <w:rPr>
          <w:lang w:val="en-US"/>
        </w:rPr>
        <w:t xml:space="preserve">for </w:t>
      </w:r>
      <w:r w:rsidR="00B10509">
        <w:rPr>
          <w:lang w:val="en-US"/>
        </w:rPr>
        <w:t>human health and</w:t>
      </w:r>
      <w:r>
        <w:rPr>
          <w:lang w:val="en-US"/>
        </w:rPr>
        <w:t xml:space="preserve"> the</w:t>
      </w:r>
      <w:r w:rsidR="00B10509">
        <w:rPr>
          <w:lang w:val="en-US"/>
        </w:rPr>
        <w:t xml:space="preserve"> environment. </w:t>
      </w:r>
      <w:r>
        <w:rPr>
          <w:lang w:val="en-US"/>
        </w:rPr>
        <w:t>In addition</w:t>
      </w:r>
      <w:r w:rsidR="00B10509">
        <w:rPr>
          <w:lang w:val="en-US"/>
        </w:rPr>
        <w:t xml:space="preserve">, risk management options are evaluated based on their effectiveness, practicality, </w:t>
      </w:r>
      <w:proofErr w:type="spellStart"/>
      <w:r w:rsidR="00B10509">
        <w:rPr>
          <w:lang w:val="en-US"/>
        </w:rPr>
        <w:t>monitorability</w:t>
      </w:r>
      <w:proofErr w:type="spellEnd"/>
      <w:r w:rsidR="00B10509">
        <w:rPr>
          <w:lang w:val="en-US"/>
        </w:rPr>
        <w:t xml:space="preserve"> and socio-economic impacts. </w:t>
      </w:r>
    </w:p>
    <w:p w:rsidR="00B10509" w:rsidRDefault="005D50FB" w:rsidP="001B4318">
      <w:pPr>
        <w:pStyle w:val="Normalnumber"/>
        <w:tabs>
          <w:tab w:val="num" w:pos="720"/>
        </w:tabs>
        <w:rPr>
          <w:lang w:val="en-US"/>
        </w:rPr>
      </w:pPr>
      <w:r>
        <w:rPr>
          <w:lang w:val="en-US"/>
        </w:rPr>
        <w:t>The v</w:t>
      </w:r>
      <w:r w:rsidR="00B10509">
        <w:rPr>
          <w:lang w:val="en-US"/>
        </w:rPr>
        <w:t xml:space="preserve">oluntary </w:t>
      </w:r>
      <w:r>
        <w:rPr>
          <w:lang w:val="en-US"/>
        </w:rPr>
        <w:t>r</w:t>
      </w:r>
      <w:r w:rsidR="00B10509">
        <w:rPr>
          <w:lang w:val="en-US"/>
        </w:rPr>
        <w:t xml:space="preserve">isk </w:t>
      </w:r>
      <w:r>
        <w:rPr>
          <w:lang w:val="en-US"/>
        </w:rPr>
        <w:t>a</w:t>
      </w:r>
      <w:r w:rsidR="00B10509">
        <w:rPr>
          <w:lang w:val="en-US"/>
        </w:rPr>
        <w:t xml:space="preserve">ssessment for lead metal, lead monoxide, lead </w:t>
      </w:r>
      <w:proofErr w:type="spellStart"/>
      <w:r w:rsidR="00B10509">
        <w:rPr>
          <w:lang w:val="en-US"/>
        </w:rPr>
        <w:t>tetraoxide</w:t>
      </w:r>
      <w:proofErr w:type="spellEnd"/>
      <w:r w:rsidR="00B10509">
        <w:rPr>
          <w:lang w:val="en-US"/>
        </w:rPr>
        <w:t xml:space="preserve">, poly-basic lead </w:t>
      </w:r>
      <w:proofErr w:type="spellStart"/>
      <w:r w:rsidR="00B10509">
        <w:rPr>
          <w:lang w:val="en-US"/>
        </w:rPr>
        <w:t>fumerate</w:t>
      </w:r>
      <w:proofErr w:type="spellEnd"/>
      <w:r w:rsidR="00B10509">
        <w:rPr>
          <w:lang w:val="en-US"/>
        </w:rPr>
        <w:t xml:space="preserve">, basic lead </w:t>
      </w:r>
      <w:proofErr w:type="spellStart"/>
      <w:r w:rsidR="00B10509">
        <w:rPr>
          <w:lang w:val="en-US"/>
        </w:rPr>
        <w:t>sulphate</w:t>
      </w:r>
      <w:proofErr w:type="spellEnd"/>
      <w:r w:rsidR="00B10509">
        <w:rPr>
          <w:lang w:val="en-US"/>
        </w:rPr>
        <w:t xml:space="preserve">, basic lead carbonate, tetrabasic lead </w:t>
      </w:r>
      <w:proofErr w:type="spellStart"/>
      <w:r w:rsidR="00B10509">
        <w:rPr>
          <w:lang w:val="en-US"/>
        </w:rPr>
        <w:t>sulphate</w:t>
      </w:r>
      <w:proofErr w:type="spellEnd"/>
      <w:r w:rsidR="00B10509">
        <w:rPr>
          <w:lang w:val="en-US"/>
        </w:rPr>
        <w:t xml:space="preserve">, dibasic lead </w:t>
      </w:r>
      <w:proofErr w:type="spellStart"/>
      <w:r w:rsidR="00B10509">
        <w:rPr>
          <w:lang w:val="en-US"/>
        </w:rPr>
        <w:t>phosphite</w:t>
      </w:r>
      <w:proofErr w:type="spellEnd"/>
      <w:r w:rsidR="00B10509">
        <w:rPr>
          <w:lang w:val="en-US"/>
        </w:rPr>
        <w:t xml:space="preserve">, dibasic lead stearate, neutral lead stearate, dibasic lead phthalate, tetrabasic lead </w:t>
      </w:r>
      <w:proofErr w:type="spellStart"/>
      <w:r w:rsidR="00B10509">
        <w:rPr>
          <w:lang w:val="en-US"/>
        </w:rPr>
        <w:t>sulphate</w:t>
      </w:r>
      <w:proofErr w:type="spellEnd"/>
      <w:r w:rsidR="00B10509">
        <w:rPr>
          <w:lang w:val="en-US"/>
        </w:rPr>
        <w:t xml:space="preserve">, and basic lead </w:t>
      </w:r>
      <w:proofErr w:type="spellStart"/>
      <w:r w:rsidR="00B10509">
        <w:rPr>
          <w:lang w:val="en-US"/>
        </w:rPr>
        <w:t>sulphite</w:t>
      </w:r>
      <w:proofErr w:type="spellEnd"/>
      <w:r w:rsidR="00B10509">
        <w:rPr>
          <w:lang w:val="en-US"/>
        </w:rPr>
        <w:t xml:space="preserve"> </w:t>
      </w:r>
      <w:r w:rsidR="00BE6623">
        <w:rPr>
          <w:lang w:val="en-US"/>
        </w:rPr>
        <w:t>provides</w:t>
      </w:r>
      <w:r w:rsidR="00B10509">
        <w:rPr>
          <w:lang w:val="en-US"/>
        </w:rPr>
        <w:t xml:space="preserve"> </w:t>
      </w:r>
      <w:r w:rsidR="00BE6623">
        <w:rPr>
          <w:lang w:val="en-US"/>
        </w:rPr>
        <w:t xml:space="preserve">comprehensive </w:t>
      </w:r>
      <w:r w:rsidR="00B10509">
        <w:rPr>
          <w:lang w:val="en-US"/>
        </w:rPr>
        <w:t xml:space="preserve">information on the effects of certain chemicals on human health and </w:t>
      </w:r>
      <w:r w:rsidR="00BE6623">
        <w:rPr>
          <w:lang w:val="en-US"/>
        </w:rPr>
        <w:t xml:space="preserve">the </w:t>
      </w:r>
      <w:r w:rsidR="00B10509">
        <w:rPr>
          <w:lang w:val="en-US"/>
        </w:rPr>
        <w:t>environment.</w:t>
      </w:r>
    </w:p>
    <w:p w:rsidR="00B10509" w:rsidRDefault="00BE6623" w:rsidP="001B4318">
      <w:pPr>
        <w:pStyle w:val="Normalnumber"/>
        <w:tabs>
          <w:tab w:val="num" w:pos="720"/>
        </w:tabs>
        <w:rPr>
          <w:lang w:val="en-US"/>
        </w:rPr>
      </w:pPr>
      <w:r w:rsidRPr="00551B90">
        <w:rPr>
          <w:lang w:val="en-US"/>
        </w:rPr>
        <w:t xml:space="preserve">The </w:t>
      </w:r>
      <w:r w:rsidRPr="001B4318">
        <w:rPr>
          <w:lang w:val="en-US"/>
        </w:rPr>
        <w:t>Economic Commission for Europe</w:t>
      </w:r>
      <w:r w:rsidRPr="00551B90">
        <w:rPr>
          <w:lang w:val="en-US"/>
        </w:rPr>
        <w:t xml:space="preserve"> </w:t>
      </w:r>
      <w:r w:rsidRPr="00F60C2F">
        <w:rPr>
          <w:lang w:val="en-US"/>
        </w:rPr>
        <w:t>g</w:t>
      </w:r>
      <w:r w:rsidR="00B10509" w:rsidRPr="00FD5362">
        <w:rPr>
          <w:lang w:val="en-US"/>
        </w:rPr>
        <w:t xml:space="preserve">uidance document on best available techniques </w:t>
      </w:r>
      <w:r w:rsidR="00B10509" w:rsidRPr="00923516">
        <w:rPr>
          <w:lang w:val="en-US"/>
        </w:rPr>
        <w:t xml:space="preserve">for controlling emissions of heavy </w:t>
      </w:r>
      <w:r w:rsidR="00B10509" w:rsidRPr="00C61356">
        <w:rPr>
          <w:lang w:val="en-US"/>
        </w:rPr>
        <w:t>metals and their compounds from the source categories listed in annex II to the</w:t>
      </w:r>
      <w:r w:rsidR="00B10509" w:rsidRPr="006C0D2A">
        <w:rPr>
          <w:i/>
          <w:iCs/>
          <w:lang w:val="en-US"/>
        </w:rPr>
        <w:t xml:space="preserve"> </w:t>
      </w:r>
      <w:r w:rsidR="00B10509" w:rsidRPr="001B4318">
        <w:rPr>
          <w:iCs/>
          <w:lang w:val="en-US"/>
        </w:rPr>
        <w:t>Protocol on Heavy Metals</w:t>
      </w:r>
      <w:r w:rsidR="00B10509" w:rsidRPr="00551B90">
        <w:rPr>
          <w:lang w:val="en-US"/>
        </w:rPr>
        <w:t xml:space="preserve"> </w:t>
      </w:r>
      <w:r w:rsidR="00B10509" w:rsidRPr="00FD5362">
        <w:rPr>
          <w:lang w:val="en-US"/>
        </w:rPr>
        <w:t>describes the possibilities for controlling or preventing heavy metal emissions and monitoring abatement</w:t>
      </w:r>
      <w:r w:rsidR="00B10509">
        <w:rPr>
          <w:lang w:val="en-US"/>
        </w:rPr>
        <w:t xml:space="preserve"> procedures. The document reports </w:t>
      </w:r>
      <w:r w:rsidR="000B5179">
        <w:rPr>
          <w:lang w:val="en-US"/>
        </w:rPr>
        <w:t xml:space="preserve">on </w:t>
      </w:r>
      <w:r w:rsidR="00B10509">
        <w:rPr>
          <w:lang w:val="en-US"/>
        </w:rPr>
        <w:t xml:space="preserve">control measures, </w:t>
      </w:r>
      <w:r w:rsidR="000B5179">
        <w:rPr>
          <w:lang w:val="en-US"/>
        </w:rPr>
        <w:t xml:space="preserve">efficiency </w:t>
      </w:r>
      <w:r w:rsidR="00B10509">
        <w:rPr>
          <w:lang w:val="en-US"/>
        </w:rPr>
        <w:t xml:space="preserve">reduction and the related costs of the </w:t>
      </w:r>
      <w:r w:rsidR="000B5179">
        <w:rPr>
          <w:lang w:val="en-US"/>
        </w:rPr>
        <w:t>best available techniques</w:t>
      </w:r>
      <w:r w:rsidR="00B10509">
        <w:rPr>
          <w:lang w:val="en-US"/>
        </w:rPr>
        <w:t xml:space="preserve"> for different emission sources. </w:t>
      </w:r>
    </w:p>
    <w:p w:rsidR="00B10509" w:rsidRPr="00F60C2F" w:rsidRDefault="00B10509" w:rsidP="001B4318">
      <w:pPr>
        <w:pStyle w:val="Normalnumber"/>
        <w:tabs>
          <w:tab w:val="num" w:pos="720"/>
        </w:tabs>
        <w:rPr>
          <w:lang w:val="en-US"/>
        </w:rPr>
      </w:pPr>
      <w:r>
        <w:rPr>
          <w:lang w:val="en-US"/>
        </w:rPr>
        <w:t>Directives 2000/53/EC on end-life-vehicles (</w:t>
      </w:r>
      <w:r w:rsidR="000B5179">
        <w:rPr>
          <w:lang w:val="en-US"/>
        </w:rPr>
        <w:t>“</w:t>
      </w:r>
      <w:r>
        <w:rPr>
          <w:lang w:val="en-US"/>
        </w:rPr>
        <w:t>ELV” Directive) and 2002/95/EC on the restriction of the use of certain hazardous substances in electrical and electronic equipment (“</w:t>
      </w:r>
      <w:proofErr w:type="spellStart"/>
      <w:r>
        <w:rPr>
          <w:lang w:val="en-US"/>
        </w:rPr>
        <w:t>RoHS</w:t>
      </w:r>
      <w:proofErr w:type="spellEnd"/>
      <w:r>
        <w:rPr>
          <w:lang w:val="en-US"/>
        </w:rPr>
        <w:t xml:space="preserve">” Directive) restrict the use of lead, mercury, hexavalent chromium and cadmium in vehicles and in electrical and electronic equipment (EEE), respectively. Exemptions </w:t>
      </w:r>
      <w:r w:rsidR="000B5179">
        <w:rPr>
          <w:lang w:val="en-US"/>
        </w:rPr>
        <w:t xml:space="preserve">to </w:t>
      </w:r>
      <w:r>
        <w:rPr>
          <w:lang w:val="en-US"/>
        </w:rPr>
        <w:t xml:space="preserve">each </w:t>
      </w:r>
      <w:r w:rsidR="000B5179">
        <w:rPr>
          <w:lang w:val="en-US"/>
        </w:rPr>
        <w:t>of the d</w:t>
      </w:r>
      <w:r>
        <w:rPr>
          <w:lang w:val="en-US"/>
        </w:rPr>
        <w:t xml:space="preserve">irectives are subjected to technical and scientific evaluations and the results are reported in </w:t>
      </w:r>
      <w:r w:rsidR="008155A0">
        <w:rPr>
          <w:lang w:val="en-US"/>
        </w:rPr>
        <w:t>“</w:t>
      </w:r>
      <w:r w:rsidRPr="001B4318">
        <w:rPr>
          <w:iCs/>
          <w:lang w:val="en-US"/>
        </w:rPr>
        <w:t xml:space="preserve">Adaptation to Scientific and Technical Progress of Annex II </w:t>
      </w:r>
      <w:r w:rsidR="000B5179" w:rsidRPr="001B4318">
        <w:rPr>
          <w:iCs/>
          <w:lang w:val="en-US"/>
        </w:rPr>
        <w:t xml:space="preserve">to </w:t>
      </w:r>
      <w:r w:rsidRPr="001B4318">
        <w:rPr>
          <w:iCs/>
          <w:lang w:val="en-US"/>
        </w:rPr>
        <w:t>Directive 2000/53/EC</w:t>
      </w:r>
      <w:r w:rsidR="008155A0" w:rsidRPr="001B4318">
        <w:rPr>
          <w:iCs/>
          <w:lang w:val="en-US"/>
        </w:rPr>
        <w:t>”</w:t>
      </w:r>
      <w:r w:rsidRPr="001B4318">
        <w:rPr>
          <w:iCs/>
          <w:lang w:val="en-US"/>
        </w:rPr>
        <w:t xml:space="preserve"> </w:t>
      </w:r>
      <w:r w:rsidRPr="00551B90">
        <w:rPr>
          <w:lang w:val="en-US"/>
        </w:rPr>
        <w:t xml:space="preserve">and </w:t>
      </w:r>
      <w:r w:rsidR="008155A0" w:rsidRPr="00551B90">
        <w:rPr>
          <w:lang w:val="en-US"/>
        </w:rPr>
        <w:t>“</w:t>
      </w:r>
      <w:r w:rsidRPr="001B4318">
        <w:rPr>
          <w:iCs/>
          <w:lang w:val="en-US"/>
        </w:rPr>
        <w:t xml:space="preserve">Adaptation to </w:t>
      </w:r>
      <w:r w:rsidR="000B5179" w:rsidRPr="001B4318">
        <w:rPr>
          <w:iCs/>
          <w:lang w:val="en-US"/>
        </w:rPr>
        <w:t>S</w:t>
      </w:r>
      <w:r w:rsidRPr="001B4318">
        <w:rPr>
          <w:iCs/>
          <w:lang w:val="en-US"/>
        </w:rPr>
        <w:t xml:space="preserve">cientific and </w:t>
      </w:r>
      <w:r w:rsidR="000B5179" w:rsidRPr="001B4318">
        <w:rPr>
          <w:iCs/>
          <w:lang w:val="en-US"/>
        </w:rPr>
        <w:t>T</w:t>
      </w:r>
      <w:r w:rsidRPr="001B4318">
        <w:rPr>
          <w:iCs/>
          <w:lang w:val="en-US"/>
        </w:rPr>
        <w:t xml:space="preserve">echnical </w:t>
      </w:r>
      <w:r w:rsidR="000B5179" w:rsidRPr="001B4318">
        <w:rPr>
          <w:iCs/>
          <w:lang w:val="en-US"/>
        </w:rPr>
        <w:t>P</w:t>
      </w:r>
      <w:r w:rsidRPr="001B4318">
        <w:rPr>
          <w:iCs/>
          <w:lang w:val="en-US"/>
        </w:rPr>
        <w:t>rogress of Annex II to Directive 2000/53/EC (ELV) and of the Annex to Directive 2002/95/EC (</w:t>
      </w:r>
      <w:proofErr w:type="spellStart"/>
      <w:r w:rsidRPr="001B4318">
        <w:rPr>
          <w:iCs/>
          <w:lang w:val="en-US"/>
        </w:rPr>
        <w:t>RoHS</w:t>
      </w:r>
      <w:proofErr w:type="spellEnd"/>
      <w:r w:rsidRPr="001B4318">
        <w:rPr>
          <w:iCs/>
          <w:lang w:val="en-US"/>
        </w:rPr>
        <w:t>)</w:t>
      </w:r>
      <w:r w:rsidRPr="00551B90">
        <w:rPr>
          <w:lang w:val="en-US"/>
        </w:rPr>
        <w:t>.</w:t>
      </w:r>
      <w:r w:rsidR="008155A0" w:rsidRPr="00551B90">
        <w:rPr>
          <w:lang w:val="en-US"/>
        </w:rPr>
        <w:t>”</w:t>
      </w:r>
    </w:p>
    <w:p w:rsidR="00B10509" w:rsidRDefault="00823598" w:rsidP="001B4318">
      <w:pPr>
        <w:pStyle w:val="Normalnumber"/>
        <w:tabs>
          <w:tab w:val="num" w:pos="720"/>
        </w:tabs>
        <w:rPr>
          <w:i/>
          <w:iCs/>
          <w:lang w:val="en-US"/>
        </w:rPr>
      </w:pPr>
      <w:r>
        <w:rPr>
          <w:iCs/>
          <w:lang w:val="en-US"/>
        </w:rPr>
        <w:t xml:space="preserve">The </w:t>
      </w:r>
      <w:r w:rsidR="008155A0" w:rsidRPr="001B4318">
        <w:rPr>
          <w:iCs/>
          <w:lang w:val="en-US"/>
        </w:rPr>
        <w:t>“</w:t>
      </w:r>
      <w:r w:rsidR="00B10509" w:rsidRPr="001B4318">
        <w:rPr>
          <w:iCs/>
          <w:lang w:val="en-US"/>
        </w:rPr>
        <w:t>End-of-</w:t>
      </w:r>
      <w:r w:rsidR="000B5179" w:rsidRPr="001B4318">
        <w:rPr>
          <w:iCs/>
          <w:lang w:val="en-US"/>
        </w:rPr>
        <w:t>l</w:t>
      </w:r>
      <w:r w:rsidR="00B10509" w:rsidRPr="001B4318">
        <w:rPr>
          <w:iCs/>
          <w:lang w:val="en-US"/>
        </w:rPr>
        <w:t>ife vehicle directive 2000/53/EC Annex II: Study on analysis of costs and environmental benefits of heavy metal ban, and proposal for better regulation</w:t>
      </w:r>
      <w:r w:rsidR="008155A0" w:rsidRPr="001B4318">
        <w:rPr>
          <w:iCs/>
          <w:lang w:val="en-US"/>
        </w:rPr>
        <w:t>”</w:t>
      </w:r>
      <w:r w:rsidR="00B10509" w:rsidRPr="00551B90">
        <w:rPr>
          <w:lang w:val="en-US"/>
        </w:rPr>
        <w:t xml:space="preserve"> by</w:t>
      </w:r>
      <w:r w:rsidR="00B10509">
        <w:rPr>
          <w:lang w:val="en-US"/>
        </w:rPr>
        <w:t xml:space="preserve"> the European Car Manufacturers’ Association</w:t>
      </w:r>
      <w:r w:rsidR="000B5179">
        <w:rPr>
          <w:lang w:val="en-US"/>
        </w:rPr>
        <w:t xml:space="preserve"> (ACEA)</w:t>
      </w:r>
      <w:r w:rsidR="00B10509">
        <w:rPr>
          <w:lang w:val="en-US"/>
        </w:rPr>
        <w:t xml:space="preserve">, reports that emissions of lead, cadmium, mercury and hexavalent chromium reduced by 99.6 </w:t>
      </w:r>
      <w:r w:rsidR="000B5179">
        <w:rPr>
          <w:lang w:val="en-US"/>
        </w:rPr>
        <w:t xml:space="preserve">per cent, </w:t>
      </w:r>
      <w:r w:rsidR="00B10509">
        <w:rPr>
          <w:lang w:val="en-US"/>
        </w:rPr>
        <w:t xml:space="preserve">96 </w:t>
      </w:r>
      <w:r w:rsidR="000B5179">
        <w:rPr>
          <w:lang w:val="en-US"/>
        </w:rPr>
        <w:t>per cent</w:t>
      </w:r>
      <w:r w:rsidR="00B10509">
        <w:rPr>
          <w:lang w:val="en-US"/>
        </w:rPr>
        <w:t xml:space="preserve">, 0 </w:t>
      </w:r>
      <w:r w:rsidR="000B5179">
        <w:rPr>
          <w:lang w:val="en-US"/>
        </w:rPr>
        <w:t>per cent</w:t>
      </w:r>
      <w:r w:rsidR="00B10509">
        <w:rPr>
          <w:lang w:val="en-US"/>
        </w:rPr>
        <w:t xml:space="preserve"> (negligible gross amount) and 99.99 </w:t>
      </w:r>
      <w:r w:rsidR="000B5179">
        <w:rPr>
          <w:lang w:val="en-US"/>
        </w:rPr>
        <w:t>per cent</w:t>
      </w:r>
      <w:r w:rsidR="00B10509">
        <w:rPr>
          <w:lang w:val="en-US"/>
        </w:rPr>
        <w:t>, respectively, between 2000 and 2005</w:t>
      </w:r>
      <w:r w:rsidR="000B5179">
        <w:rPr>
          <w:lang w:val="en-US"/>
        </w:rPr>
        <w:t>, demonstrating</w:t>
      </w:r>
      <w:r w:rsidR="00B10509">
        <w:rPr>
          <w:lang w:val="en-US"/>
        </w:rPr>
        <w:t xml:space="preserve"> that the phase-out of such heavy metals from the </w:t>
      </w:r>
      <w:r w:rsidR="000B5179">
        <w:rPr>
          <w:lang w:val="en-US"/>
        </w:rPr>
        <w:t xml:space="preserve">end-of-life vehicles </w:t>
      </w:r>
      <w:r w:rsidR="00B10509">
        <w:rPr>
          <w:lang w:val="en-US"/>
        </w:rPr>
        <w:t xml:space="preserve">waste stream </w:t>
      </w:r>
      <w:r w:rsidR="000B5179">
        <w:rPr>
          <w:lang w:val="en-US"/>
        </w:rPr>
        <w:t>is close to completion</w:t>
      </w:r>
      <w:r w:rsidR="00B10509">
        <w:rPr>
          <w:lang w:val="en-US"/>
        </w:rPr>
        <w:t xml:space="preserve">. </w:t>
      </w:r>
    </w:p>
    <w:p w:rsidR="00B10509" w:rsidRDefault="000B5179" w:rsidP="001B4318">
      <w:pPr>
        <w:pStyle w:val="Normalnumber"/>
        <w:tabs>
          <w:tab w:val="num" w:pos="720"/>
        </w:tabs>
        <w:rPr>
          <w:lang w:val="en-US"/>
        </w:rPr>
      </w:pPr>
      <w:r>
        <w:rPr>
          <w:lang w:val="en-US"/>
        </w:rPr>
        <w:t>The r</w:t>
      </w:r>
      <w:r w:rsidR="00B10509">
        <w:rPr>
          <w:lang w:val="en-US"/>
        </w:rPr>
        <w:t xml:space="preserve">eport on a study carried out by the European Commission, </w:t>
      </w:r>
      <w:r w:rsidR="00B10509">
        <w:rPr>
          <w:i/>
          <w:iCs/>
          <w:lang w:val="en-US"/>
        </w:rPr>
        <w:t>Comparative Life-Cycle Assessment of nickel-cadmium (</w:t>
      </w:r>
      <w:proofErr w:type="spellStart"/>
      <w:r w:rsidR="00B10509">
        <w:rPr>
          <w:i/>
          <w:iCs/>
          <w:lang w:val="en-US"/>
        </w:rPr>
        <w:t>NiCd</w:t>
      </w:r>
      <w:proofErr w:type="spellEnd"/>
      <w:r w:rsidR="00B10509">
        <w:rPr>
          <w:i/>
          <w:iCs/>
          <w:lang w:val="en-US"/>
        </w:rPr>
        <w:t>) batteries used in Cordless Power Tools (CPTs) vs. their alternatives nickel-metal hydride (NiMH) and lithium-ion (Li-ion) batteries</w:t>
      </w:r>
      <w:r w:rsidR="00B10509">
        <w:rPr>
          <w:lang w:val="en-US"/>
        </w:rPr>
        <w:t xml:space="preserve">, presents the results of the </w:t>
      </w:r>
      <w:r>
        <w:rPr>
          <w:lang w:val="en-US"/>
        </w:rPr>
        <w:t>l</w:t>
      </w:r>
      <w:r w:rsidR="00B10509">
        <w:rPr>
          <w:lang w:val="en-US"/>
        </w:rPr>
        <w:t>ife</w:t>
      </w:r>
      <w:r>
        <w:rPr>
          <w:lang w:val="en-US"/>
        </w:rPr>
        <w:t xml:space="preserve"> c</w:t>
      </w:r>
      <w:r w:rsidR="00B10509">
        <w:rPr>
          <w:lang w:val="en-US"/>
        </w:rPr>
        <w:t xml:space="preserve">ycle </w:t>
      </w:r>
      <w:r>
        <w:rPr>
          <w:lang w:val="en-US"/>
        </w:rPr>
        <w:t>a</w:t>
      </w:r>
      <w:r w:rsidR="00B10509">
        <w:rPr>
          <w:lang w:val="en-US"/>
        </w:rPr>
        <w:t>ssessment carried out for the three battery types and the comparative assessment of the environmental impacts over their whole life cycle</w:t>
      </w:r>
      <w:r>
        <w:rPr>
          <w:lang w:val="en-US"/>
        </w:rPr>
        <w:t>s</w:t>
      </w:r>
      <w:r w:rsidR="00B10509">
        <w:rPr>
          <w:lang w:val="en-US"/>
        </w:rPr>
        <w:t xml:space="preserve">. Moreover, </w:t>
      </w:r>
      <w:r>
        <w:rPr>
          <w:lang w:val="en-US"/>
        </w:rPr>
        <w:t xml:space="preserve">the report </w:t>
      </w:r>
      <w:r w:rsidR="006F60B4">
        <w:rPr>
          <w:lang w:val="en-US"/>
        </w:rPr>
        <w:t>considers</w:t>
      </w:r>
      <w:r>
        <w:rPr>
          <w:lang w:val="en-US"/>
        </w:rPr>
        <w:t xml:space="preserve"> </w:t>
      </w:r>
      <w:r w:rsidR="00B10509">
        <w:rPr>
          <w:lang w:val="en-US"/>
        </w:rPr>
        <w:t>the economic, social and environmental impacts of the various policy options to reduce the environmental impact and human exposure to cadmium associated with these batteries.</w:t>
      </w:r>
    </w:p>
    <w:p w:rsidR="00B10509" w:rsidRDefault="00823598" w:rsidP="001B4318">
      <w:pPr>
        <w:pStyle w:val="Normalnumber"/>
        <w:tabs>
          <w:tab w:val="num" w:pos="720"/>
        </w:tabs>
        <w:rPr>
          <w:lang w:val="en-US"/>
        </w:rPr>
      </w:pPr>
      <w:r>
        <w:rPr>
          <w:iCs/>
          <w:lang w:val="en-US"/>
        </w:rPr>
        <w:t xml:space="preserve">The </w:t>
      </w:r>
      <w:r w:rsidR="008155A0" w:rsidRPr="001B4318">
        <w:rPr>
          <w:iCs/>
          <w:lang w:val="en-US"/>
        </w:rPr>
        <w:t>“</w:t>
      </w:r>
      <w:r w:rsidR="00B10509" w:rsidRPr="001B4318">
        <w:rPr>
          <w:iCs/>
          <w:lang w:val="en-US"/>
        </w:rPr>
        <w:t xml:space="preserve">Survey of </w:t>
      </w:r>
      <w:r w:rsidR="003E3807" w:rsidRPr="00551B90">
        <w:rPr>
          <w:iCs/>
          <w:lang w:val="en-US"/>
        </w:rPr>
        <w:t xml:space="preserve">mercury, cadmium and lead content of household </w:t>
      </w:r>
      <w:r w:rsidR="003E3807" w:rsidRPr="00F60C2F">
        <w:rPr>
          <w:iCs/>
          <w:lang w:val="en-US"/>
        </w:rPr>
        <w:t>batteries</w:t>
      </w:r>
      <w:r w:rsidR="008155A0" w:rsidRPr="001B4318">
        <w:rPr>
          <w:iCs/>
          <w:lang w:val="en-US"/>
        </w:rPr>
        <w:t>”</w:t>
      </w:r>
      <w:r w:rsidR="00B10509" w:rsidRPr="00551B90">
        <w:rPr>
          <w:lang w:val="en-US"/>
        </w:rPr>
        <w:t xml:space="preserve"> </w:t>
      </w:r>
      <w:r w:rsidR="00B10509">
        <w:rPr>
          <w:lang w:val="en-US"/>
        </w:rPr>
        <w:t xml:space="preserve">conducted by the German Federal Environment Agency </w:t>
      </w:r>
      <w:r w:rsidR="005443F8">
        <w:rPr>
          <w:lang w:val="en-US"/>
        </w:rPr>
        <w:t xml:space="preserve">considers </w:t>
      </w:r>
      <w:r w:rsidR="00B10509">
        <w:rPr>
          <w:lang w:val="en-US"/>
        </w:rPr>
        <w:t xml:space="preserve">the situation regarding the compliance of commercially available batteries with the existing limits for heavy metal contents in Germany (5 ppm for mercury, 20 ppm for cadmium, and 40 ppm for lead). The results show that the mercury and cadmium contents were mostly below the limits, </w:t>
      </w:r>
      <w:r w:rsidR="005443F8">
        <w:rPr>
          <w:lang w:val="en-US"/>
        </w:rPr>
        <w:t>while</w:t>
      </w:r>
      <w:r w:rsidR="00B10509">
        <w:rPr>
          <w:lang w:val="en-US"/>
        </w:rPr>
        <w:t xml:space="preserve"> the lead content exceeded the limit in many cases. </w:t>
      </w:r>
    </w:p>
    <w:p w:rsidR="00B10509" w:rsidRDefault="005443F8" w:rsidP="001B4318">
      <w:pPr>
        <w:pStyle w:val="Normalnumber"/>
        <w:tabs>
          <w:tab w:val="num" w:pos="720"/>
        </w:tabs>
        <w:rPr>
          <w:lang w:val="en-US"/>
        </w:rPr>
      </w:pPr>
      <w:r>
        <w:rPr>
          <w:lang w:val="en-US"/>
        </w:rPr>
        <w:t xml:space="preserve">The </w:t>
      </w:r>
      <w:r w:rsidR="00B10509">
        <w:rPr>
          <w:lang w:val="en-US"/>
        </w:rPr>
        <w:t xml:space="preserve">German Federal Environment Agency submitted a report on action areas and criteria for a precautionary, sustainable substance policy using the example of </w:t>
      </w:r>
      <w:proofErr w:type="gramStart"/>
      <w:r w:rsidR="00B10509">
        <w:rPr>
          <w:lang w:val="en-US"/>
        </w:rPr>
        <w:t>PVC,</w:t>
      </w:r>
      <w:proofErr w:type="gramEnd"/>
      <w:r w:rsidR="00B10509">
        <w:rPr>
          <w:lang w:val="en-US"/>
        </w:rPr>
        <w:t xml:space="preserve"> including an evaluation of possible alternatives </w:t>
      </w:r>
      <w:r w:rsidR="00BE6623">
        <w:rPr>
          <w:lang w:val="en-US"/>
        </w:rPr>
        <w:t xml:space="preserve">to </w:t>
      </w:r>
      <w:r w:rsidR="00B10509">
        <w:rPr>
          <w:lang w:val="en-US"/>
        </w:rPr>
        <w:t>lead and cadmium as stabilizers in PVC (the report is available upon request).</w:t>
      </w:r>
    </w:p>
    <w:p w:rsidR="00B10509" w:rsidRDefault="00823598" w:rsidP="001B4318">
      <w:pPr>
        <w:pStyle w:val="Normalnumber"/>
        <w:tabs>
          <w:tab w:val="num" w:pos="720"/>
        </w:tabs>
      </w:pPr>
      <w:r>
        <w:rPr>
          <w:iCs/>
          <w:lang w:val="en-US"/>
        </w:rPr>
        <w:t xml:space="preserve">The </w:t>
      </w:r>
      <w:r w:rsidR="00B10509">
        <w:rPr>
          <w:i/>
          <w:iCs/>
          <w:lang w:val="en-US"/>
        </w:rPr>
        <w:t>Vinyl 2010 Progress Report 2010</w:t>
      </w:r>
      <w:r w:rsidR="00B10509">
        <w:rPr>
          <w:lang w:val="en-US"/>
        </w:rPr>
        <w:t xml:space="preserve"> is based on the Voluntary Commitment of the European </w:t>
      </w:r>
      <w:proofErr w:type="spellStart"/>
      <w:r w:rsidR="00B10509">
        <w:rPr>
          <w:lang w:val="en-US"/>
        </w:rPr>
        <w:t>PVCindustry</w:t>
      </w:r>
      <w:proofErr w:type="spellEnd"/>
      <w:r w:rsidR="00B10509">
        <w:rPr>
          <w:lang w:val="en-US"/>
        </w:rPr>
        <w:t xml:space="preserve">, a 10-year plan signed in 2000 to ensure and improve product stewardship across the lifecycle of PVC. According to the report, cadmium stabilizers have been phased out and the majority </w:t>
      </w:r>
      <w:r w:rsidR="00B10509">
        <w:rPr>
          <w:lang w:val="en-US"/>
        </w:rPr>
        <w:lastRenderedPageBreak/>
        <w:t xml:space="preserve">of lead stabilizers have been replaced with calcium-based stabilizers. Moreover, the achievements in PVC waste </w:t>
      </w:r>
      <w:r w:rsidR="00B10509">
        <w:t>collection and recycling schemes are discussed in the report.</w:t>
      </w:r>
    </w:p>
    <w:p w:rsidR="00B10509" w:rsidRDefault="00B10509" w:rsidP="00015ACD">
      <w:pPr>
        <w:pStyle w:val="CH3"/>
      </w:pPr>
      <w:r>
        <w:tab/>
      </w:r>
      <w:r>
        <w:tab/>
        <w:t xml:space="preserve">Finland </w:t>
      </w:r>
    </w:p>
    <w:p w:rsidR="00B10509" w:rsidRDefault="00B10509" w:rsidP="001B4318">
      <w:pPr>
        <w:pStyle w:val="Normalnumber"/>
        <w:tabs>
          <w:tab w:val="num" w:pos="720"/>
        </w:tabs>
      </w:pPr>
      <w:r>
        <w:t>Finland submitted a Control of Hazardous Substances in the Baltic Sea Region</w:t>
      </w:r>
      <w:r w:rsidR="005443F8" w:rsidRPr="005443F8">
        <w:t xml:space="preserve"> </w:t>
      </w:r>
      <w:r w:rsidR="005443F8">
        <w:t>(COHIBA</w:t>
      </w:r>
      <w:r>
        <w:t xml:space="preserve">) Guidance Document, </w:t>
      </w:r>
      <w:r>
        <w:rPr>
          <w:i/>
          <w:iCs/>
        </w:rPr>
        <w:t>Measures for Emission Reduction of Cadmium in the Baltic Sea Area</w:t>
      </w:r>
      <w:r>
        <w:t xml:space="preserve">, which </w:t>
      </w:r>
      <w:r w:rsidR="003B5B93">
        <w:t xml:space="preserve">is a product of </w:t>
      </w:r>
      <w:r>
        <w:t xml:space="preserve">multinational research and </w:t>
      </w:r>
      <w:r w:rsidR="003B5B93">
        <w:t xml:space="preserve">was </w:t>
      </w:r>
      <w:r>
        <w:t xml:space="preserve">financed </w:t>
      </w:r>
      <w:r w:rsidR="003B5B93">
        <w:t xml:space="preserve">in part </w:t>
      </w:r>
      <w:r>
        <w:t xml:space="preserve">by the European Union. </w:t>
      </w:r>
      <w:r w:rsidR="003B5B93">
        <w:t>The</w:t>
      </w:r>
      <w:r>
        <w:t xml:space="preserve"> document</w:t>
      </w:r>
      <w:r w:rsidR="003B5B93">
        <w:t xml:space="preserve"> reviews </w:t>
      </w:r>
      <w:r>
        <w:t xml:space="preserve">the chemical properties, production and use, emission sources, and environmental fate of cadmium. </w:t>
      </w:r>
      <w:r w:rsidR="003B5B93">
        <w:t>In addition</w:t>
      </w:r>
      <w:r>
        <w:t xml:space="preserve">, </w:t>
      </w:r>
      <w:r w:rsidR="003B5B93">
        <w:t xml:space="preserve">it considers </w:t>
      </w:r>
      <w:r>
        <w:t xml:space="preserve">existing regulations and </w:t>
      </w:r>
      <w:r w:rsidR="003B5B93">
        <w:t xml:space="preserve">analyses various aspects of </w:t>
      </w:r>
      <w:r>
        <w:t>measures for emission</w:t>
      </w:r>
      <w:r w:rsidR="003B5B93">
        <w:t>s</w:t>
      </w:r>
      <w:r>
        <w:t xml:space="preserve"> reduction. </w:t>
      </w:r>
    </w:p>
    <w:p w:rsidR="00B10509" w:rsidRDefault="00B10509" w:rsidP="001B4318">
      <w:pPr>
        <w:pStyle w:val="Normalnumber"/>
        <w:tabs>
          <w:tab w:val="num" w:pos="720"/>
        </w:tabs>
      </w:pPr>
      <w:r>
        <w:t xml:space="preserve">Finland also submitted national guidance, </w:t>
      </w:r>
      <w:r>
        <w:rPr>
          <w:i/>
          <w:iCs/>
        </w:rPr>
        <w:t>Best Environmental Practices in Metal Ore Mining</w:t>
      </w:r>
      <w:r w:rsidR="003C2332" w:rsidRPr="001B4318">
        <w:rPr>
          <w:iCs/>
        </w:rPr>
        <w:t>,</w:t>
      </w:r>
      <w:r w:rsidR="003C2332">
        <w:rPr>
          <w:i/>
          <w:iCs/>
        </w:rPr>
        <w:t xml:space="preserve"> </w:t>
      </w:r>
      <w:r w:rsidR="003C2332" w:rsidRPr="001B4318">
        <w:rPr>
          <w:iCs/>
        </w:rPr>
        <w:t xml:space="preserve">which </w:t>
      </w:r>
      <w:r w:rsidR="003C2332">
        <w:t xml:space="preserve">includes information on </w:t>
      </w:r>
      <w:r>
        <w:t xml:space="preserve">environmental studies on the emissions and wastes generated </w:t>
      </w:r>
      <w:r w:rsidR="003C2332">
        <w:t>during</w:t>
      </w:r>
      <w:r>
        <w:t xml:space="preserve"> each step of mining activities, and the relevant legislation and administrative procedures to reduce and prevent such environmental pollution.</w:t>
      </w:r>
    </w:p>
    <w:p w:rsidR="00B10509" w:rsidRDefault="00B10509" w:rsidP="00015ACD">
      <w:pPr>
        <w:pStyle w:val="CH3"/>
      </w:pPr>
      <w:r>
        <w:tab/>
      </w:r>
      <w:r>
        <w:tab/>
        <w:t>Kiribati</w:t>
      </w:r>
    </w:p>
    <w:p w:rsidR="00B10509" w:rsidRPr="00C570E1" w:rsidRDefault="00B10509" w:rsidP="00015ACD">
      <w:pPr>
        <w:pStyle w:val="Normalnumber"/>
      </w:pPr>
      <w:r>
        <w:t xml:space="preserve">Kiribati reported that the country </w:t>
      </w:r>
      <w:r w:rsidRPr="00551B90">
        <w:t>is not industrialized in making lead and cadmium, but the</w:t>
      </w:r>
      <w:r w:rsidR="003C2332" w:rsidRPr="00551B90">
        <w:t>y</w:t>
      </w:r>
      <w:r w:rsidRPr="00FD5362">
        <w:t xml:space="preserve"> are imported for </w:t>
      </w:r>
      <w:r w:rsidR="003C2332" w:rsidRPr="00564DA3">
        <w:t>various purposes</w:t>
      </w:r>
      <w:r w:rsidR="00A13813" w:rsidRPr="00923516">
        <w:t>.</w:t>
      </w:r>
      <w:r w:rsidR="003C2332" w:rsidRPr="00C61356">
        <w:t xml:space="preserve"> </w:t>
      </w:r>
    </w:p>
    <w:p w:rsidR="00B10509" w:rsidRDefault="00B10509" w:rsidP="00015ACD">
      <w:pPr>
        <w:pStyle w:val="CH3"/>
      </w:pPr>
      <w:r w:rsidRPr="00A32350">
        <w:tab/>
      </w:r>
      <w:r w:rsidRPr="00A32350">
        <w:tab/>
        <w:t>Madagascar</w:t>
      </w:r>
    </w:p>
    <w:p w:rsidR="00B10509" w:rsidRDefault="00B10509" w:rsidP="001B4318">
      <w:pPr>
        <w:pStyle w:val="Normalnumber"/>
      </w:pPr>
      <w:r>
        <w:t xml:space="preserve">Madagascar conducted a preliminary investigation on sources of lead and cadmium contamination and </w:t>
      </w:r>
      <w:r w:rsidR="00A13813">
        <w:t>responses thereto</w:t>
      </w:r>
      <w:r>
        <w:t xml:space="preserve"> (technical, legal or precautionary measures). The use of leaded </w:t>
      </w:r>
      <w:r w:rsidRPr="00ED316B">
        <w:t xml:space="preserve">fuel is </w:t>
      </w:r>
      <w:r w:rsidRPr="002C7143">
        <w:t>forbidden</w:t>
      </w:r>
      <w:r w:rsidR="00A13813" w:rsidRPr="002C7143">
        <w:t xml:space="preserve"> in Madagascar</w:t>
      </w:r>
      <w:r w:rsidRPr="001A26E2">
        <w:t xml:space="preserve">, </w:t>
      </w:r>
      <w:r w:rsidR="00A13813" w:rsidRPr="001B4318">
        <w:t xml:space="preserve">there are plans to replace </w:t>
      </w:r>
      <w:r w:rsidRPr="001B4318">
        <w:t xml:space="preserve">water pipes made with lead </w:t>
      </w:r>
      <w:r w:rsidR="00A13813" w:rsidRPr="001B4318">
        <w:t>with</w:t>
      </w:r>
      <w:r w:rsidRPr="001B4318">
        <w:t xml:space="preserve"> PVC pipes, and </w:t>
      </w:r>
      <w:r w:rsidR="00A13813" w:rsidRPr="001B4318">
        <w:t xml:space="preserve">the investigation report </w:t>
      </w:r>
      <w:r w:rsidR="00A13813" w:rsidRPr="00ED316B">
        <w:t xml:space="preserve">provides </w:t>
      </w:r>
      <w:r w:rsidRPr="002C7143">
        <w:t>precautionary</w:t>
      </w:r>
      <w:r>
        <w:t xml:space="preserve"> measures </w:t>
      </w:r>
      <w:r w:rsidR="00A13813" w:rsidRPr="00F60C2F">
        <w:t>for</w:t>
      </w:r>
      <w:r w:rsidRPr="00FD5362">
        <w:t xml:space="preserve"> avoid</w:t>
      </w:r>
      <w:r w:rsidR="00A13813" w:rsidRPr="00564DA3">
        <w:t>ing</w:t>
      </w:r>
      <w:r>
        <w:t xml:space="preserve"> possible </w:t>
      </w:r>
      <w:r w:rsidR="00A13813">
        <w:t xml:space="preserve">risks </w:t>
      </w:r>
      <w:r>
        <w:t xml:space="preserve">from lead paint used in houses. </w:t>
      </w:r>
      <w:r w:rsidR="00A13813">
        <w:t>The investigation found that c</w:t>
      </w:r>
      <w:r>
        <w:t xml:space="preserve">admium contamination could be </w:t>
      </w:r>
      <w:r w:rsidR="00A13813">
        <w:t>the result of</w:t>
      </w:r>
      <w:r>
        <w:t xml:space="preserve"> untreated industrial </w:t>
      </w:r>
      <w:r w:rsidRPr="00551B90">
        <w:t xml:space="preserve">wastewater </w:t>
      </w:r>
      <w:r w:rsidR="00A13813" w:rsidRPr="00F60C2F">
        <w:t xml:space="preserve">containing </w:t>
      </w:r>
      <w:r w:rsidRPr="00564DA3">
        <w:t xml:space="preserve">cadmium </w:t>
      </w:r>
      <w:r w:rsidRPr="00C570E1">
        <w:t>and accumulators and batteries with cadmium</w:t>
      </w:r>
      <w:r w:rsidR="00A13813" w:rsidRPr="00A32350">
        <w:t xml:space="preserve">, or </w:t>
      </w:r>
      <w:r w:rsidR="00A13813">
        <w:t>of the</w:t>
      </w:r>
      <w:r>
        <w:t xml:space="preserve"> repetitive practice of </w:t>
      </w:r>
      <w:r w:rsidR="00A13813">
        <w:t xml:space="preserve">incineration of </w:t>
      </w:r>
      <w:r>
        <w:t xml:space="preserve">waste that contains used accumulators and batteries with cadmium. </w:t>
      </w:r>
    </w:p>
    <w:p w:rsidR="00B10509" w:rsidRPr="00015ACD" w:rsidRDefault="00B10509" w:rsidP="00A721F5">
      <w:pPr>
        <w:pStyle w:val="CH3"/>
      </w:pPr>
      <w:r>
        <w:tab/>
      </w:r>
      <w:r>
        <w:tab/>
      </w:r>
      <w:r w:rsidRPr="00015ACD">
        <w:t>Malaysia</w:t>
      </w:r>
    </w:p>
    <w:p w:rsidR="00B10509" w:rsidRDefault="00B10509" w:rsidP="001B4318">
      <w:pPr>
        <w:pStyle w:val="Normalnumber"/>
      </w:pPr>
      <w:r>
        <w:t xml:space="preserve">In Malaysia, </w:t>
      </w:r>
      <w:r w:rsidR="002B69E6">
        <w:t>according to</w:t>
      </w:r>
      <w:r>
        <w:t xml:space="preserve"> </w:t>
      </w:r>
      <w:r w:rsidR="002A5163">
        <w:t xml:space="preserve">the </w:t>
      </w:r>
      <w:r>
        <w:t xml:space="preserve">Department of Environment’s premises inventory, lead is used in </w:t>
      </w:r>
      <w:r w:rsidR="002A5163">
        <w:t xml:space="preserve">the </w:t>
      </w:r>
      <w:r>
        <w:t>paint, cosmetic</w:t>
      </w:r>
      <w:r w:rsidR="002A5163">
        <w:t>s</w:t>
      </w:r>
      <w:r>
        <w:t xml:space="preserve"> and furniture industries,</w:t>
      </w:r>
      <w:r w:rsidR="002A5163">
        <w:t xml:space="preserve"> in</w:t>
      </w:r>
      <w:r>
        <w:t xml:space="preserve"> newspaper production and </w:t>
      </w:r>
      <w:r w:rsidR="00DA751D">
        <w:t xml:space="preserve">in </w:t>
      </w:r>
      <w:r w:rsidR="002A5163">
        <w:t xml:space="preserve">recycling facilities for </w:t>
      </w:r>
      <w:r>
        <w:t xml:space="preserve">used batteries. </w:t>
      </w:r>
      <w:r w:rsidR="002A5163">
        <w:t>In addition</w:t>
      </w:r>
      <w:r>
        <w:t xml:space="preserve">, cadmium is widely used in </w:t>
      </w:r>
      <w:r w:rsidR="002A5163">
        <w:t xml:space="preserve">the </w:t>
      </w:r>
      <w:r>
        <w:t xml:space="preserve">electrical and electronics, metal plating and aerospace industries. All industries are required to install air pollution control systems and to take necessary action to reduce air pollutants by implementing </w:t>
      </w:r>
      <w:r w:rsidR="002A5163">
        <w:t>best environmental practices and best available techniques</w:t>
      </w:r>
      <w:r>
        <w:t>. Further</w:t>
      </w:r>
      <w:r w:rsidR="002A5163">
        <w:t>more</w:t>
      </w:r>
      <w:r>
        <w:t>, hazardous wastes containing lead and cadmium are regulated by the Environmental Quality (Scheduled Wastes) Regulations 2005 and the acceptable levels of lead and cadmium are limited to 0.5 mg/m</w:t>
      </w:r>
      <w:r>
        <w:rPr>
          <w:vertAlign w:val="superscript"/>
        </w:rPr>
        <w:t>3</w:t>
      </w:r>
      <w:r>
        <w:t xml:space="preserve"> and 0.05</w:t>
      </w:r>
      <w:r w:rsidR="00B06914">
        <w:t xml:space="preserve"> </w:t>
      </w:r>
      <w:r>
        <w:t>mg/m</w:t>
      </w:r>
      <w:r>
        <w:rPr>
          <w:vertAlign w:val="superscript"/>
        </w:rPr>
        <w:t>3</w:t>
      </w:r>
      <w:r>
        <w:t>, respectively, under the Environmental Quality (Clean Air) Regulations 2014. Unleaded petrol has been introduced and most paint manufacturers no longer use lead as paint pigment. However, the high cost of alternatives remains a challenge, especially in small</w:t>
      </w:r>
      <w:r w:rsidR="002A5163">
        <w:t xml:space="preserve"> </w:t>
      </w:r>
      <w:r>
        <w:t>and medium</w:t>
      </w:r>
      <w:r w:rsidR="002A5163">
        <w:t>-sized</w:t>
      </w:r>
      <w:r>
        <w:t xml:space="preserve"> enterprises</w:t>
      </w:r>
      <w:r w:rsidR="002A5163">
        <w:t>.</w:t>
      </w:r>
      <w:r>
        <w:t xml:space="preserve"> The use of chemical alternatives to cadmium is very limited</w:t>
      </w:r>
      <w:r w:rsidR="002B69E6">
        <w:t xml:space="preserve"> owing</w:t>
      </w:r>
      <w:r>
        <w:t xml:space="preserve"> to the high performance of cadmium as a coating material in the industry.</w:t>
      </w:r>
    </w:p>
    <w:p w:rsidR="00B10509" w:rsidRDefault="00B10509" w:rsidP="00015ACD">
      <w:pPr>
        <w:pStyle w:val="CH3"/>
      </w:pPr>
      <w:r>
        <w:tab/>
      </w:r>
      <w:r>
        <w:tab/>
      </w:r>
      <w:r w:rsidRPr="00015ACD">
        <w:t>Mauritius</w:t>
      </w:r>
      <w:r>
        <w:t xml:space="preserve"> </w:t>
      </w:r>
    </w:p>
    <w:p w:rsidR="00B10509" w:rsidRDefault="002A5163" w:rsidP="001B4318">
      <w:pPr>
        <w:pStyle w:val="Normalnumber"/>
        <w:tabs>
          <w:tab w:val="num" w:pos="720"/>
        </w:tabs>
      </w:pPr>
      <w:r>
        <w:t>L</w:t>
      </w:r>
      <w:r w:rsidR="00B10509">
        <w:t xml:space="preserve">ocal paint manufacturers in Mauritius do not use lead. However, some imported paints contain lead and </w:t>
      </w:r>
      <w:r>
        <w:t>requests have been made for</w:t>
      </w:r>
      <w:r w:rsidR="00B10509">
        <w:t xml:space="preserve"> draft legislation </w:t>
      </w:r>
      <w:r w:rsidR="00A33136">
        <w:t>on</w:t>
      </w:r>
      <w:r w:rsidR="00B10509">
        <w:t xml:space="preserve"> imported paint</w:t>
      </w:r>
      <w:r w:rsidR="00A33136">
        <w:t>s</w:t>
      </w:r>
      <w:r w:rsidR="00B10509">
        <w:t>. Mauritius has three standards for paint: gloss paint, emulsion paint and road marking paint.</w:t>
      </w:r>
    </w:p>
    <w:p w:rsidR="00B10509" w:rsidRPr="001B4318" w:rsidRDefault="00B10509" w:rsidP="00015ACD">
      <w:pPr>
        <w:pStyle w:val="CH3"/>
        <w:rPr>
          <w:b w:val="0"/>
        </w:rPr>
      </w:pPr>
      <w:r>
        <w:tab/>
      </w:r>
      <w:r>
        <w:tab/>
      </w:r>
      <w:r w:rsidRPr="00015ACD">
        <w:t>Philippines</w:t>
      </w:r>
    </w:p>
    <w:p w:rsidR="00B10509" w:rsidRDefault="00B10509" w:rsidP="001B4318">
      <w:pPr>
        <w:pStyle w:val="Normalnumber"/>
        <w:tabs>
          <w:tab w:val="num" w:pos="720"/>
        </w:tabs>
        <w:rPr>
          <w:b/>
          <w:bCs/>
        </w:rPr>
      </w:pPr>
      <w:r w:rsidRPr="00551B90">
        <w:t xml:space="preserve">In </w:t>
      </w:r>
      <w:r w:rsidR="00A33136" w:rsidRPr="00551B90">
        <w:t xml:space="preserve">the </w:t>
      </w:r>
      <w:r w:rsidRPr="00F60C2F">
        <w:t xml:space="preserve">Philippines, the threshold limit of lead in paint is 90 ppm and the </w:t>
      </w:r>
      <w:r w:rsidR="00436567" w:rsidRPr="00DA4260">
        <w:t>Chemical Control Order (CCO)</w:t>
      </w:r>
      <w:r w:rsidR="00436567">
        <w:t xml:space="preserve"> has proposed </w:t>
      </w:r>
      <w:r w:rsidR="00436567" w:rsidRPr="00ED316B">
        <w:t xml:space="preserve">the </w:t>
      </w:r>
      <w:r w:rsidRPr="00ED316B">
        <w:t xml:space="preserve">elimination of lead </w:t>
      </w:r>
      <w:r w:rsidR="00436567" w:rsidRPr="00ED316B">
        <w:t xml:space="preserve">in paint </w:t>
      </w:r>
      <w:r w:rsidRPr="002C7143">
        <w:t>by 2020</w:t>
      </w:r>
      <w:r w:rsidRPr="001A26E2">
        <w:t xml:space="preserve">. </w:t>
      </w:r>
      <w:r w:rsidR="00436567" w:rsidRPr="001B4318">
        <w:t>T</w:t>
      </w:r>
      <w:r w:rsidRPr="001B4318">
        <w:t xml:space="preserve">hreshold limits of lead in other uses – coal fire power plants, smelters, kiln operations in cement plants, melting operations in ferrous foundries, and others – have been initiated. </w:t>
      </w:r>
      <w:r w:rsidR="00EF4CF5" w:rsidRPr="001B4318">
        <w:t>A</w:t>
      </w:r>
      <w:r w:rsidRPr="001B4318">
        <w:t xml:space="preserve"> Priority Chemical List Compliance Certificate is required for the industry sectors to ensure proper handling, management and disposal of lead and cadmium. Emissions of lead and cadmium are controlled through the application of alternative fuels and </w:t>
      </w:r>
      <w:r w:rsidR="00404E56" w:rsidRPr="001B4318">
        <w:t>air pollution control devices</w:t>
      </w:r>
      <w:r w:rsidRPr="001B4318">
        <w:t>, including</w:t>
      </w:r>
      <w:r>
        <w:t xml:space="preserve"> scrubbers, electrostatic precipitators, </w:t>
      </w:r>
      <w:proofErr w:type="spellStart"/>
      <w:r>
        <w:t>baghouse</w:t>
      </w:r>
      <w:proofErr w:type="spellEnd"/>
      <w:r>
        <w:t xml:space="preserve"> filters and </w:t>
      </w:r>
      <w:proofErr w:type="spellStart"/>
      <w:r>
        <w:t>DeSOx</w:t>
      </w:r>
      <w:proofErr w:type="spellEnd"/>
      <w:r>
        <w:t xml:space="preserve">. </w:t>
      </w:r>
    </w:p>
    <w:p w:rsidR="00B10509" w:rsidRPr="00015ACD" w:rsidRDefault="00B10509" w:rsidP="00015ACD">
      <w:pPr>
        <w:pStyle w:val="CH3"/>
      </w:pPr>
      <w:r>
        <w:tab/>
      </w:r>
      <w:r>
        <w:tab/>
        <w:t>Poland</w:t>
      </w:r>
    </w:p>
    <w:p w:rsidR="00B10509" w:rsidRDefault="00B10509" w:rsidP="001B4318">
      <w:pPr>
        <w:pStyle w:val="Normalnumber"/>
        <w:tabs>
          <w:tab w:val="num" w:pos="720"/>
        </w:tabs>
      </w:pPr>
      <w:r>
        <w:t xml:space="preserve">Poland referred to information provided in two </w:t>
      </w:r>
      <w:r w:rsidRPr="00551B90">
        <w:t xml:space="preserve">reports, </w:t>
      </w:r>
      <w:r w:rsidR="00D11E82" w:rsidRPr="00551B90">
        <w:t>“</w:t>
      </w:r>
      <w:r w:rsidRPr="001B4318">
        <w:rPr>
          <w:iCs/>
        </w:rPr>
        <w:t>Annex XV Restriction Report – Lead and Its Compounds in Articles Intended for Consumer Use</w:t>
      </w:r>
      <w:r w:rsidR="00D11E82" w:rsidRPr="001B4318">
        <w:rPr>
          <w:iCs/>
        </w:rPr>
        <w:t>”</w:t>
      </w:r>
      <w:r w:rsidRPr="00551B90">
        <w:t xml:space="preserve"> and </w:t>
      </w:r>
      <w:r w:rsidR="00D11E82" w:rsidRPr="00551B90">
        <w:t>“</w:t>
      </w:r>
      <w:r w:rsidRPr="001B4318">
        <w:rPr>
          <w:iCs/>
        </w:rPr>
        <w:t xml:space="preserve">Annex XV – Proposal for Identification of a Substance as a CMR 1A or 1B, PBT, </w:t>
      </w:r>
      <w:proofErr w:type="spellStart"/>
      <w:r w:rsidRPr="001B4318">
        <w:rPr>
          <w:iCs/>
        </w:rPr>
        <w:t>vPvB</w:t>
      </w:r>
      <w:proofErr w:type="spellEnd"/>
      <w:r w:rsidRPr="001B4318">
        <w:rPr>
          <w:iCs/>
        </w:rPr>
        <w:t xml:space="preserve"> or a Substance of an Equivalent Level </w:t>
      </w:r>
      <w:r w:rsidRPr="001B4318">
        <w:rPr>
          <w:iCs/>
        </w:rPr>
        <w:lastRenderedPageBreak/>
        <w:t>of Concern – Cadmium</w:t>
      </w:r>
      <w:r w:rsidR="00D11E82" w:rsidRPr="001B4318">
        <w:rPr>
          <w:iCs/>
        </w:rPr>
        <w:t>”</w:t>
      </w:r>
      <w:r w:rsidRPr="00551B90">
        <w:t>, published by the Swedish Chemicals Agency</w:t>
      </w:r>
      <w:r>
        <w:t>. The documents report</w:t>
      </w:r>
      <w:r w:rsidR="00906A22">
        <w:t xml:space="preserve"> on</w:t>
      </w:r>
      <w:r>
        <w:t xml:space="preserve"> the human health and environmental hazard assessment</w:t>
      </w:r>
      <w:r w:rsidR="00906A22">
        <w:t>s</w:t>
      </w:r>
      <w:r>
        <w:t xml:space="preserve"> </w:t>
      </w:r>
      <w:r w:rsidR="00906A22">
        <w:t xml:space="preserve">for </w:t>
      </w:r>
      <w:r>
        <w:t xml:space="preserve">lead and cadmium. Moreover, </w:t>
      </w:r>
      <w:r w:rsidR="00906A22">
        <w:t xml:space="preserve">they provide </w:t>
      </w:r>
      <w:r>
        <w:t>information on alternative substances</w:t>
      </w:r>
      <w:r w:rsidR="00906A22" w:rsidRPr="00906A22">
        <w:t xml:space="preserve"> </w:t>
      </w:r>
      <w:r w:rsidR="00906A22">
        <w:t>to lead in pigments, stabilizers and metallic materials</w:t>
      </w:r>
      <w:r>
        <w:t xml:space="preserve"> for cadmium in batteries and metal coatings. </w:t>
      </w:r>
    </w:p>
    <w:p w:rsidR="00B10509" w:rsidRDefault="00906A22" w:rsidP="001B4318">
      <w:pPr>
        <w:pStyle w:val="Normalnumber"/>
        <w:tabs>
          <w:tab w:val="num" w:pos="720"/>
        </w:tabs>
      </w:pPr>
      <w:r>
        <w:t>It also referred</w:t>
      </w:r>
      <w:r w:rsidRPr="00551B90">
        <w:t xml:space="preserve"> to the </w:t>
      </w:r>
      <w:r w:rsidR="00C662ED">
        <w:t>“O</w:t>
      </w:r>
      <w:r w:rsidR="00B10509" w:rsidRPr="00551B90">
        <w:t xml:space="preserve">pinion of the Committee for Socio-economic Analysis </w:t>
      </w:r>
      <w:r w:rsidR="00B10509" w:rsidRPr="00F60C2F">
        <w:t xml:space="preserve">on an </w:t>
      </w:r>
      <w:r w:rsidR="00B10509" w:rsidRPr="001B4318">
        <w:rPr>
          <w:iCs/>
        </w:rPr>
        <w:t>Annex XV dossier proposing restrictions of the manufacture, placing on the market or use of a substance within the E</w:t>
      </w:r>
      <w:r w:rsidRPr="001B4318">
        <w:rPr>
          <w:iCs/>
        </w:rPr>
        <w:t xml:space="preserve">uropean </w:t>
      </w:r>
      <w:r w:rsidR="00B10509" w:rsidRPr="001B4318">
        <w:rPr>
          <w:iCs/>
        </w:rPr>
        <w:t>U</w:t>
      </w:r>
      <w:r w:rsidRPr="001B4318">
        <w:rPr>
          <w:iCs/>
        </w:rPr>
        <w:t>nion</w:t>
      </w:r>
      <w:r w:rsidR="00D11E82" w:rsidRPr="001B4318">
        <w:rPr>
          <w:iCs/>
        </w:rPr>
        <w:t>”</w:t>
      </w:r>
      <w:r w:rsidR="00B10509">
        <w:t xml:space="preserve">, based on a detailed evaluation of the socio-economic benefits and costs of the </w:t>
      </w:r>
      <w:r w:rsidR="00B10509" w:rsidRPr="00ED316B">
        <w:t>proposed restrictions</w:t>
      </w:r>
      <w:r w:rsidR="00EF4CF5" w:rsidRPr="002C7143">
        <w:t xml:space="preserve"> on lead and its compounds in articles intended for consumer use</w:t>
      </w:r>
      <w:r w:rsidR="00B10509" w:rsidRPr="001B4318">
        <w:t>.</w:t>
      </w:r>
    </w:p>
    <w:p w:rsidR="00B10509" w:rsidRDefault="00B10509" w:rsidP="001B4318">
      <w:pPr>
        <w:pStyle w:val="CH3"/>
        <w:ind w:firstLine="0"/>
      </w:pPr>
      <w:r w:rsidRPr="00015ACD">
        <w:t>Russia</w:t>
      </w:r>
      <w:r w:rsidR="0045551E">
        <w:t>n Federation</w:t>
      </w:r>
    </w:p>
    <w:p w:rsidR="00B10509" w:rsidRDefault="00B10509" w:rsidP="001B4318">
      <w:pPr>
        <w:pStyle w:val="Normalnumber"/>
        <w:tabs>
          <w:tab w:val="num" w:pos="720"/>
        </w:tabs>
      </w:pPr>
      <w:r>
        <w:t>The use of lead, cadmium and their compounds in paint is prohibited in residential areas in</w:t>
      </w:r>
      <w:r w:rsidR="00906A22">
        <w:t xml:space="preserve"> the</w:t>
      </w:r>
      <w:r>
        <w:t xml:space="preserve"> Russia</w:t>
      </w:r>
      <w:r w:rsidR="00906A22">
        <w:t>n Federation</w:t>
      </w:r>
      <w:r>
        <w:t xml:space="preserve">. The majority of paints produced in </w:t>
      </w:r>
      <w:r w:rsidR="00906A22">
        <w:t>the Russian Federation</w:t>
      </w:r>
      <w:r>
        <w:t xml:space="preserve"> do not contain lead, and decorative paints contain low concentrations of lead and cadmium.</w:t>
      </w:r>
    </w:p>
    <w:p w:rsidR="00B10509" w:rsidRPr="00015ACD" w:rsidRDefault="00B10509" w:rsidP="00015ACD">
      <w:pPr>
        <w:pStyle w:val="CH3"/>
      </w:pPr>
      <w:r>
        <w:tab/>
      </w:r>
      <w:r>
        <w:tab/>
      </w:r>
      <w:r w:rsidRPr="00015ACD">
        <w:t>Togo</w:t>
      </w:r>
    </w:p>
    <w:p w:rsidR="00B10509" w:rsidRDefault="00B10509" w:rsidP="001B4318">
      <w:pPr>
        <w:pStyle w:val="Normalnumber"/>
        <w:tabs>
          <w:tab w:val="num" w:pos="720"/>
        </w:tabs>
      </w:pPr>
      <w:r>
        <w:t>According to the national report on cadmium and lead submitted by Togo, the country decided to use</w:t>
      </w:r>
      <w:r w:rsidR="00906A22">
        <w:t xml:space="preserve"> only</w:t>
      </w:r>
      <w:r>
        <w:t xml:space="preserve"> unleaded fuel </w:t>
      </w:r>
      <w:r w:rsidR="00906A22">
        <w:t xml:space="preserve">from </w:t>
      </w:r>
      <w:r>
        <w:t xml:space="preserve">2005. The main sources of lead and cadmium pollution are household and industrial wastes, and chemical fertilizers and pesticides used in agriculture. </w:t>
      </w:r>
      <w:r w:rsidR="00E179F2">
        <w:t>C</w:t>
      </w:r>
      <w:r>
        <w:t xml:space="preserve">oncentrations of these toxic metals in the aquatic environment in Togo </w:t>
      </w:r>
      <w:r w:rsidR="00E179F2">
        <w:t>are</w:t>
      </w:r>
      <w:r>
        <w:t xml:space="preserve"> higher than the tolerable thresholds. </w:t>
      </w:r>
      <w:r w:rsidR="00E179F2">
        <w:t>T</w:t>
      </w:r>
      <w:r>
        <w:t xml:space="preserve">he personnel and technical capacities for carrying out research on heavy metals and for managing pollution </w:t>
      </w:r>
      <w:r w:rsidR="00E179F2">
        <w:t>need strengthening</w:t>
      </w:r>
      <w:r>
        <w:t>.</w:t>
      </w:r>
    </w:p>
    <w:p w:rsidR="00B10509" w:rsidRDefault="00B10509" w:rsidP="00015ACD">
      <w:pPr>
        <w:pStyle w:val="CH3"/>
      </w:pPr>
      <w:r>
        <w:tab/>
      </w:r>
      <w:r>
        <w:tab/>
      </w:r>
      <w:r w:rsidRPr="00015ACD">
        <w:t>Turkey</w:t>
      </w:r>
    </w:p>
    <w:p w:rsidR="00B10509" w:rsidRDefault="00B10509" w:rsidP="001B4318">
      <w:pPr>
        <w:pStyle w:val="Normalnumber"/>
        <w:tabs>
          <w:tab w:val="num" w:pos="720"/>
        </w:tabs>
      </w:pPr>
      <w:r>
        <w:t>Turkey has legislation on the limit values for emission</w:t>
      </w:r>
      <w:r w:rsidR="00E179F2">
        <w:t>s</w:t>
      </w:r>
      <w:r>
        <w:t xml:space="preserve"> of lead and cadmium </w:t>
      </w:r>
      <w:r w:rsidR="00E179F2">
        <w:t>to</w:t>
      </w:r>
      <w:r>
        <w:t xml:space="preserve"> air. However, there is no specific technique currently available to reduce heavy metal emissions. Studies on emission reduction techniques and substitut</w:t>
      </w:r>
      <w:r w:rsidR="00E179F2">
        <w:t>es</w:t>
      </w:r>
      <w:r>
        <w:t xml:space="preserve"> for lead and cadmium will be carried out based on the </w:t>
      </w:r>
      <w:r w:rsidR="00E179F2">
        <w:t>best available techniques reference documents</w:t>
      </w:r>
      <w:r>
        <w:t xml:space="preserve"> (BREFs).</w:t>
      </w:r>
    </w:p>
    <w:p w:rsidR="00B10509" w:rsidRPr="00015ACD" w:rsidRDefault="00B10509" w:rsidP="00015ACD">
      <w:pPr>
        <w:pStyle w:val="CH3"/>
      </w:pPr>
      <w:r>
        <w:tab/>
      </w:r>
      <w:r>
        <w:tab/>
      </w:r>
      <w:r w:rsidRPr="00015ACD">
        <w:t>United States of America</w:t>
      </w:r>
    </w:p>
    <w:p w:rsidR="00B10509" w:rsidRDefault="00B10509" w:rsidP="001B4318">
      <w:pPr>
        <w:pStyle w:val="Normalnumber"/>
        <w:tabs>
          <w:tab w:val="num" w:pos="720"/>
        </w:tabs>
        <w:rPr>
          <w:b/>
          <w:bCs/>
          <w:i/>
          <w:iCs/>
        </w:rPr>
      </w:pPr>
      <w:r>
        <w:t xml:space="preserve">Under the Clean Air Act, the use of </w:t>
      </w:r>
      <w:r w:rsidR="00E179F2">
        <w:t xml:space="preserve">fuel </w:t>
      </w:r>
      <w:r>
        <w:t>containing lead or lead additives has been prohibited since 1996. Further, hazardous air pollutant emissions from industries, including lead emissions, are regulated by the Maximum Achievable Control Technology (MACT) standards. The standards are reviewed by the U</w:t>
      </w:r>
      <w:r w:rsidR="00E179F2">
        <w:t>nited States</w:t>
      </w:r>
      <w:r>
        <w:t xml:space="preserve"> Environmental Protection Agency within </w:t>
      </w:r>
      <w:r w:rsidR="00E179F2">
        <w:t xml:space="preserve">eight </w:t>
      </w:r>
      <w:r>
        <w:t>years from the</w:t>
      </w:r>
      <w:r w:rsidR="00E179F2">
        <w:t>ir date of publication</w:t>
      </w:r>
      <w:r>
        <w:t>. The concentration of lead in the ambient air is limited by the National Ambient Air Quality Standard (NAAQS).</w:t>
      </w:r>
    </w:p>
    <w:p w:rsidR="00B10509" w:rsidRDefault="00B10509" w:rsidP="001B4318">
      <w:pPr>
        <w:pStyle w:val="Normalnumber"/>
        <w:tabs>
          <w:tab w:val="num" w:pos="720"/>
        </w:tabs>
      </w:pPr>
      <w:r>
        <w:t xml:space="preserve">In 1978, the United States banned the use of paint containing more than 0.06 </w:t>
      </w:r>
      <w:proofErr w:type="spellStart"/>
      <w:r>
        <w:t>percent</w:t>
      </w:r>
      <w:proofErr w:type="spellEnd"/>
      <w:r>
        <w:t xml:space="preserve"> (600 ppm) lead by weight on toys, furniture, and interior and exterior surfaces in housing and other buildings and structures used by consumers. New standards for lead in paint and consumer products in the United States became effective in 2009. The standards now require that all children</w:t>
      </w:r>
      <w:r w:rsidR="00E179F2">
        <w:t>’</w:t>
      </w:r>
      <w:r>
        <w:t>s products, including toys, and some furniture, for adult</w:t>
      </w:r>
      <w:r w:rsidR="009D2B2C">
        <w:t>s</w:t>
      </w:r>
      <w:r>
        <w:t xml:space="preserve"> and children, must not contain a concentration of lead greater than 0.009 </w:t>
      </w:r>
      <w:proofErr w:type="spellStart"/>
      <w:r>
        <w:t>percent</w:t>
      </w:r>
      <w:proofErr w:type="spellEnd"/>
      <w:r>
        <w:t xml:space="preserve"> (90 p</w:t>
      </w:r>
      <w:r w:rsidR="009D2B2C">
        <w:t>pm</w:t>
      </w:r>
      <w:r>
        <w:t xml:space="preserve">) in paint or any similar surface coatings. Household paint must also meet this requirement. Additionally, the </w:t>
      </w:r>
      <w:r w:rsidR="009D2B2C">
        <w:t>United States</w:t>
      </w:r>
      <w:r>
        <w:t xml:space="preserve"> Consumer Product Safety Commission requires, with a few limited exceptions, </w:t>
      </w:r>
      <w:r w:rsidR="009D2B2C">
        <w:t xml:space="preserve">that </w:t>
      </w:r>
      <w:r>
        <w:t>a</w:t>
      </w:r>
      <w:r w:rsidR="009D2B2C">
        <w:t>ny</w:t>
      </w:r>
      <w:r>
        <w:t xml:space="preserve"> children</w:t>
      </w:r>
      <w:r w:rsidR="009D2B2C">
        <w:t>’</w:t>
      </w:r>
      <w:r>
        <w:t xml:space="preserve">s products manufactured after </w:t>
      </w:r>
      <w:r w:rsidR="009D2B2C">
        <w:t xml:space="preserve">14 </w:t>
      </w:r>
      <w:r>
        <w:t>August 2011 must not contain more than 100 ppm of total lead content in accessible parts.</w:t>
      </w:r>
    </w:p>
    <w:p w:rsidR="00B10509" w:rsidRPr="00A721F5" w:rsidRDefault="00B10509" w:rsidP="00A721F5">
      <w:pPr>
        <w:pStyle w:val="CH2"/>
      </w:pPr>
      <w:r>
        <w:tab/>
      </w:r>
      <w:r w:rsidR="00C662ED">
        <w:t>B</w:t>
      </w:r>
      <w:r>
        <w:t>.</w:t>
      </w:r>
      <w:r>
        <w:tab/>
      </w:r>
      <w:r w:rsidRPr="00A721F5">
        <w:t xml:space="preserve">Submissions from </w:t>
      </w:r>
      <w:r w:rsidR="0045551E">
        <w:t>i</w:t>
      </w:r>
      <w:r w:rsidRPr="00A721F5">
        <w:t>ntergovernmental organizations</w:t>
      </w:r>
    </w:p>
    <w:p w:rsidR="00B10509" w:rsidRDefault="00B10509" w:rsidP="00A721F5">
      <w:pPr>
        <w:pStyle w:val="CH3"/>
        <w:rPr>
          <w:lang w:val="en-US"/>
        </w:rPr>
      </w:pPr>
      <w:r>
        <w:rPr>
          <w:lang w:val="en-US"/>
        </w:rPr>
        <w:tab/>
      </w:r>
      <w:r>
        <w:rPr>
          <w:lang w:val="en-US"/>
        </w:rPr>
        <w:tab/>
        <w:t xml:space="preserve">Organization for Economic Cooperation and Development </w:t>
      </w:r>
    </w:p>
    <w:p w:rsidR="00B10509" w:rsidRDefault="00B10509" w:rsidP="001B4318">
      <w:pPr>
        <w:pStyle w:val="Normalnumber"/>
        <w:tabs>
          <w:tab w:val="num" w:pos="720"/>
        </w:tabs>
      </w:pPr>
      <w:r>
        <w:t xml:space="preserve">Intensive work </w:t>
      </w:r>
      <w:r w:rsidR="009D2B2C">
        <w:t>was undertaken</w:t>
      </w:r>
      <w:r>
        <w:t xml:space="preserve"> on risk reduction measures for lead and cadmium during the 1990s and the findings </w:t>
      </w:r>
      <w:r w:rsidR="009D2B2C">
        <w:t xml:space="preserve">of that work </w:t>
      </w:r>
      <w:r>
        <w:t xml:space="preserve">are still valid in many countries. </w:t>
      </w:r>
    </w:p>
    <w:p w:rsidR="00B10509" w:rsidRDefault="00B10509" w:rsidP="001B4318">
      <w:pPr>
        <w:pStyle w:val="Normalnumber"/>
        <w:tabs>
          <w:tab w:val="num" w:pos="720"/>
        </w:tabs>
      </w:pPr>
      <w:r>
        <w:t xml:space="preserve">The </w:t>
      </w:r>
      <w:r w:rsidR="00043AEB">
        <w:rPr>
          <w:lang w:val="en-US"/>
        </w:rPr>
        <w:t>Organization for Economic Cooperation and Development (</w:t>
      </w:r>
      <w:r>
        <w:t>OECD</w:t>
      </w:r>
      <w:r w:rsidR="00043AEB">
        <w:t>)</w:t>
      </w:r>
      <w:r>
        <w:t xml:space="preserve"> project on cadmium focused on developing a series of good practices to further support the collection and recycling of nickel-cadmium batteries, and encouraged collaboration between industry, </w:t>
      </w:r>
      <w:r w:rsidR="00897E3A">
        <w:t>G</w:t>
      </w:r>
      <w:r>
        <w:t xml:space="preserve">overnments and other key stakeholders at the local, regional and international levels. The results are published in </w:t>
      </w:r>
      <w:r w:rsidR="00897E3A">
        <w:t xml:space="preserve">the </w:t>
      </w:r>
      <w:r w:rsidR="00897E3A" w:rsidRPr="00551B90">
        <w:t>“</w:t>
      </w:r>
      <w:r w:rsidRPr="001B4318">
        <w:rPr>
          <w:iCs/>
        </w:rPr>
        <w:t xml:space="preserve">Proceedings of the OECD </w:t>
      </w:r>
      <w:r w:rsidR="00897E3A" w:rsidRPr="001B4318">
        <w:rPr>
          <w:iCs/>
        </w:rPr>
        <w:t>workshop on the effective collection and recycling of nickel-cadmium batter</w:t>
      </w:r>
      <w:r w:rsidRPr="001B4318">
        <w:rPr>
          <w:iCs/>
        </w:rPr>
        <w:t>ies, Lyon, France, 23</w:t>
      </w:r>
      <w:r w:rsidR="00C61356">
        <w:rPr>
          <w:iCs/>
        </w:rPr>
        <w:t>–</w:t>
      </w:r>
      <w:r w:rsidRPr="001B4318">
        <w:rPr>
          <w:iCs/>
        </w:rPr>
        <w:t>25 September 1997</w:t>
      </w:r>
      <w:r w:rsidR="00D25A4C">
        <w:rPr>
          <w:iCs/>
        </w:rPr>
        <w:t>”</w:t>
      </w:r>
      <w:r w:rsidRPr="001B4318">
        <w:rPr>
          <w:iCs/>
        </w:rPr>
        <w:t xml:space="preserve"> (1999)</w:t>
      </w:r>
      <w:r w:rsidRPr="00D25A4C">
        <w:t>.</w:t>
      </w:r>
      <w:r>
        <w:t xml:space="preserve"> </w:t>
      </w:r>
      <w:r w:rsidR="00897E3A">
        <w:t>D</w:t>
      </w:r>
      <w:r>
        <w:t xml:space="preserve">etailed information on </w:t>
      </w:r>
      <w:r w:rsidR="00897E3A">
        <w:t xml:space="preserve">measures </w:t>
      </w:r>
      <w:r w:rsidR="00D25A4C">
        <w:t>under</w:t>
      </w:r>
      <w:r w:rsidR="00897E3A">
        <w:t xml:space="preserve">taken by </w:t>
      </w:r>
      <w:r>
        <w:t xml:space="preserve">OECD member countries to reduce risks associated </w:t>
      </w:r>
      <w:r w:rsidR="00897E3A">
        <w:t>with exposure to</w:t>
      </w:r>
      <w:r>
        <w:t xml:space="preserve"> cadmium can be found in </w:t>
      </w:r>
      <w:r w:rsidR="00897E3A" w:rsidRPr="00551B90">
        <w:t>“</w:t>
      </w:r>
      <w:r w:rsidRPr="001B4318">
        <w:rPr>
          <w:iCs/>
        </w:rPr>
        <w:t>Risk Reduction Monograph No. 5: Cadmium – Background and National Experience with Reducing Risk</w:t>
      </w:r>
      <w:r w:rsidR="00897E3A" w:rsidRPr="001B4318">
        <w:rPr>
          <w:iCs/>
        </w:rPr>
        <w:t>”</w:t>
      </w:r>
      <w:r w:rsidRPr="001B4318">
        <w:rPr>
          <w:iCs/>
        </w:rPr>
        <w:t xml:space="preserve"> (1994)</w:t>
      </w:r>
      <w:r w:rsidRPr="00551B90">
        <w:t>.</w:t>
      </w:r>
      <w:r>
        <w:t xml:space="preserve"> </w:t>
      </w:r>
    </w:p>
    <w:p w:rsidR="00B10509" w:rsidRPr="00551B90" w:rsidRDefault="00B10509" w:rsidP="001B4318">
      <w:pPr>
        <w:pStyle w:val="Normalnumber"/>
        <w:tabs>
          <w:tab w:val="num" w:pos="720"/>
        </w:tabs>
      </w:pPr>
      <w:r>
        <w:t xml:space="preserve">The OECD project on lead highlighted the following risk reduction measures for lead: regulations and standards to reduce lead emissions to air, water and soil; implementation of cleaner </w:t>
      </w:r>
      <w:r>
        <w:lastRenderedPageBreak/>
        <w:t xml:space="preserve">technology and environmentally acceptable waste treatment; abatement activities to reduce risks from exposure to historical sources of release, such as paints and water pipes; elimination of lead in products, including soldered food cans and household paints; </w:t>
      </w:r>
      <w:r w:rsidR="00897E3A">
        <w:t xml:space="preserve">and </w:t>
      </w:r>
      <w:r>
        <w:t>review</w:t>
      </w:r>
      <w:r w:rsidR="00897E3A">
        <w:t xml:space="preserve"> of</w:t>
      </w:r>
      <w:r>
        <w:t xml:space="preserve"> progress every few years. Implementation of the risk reduction measures lowered the average blood lead levels for the general population in OECD countries to </w:t>
      </w:r>
      <w:proofErr w:type="gramStart"/>
      <w:r>
        <w:t>below 10 µg/dl</w:t>
      </w:r>
      <w:proofErr w:type="gramEnd"/>
      <w:r>
        <w:t>. Detailed information on</w:t>
      </w:r>
      <w:r w:rsidR="00897E3A">
        <w:t xml:space="preserve"> measures undertaken</w:t>
      </w:r>
      <w:r>
        <w:t xml:space="preserve"> </w:t>
      </w:r>
      <w:r w:rsidR="00D25A4C">
        <w:t xml:space="preserve">by </w:t>
      </w:r>
      <w:r>
        <w:t xml:space="preserve">OECD member countries’ to reduce risks associated </w:t>
      </w:r>
      <w:r w:rsidR="00897E3A">
        <w:t xml:space="preserve">with exposure to </w:t>
      </w:r>
      <w:r>
        <w:t xml:space="preserve">lead can be found </w:t>
      </w:r>
      <w:r w:rsidRPr="001B4318">
        <w:rPr>
          <w:iCs/>
        </w:rPr>
        <w:t xml:space="preserve">in </w:t>
      </w:r>
      <w:r w:rsidR="00D25A4C">
        <w:rPr>
          <w:iCs/>
        </w:rPr>
        <w:t>“</w:t>
      </w:r>
      <w:r w:rsidRPr="001B4318">
        <w:rPr>
          <w:iCs/>
        </w:rPr>
        <w:t>Lead: Background and National Experience with Reducing Risk</w:t>
      </w:r>
      <w:r w:rsidR="00D25A4C">
        <w:rPr>
          <w:iCs/>
        </w:rPr>
        <w:t>”</w:t>
      </w:r>
      <w:r w:rsidRPr="001B4318">
        <w:rPr>
          <w:iCs/>
        </w:rPr>
        <w:t xml:space="preserve"> (1993) and </w:t>
      </w:r>
      <w:r w:rsidR="00D25A4C">
        <w:rPr>
          <w:iCs/>
        </w:rPr>
        <w:t>“</w:t>
      </w:r>
      <w:r w:rsidRPr="001B4318">
        <w:rPr>
          <w:iCs/>
        </w:rPr>
        <w:t>Lead Risk Management Activities in OECD Countries from 1993 to 1998</w:t>
      </w:r>
      <w:r w:rsidR="00D25A4C">
        <w:rPr>
          <w:iCs/>
        </w:rPr>
        <w:t>”</w:t>
      </w:r>
      <w:r w:rsidRPr="001B4318">
        <w:rPr>
          <w:iCs/>
        </w:rPr>
        <w:t xml:space="preserve"> (2000)</w:t>
      </w:r>
      <w:r w:rsidR="00D25A4C">
        <w:rPr>
          <w:iCs/>
        </w:rPr>
        <w:t>.</w:t>
      </w:r>
      <w:r w:rsidRPr="00551B90">
        <w:t xml:space="preserve"> </w:t>
      </w:r>
    </w:p>
    <w:p w:rsidR="00B10509" w:rsidRDefault="00B10509" w:rsidP="00A721F5">
      <w:pPr>
        <w:pStyle w:val="CH2"/>
      </w:pPr>
      <w:r>
        <w:tab/>
      </w:r>
      <w:r w:rsidR="00C662ED">
        <w:t>C</w:t>
      </w:r>
      <w:r>
        <w:t>.</w:t>
      </w:r>
      <w:r>
        <w:tab/>
        <w:t xml:space="preserve">Submissions </w:t>
      </w:r>
      <w:r w:rsidR="00C662ED">
        <w:t xml:space="preserve">by </w:t>
      </w:r>
      <w:r>
        <w:t>non-governmental organizations</w:t>
      </w:r>
    </w:p>
    <w:p w:rsidR="00B10509" w:rsidRDefault="00B10509" w:rsidP="001B4318">
      <w:pPr>
        <w:pStyle w:val="CH3"/>
        <w:rPr>
          <w:b w:val="0"/>
          <w:lang w:val="en-US"/>
        </w:rPr>
      </w:pPr>
      <w:r>
        <w:rPr>
          <w:lang w:val="en-US"/>
        </w:rPr>
        <w:tab/>
      </w:r>
      <w:r>
        <w:rPr>
          <w:lang w:val="en-US"/>
        </w:rPr>
        <w:tab/>
        <w:t xml:space="preserve">International Cadmium Association </w:t>
      </w:r>
    </w:p>
    <w:p w:rsidR="00B10509" w:rsidRDefault="00B10509" w:rsidP="001B4318">
      <w:pPr>
        <w:pStyle w:val="Normalnumber"/>
        <w:tabs>
          <w:tab w:val="num" w:pos="720"/>
        </w:tabs>
      </w:pPr>
      <w:r>
        <w:t>The International Cadmium Association stated that the main sources of human exposure to cadmium are phosphate fertilizers, fossil fuel combustion, natural sources, iron and steel production, nonferrous metals production, cement manufacture, waste incineration, and production and use of cadmium products.</w:t>
      </w:r>
    </w:p>
    <w:p w:rsidR="00B10509" w:rsidRDefault="00B10509" w:rsidP="001B4318">
      <w:pPr>
        <w:pStyle w:val="Normalnumber"/>
        <w:tabs>
          <w:tab w:val="num" w:pos="720"/>
        </w:tabs>
      </w:pPr>
      <w:r>
        <w:t>Most occupational exposure standards for cadmium in developed nations are at or below 10µg/m</w:t>
      </w:r>
      <w:r>
        <w:rPr>
          <w:vertAlign w:val="superscript"/>
        </w:rPr>
        <w:t>3</w:t>
      </w:r>
      <w:r>
        <w:t xml:space="preserve"> and the emission limits are well regulated. Efforts should be made to transfer the existing technology and expertise to developing </w:t>
      </w:r>
      <w:r w:rsidR="00D25A4C">
        <w:t>countries</w:t>
      </w:r>
      <w:r>
        <w:t xml:space="preserve">. </w:t>
      </w:r>
    </w:p>
    <w:p w:rsidR="00B10509" w:rsidRDefault="00B10509" w:rsidP="001B4318">
      <w:pPr>
        <w:pStyle w:val="Normalnumber"/>
        <w:tabs>
          <w:tab w:val="num" w:pos="720"/>
        </w:tabs>
      </w:pPr>
      <w:r>
        <w:t xml:space="preserve">The estimated recycling rates of industrial nickel-cadmium batteries are generally in the range of 90 </w:t>
      </w:r>
      <w:r w:rsidR="00D25A4C">
        <w:t xml:space="preserve">per cent </w:t>
      </w:r>
      <w:r>
        <w:t xml:space="preserve">or above, and such batteries are being replaced with lithium-ion cells in the consumer market. </w:t>
      </w:r>
      <w:r w:rsidR="00D25A4C">
        <w:t>The</w:t>
      </w:r>
      <w:r>
        <w:t xml:space="preserve"> cadmium telluride solar cell industry has also adopted collection and recycling program</w:t>
      </w:r>
      <w:r w:rsidR="00D25A4C">
        <w:t>me</w:t>
      </w:r>
      <w:r>
        <w:t>s for its wastes and spent modules.</w:t>
      </w:r>
    </w:p>
    <w:p w:rsidR="00B10509" w:rsidRPr="00A721F5" w:rsidRDefault="00B10509" w:rsidP="00A721F5">
      <w:pPr>
        <w:pStyle w:val="CH3"/>
        <w:rPr>
          <w:lang w:val="en-US"/>
        </w:rPr>
      </w:pPr>
      <w:r>
        <w:rPr>
          <w:lang w:val="en-US"/>
        </w:rPr>
        <w:tab/>
      </w:r>
      <w:r>
        <w:rPr>
          <w:lang w:val="en-US"/>
        </w:rPr>
        <w:tab/>
      </w:r>
      <w:r w:rsidRPr="00A721F5">
        <w:rPr>
          <w:lang w:val="en-US"/>
        </w:rPr>
        <w:t xml:space="preserve">International POPs Elimination Network </w:t>
      </w:r>
    </w:p>
    <w:p w:rsidR="00B10509" w:rsidRDefault="00923516" w:rsidP="001B4318">
      <w:pPr>
        <w:pStyle w:val="Normalnumber"/>
        <w:tabs>
          <w:tab w:val="num" w:pos="720"/>
        </w:tabs>
      </w:pPr>
      <w:r>
        <w:rPr>
          <w:lang w:val="en-US"/>
        </w:rPr>
        <w:t>According to the statement by the I</w:t>
      </w:r>
      <w:r w:rsidRPr="00A721F5">
        <w:rPr>
          <w:lang w:val="en-US"/>
        </w:rPr>
        <w:t>nternational POPs Elimination Network (IPEN)</w:t>
      </w:r>
      <w:r>
        <w:rPr>
          <w:lang w:val="en-US"/>
        </w:rPr>
        <w:t>, m</w:t>
      </w:r>
      <w:r w:rsidR="00D25A4C">
        <w:rPr>
          <w:lang w:val="en-US"/>
        </w:rPr>
        <w:t xml:space="preserve">ost highly industrial countries have adopted </w:t>
      </w:r>
      <w:r w:rsidR="00D25A4C">
        <w:t>r</w:t>
      </w:r>
      <w:r w:rsidR="00B10509">
        <w:t xml:space="preserve">egulations to control the lead content of decorative paints and paints used </w:t>
      </w:r>
      <w:r w:rsidR="00D25A4C">
        <w:t>i</w:t>
      </w:r>
      <w:r w:rsidR="00B10509">
        <w:t>n applications with the possibility of lead exposure in children, based on scientific and medical findings that the major source of lead exposure in children is lead paint. Exposure to lead damages the nervous system, causing impulsive and violent behaviour. Children aged six years and under are known to be more vulnerable, and the acceptable blood lead level for children has not been determined.</w:t>
      </w:r>
    </w:p>
    <w:p w:rsidR="00B10509" w:rsidRDefault="00B10509" w:rsidP="001B4318">
      <w:pPr>
        <w:pStyle w:val="Normalnumber"/>
        <w:tabs>
          <w:tab w:val="num" w:pos="720"/>
        </w:tabs>
      </w:pPr>
      <w:r>
        <w:t>While substitutes for lead pigments and driers are widely available, high levels of lead, reaching 10</w:t>
      </w:r>
      <w:r w:rsidR="009325F6">
        <w:t>–</w:t>
      </w:r>
      <w:r>
        <w:t xml:space="preserve">20 </w:t>
      </w:r>
      <w:r w:rsidR="00D25A4C">
        <w:t>per cent</w:t>
      </w:r>
      <w:r>
        <w:t xml:space="preserve"> of the total dry weight of the paint, have been detected in decorative paints in almost all paint studies conducted in countries lacking enforced legislation in the </w:t>
      </w:r>
      <w:r w:rsidR="009F0076">
        <w:t>g</w:t>
      </w:r>
      <w:r>
        <w:t xml:space="preserve">lobal South. </w:t>
      </w:r>
    </w:p>
    <w:p w:rsidR="00B10509" w:rsidRDefault="00B10509" w:rsidP="001B4318">
      <w:pPr>
        <w:pStyle w:val="Normalnumber"/>
        <w:tabs>
          <w:tab w:val="num" w:pos="720"/>
        </w:tabs>
      </w:pPr>
      <w:r>
        <w:t xml:space="preserve">Non-lead alternatives to lead pigments are available via reformulation processes. However, </w:t>
      </w:r>
      <w:r w:rsidR="00D25A4C">
        <w:t>at present</w:t>
      </w:r>
      <w:r>
        <w:t xml:space="preserve"> there is no </w:t>
      </w:r>
      <w:r w:rsidR="00D25A4C">
        <w:t xml:space="preserve">publicly available </w:t>
      </w:r>
      <w:r>
        <w:t xml:space="preserve">comprehensive list of non-leaded pigments for use in decorative paints, which makes it challenging for smaller manufacturers to produce lead-free paint. </w:t>
      </w:r>
      <w:r w:rsidR="00D25A4C">
        <w:t>In addition</w:t>
      </w:r>
      <w:r>
        <w:t>, an unwillingness to reformulate leaded paints also remains a challenge.</w:t>
      </w:r>
    </w:p>
    <w:p w:rsidR="00B10509" w:rsidRDefault="00B10509" w:rsidP="001B4318">
      <w:pPr>
        <w:pStyle w:val="Normalnumber"/>
        <w:tabs>
          <w:tab w:val="num" w:pos="720"/>
        </w:tabs>
      </w:pPr>
      <w:r>
        <w:t xml:space="preserve">Eliminating lead in decorative paint in developing countries and countries </w:t>
      </w:r>
      <w:r w:rsidR="009325F6">
        <w:t xml:space="preserve">with economies </w:t>
      </w:r>
      <w:r>
        <w:t>in transition is particularly important, since paint sales in most of th</w:t>
      </w:r>
      <w:r w:rsidR="009325F6">
        <w:t>o</w:t>
      </w:r>
      <w:r>
        <w:t xml:space="preserve">se countries are growing rapidly. Failure to address this problem now will create high social and economic costs later. </w:t>
      </w:r>
    </w:p>
    <w:p w:rsidR="00B10509" w:rsidRPr="00A721F5" w:rsidRDefault="00B10509" w:rsidP="00A721F5">
      <w:pPr>
        <w:pStyle w:val="CH3"/>
        <w:rPr>
          <w:lang w:val="en-US"/>
        </w:rPr>
      </w:pPr>
      <w:r>
        <w:rPr>
          <w:lang w:val="en-US"/>
        </w:rPr>
        <w:tab/>
      </w:r>
      <w:r>
        <w:rPr>
          <w:lang w:val="en-US"/>
        </w:rPr>
        <w:tab/>
      </w:r>
      <w:r w:rsidRPr="00A721F5">
        <w:rPr>
          <w:lang w:val="en-US"/>
        </w:rPr>
        <w:t xml:space="preserve">Research and Education Centre for Development </w:t>
      </w:r>
      <w:r w:rsidR="009325F6">
        <w:rPr>
          <w:lang w:val="en-US"/>
        </w:rPr>
        <w:t>of Cameroon</w:t>
      </w:r>
      <w:r w:rsidRPr="00A721F5">
        <w:rPr>
          <w:lang w:val="en-US"/>
        </w:rPr>
        <w:t xml:space="preserve"> </w:t>
      </w:r>
    </w:p>
    <w:p w:rsidR="00B10509" w:rsidRPr="00923516" w:rsidRDefault="009325F6" w:rsidP="001B4318">
      <w:pPr>
        <w:pStyle w:val="Normalnumber"/>
        <w:tabs>
          <w:tab w:val="num" w:pos="720"/>
        </w:tabs>
      </w:pPr>
      <w:r>
        <w:rPr>
          <w:lang w:val="en-US"/>
        </w:rPr>
        <w:t>The Research and Education Centre for Development (</w:t>
      </w:r>
      <w:r w:rsidR="00B10509">
        <w:t>CREPD</w:t>
      </w:r>
      <w:r>
        <w:t>)</w:t>
      </w:r>
      <w:r w:rsidR="00B10509">
        <w:t xml:space="preserve"> reported information on a project on lead in paints carried out in Cameroon showing that 63 </w:t>
      </w:r>
      <w:r w:rsidR="006624A7">
        <w:t>per cent</w:t>
      </w:r>
      <w:r w:rsidR="00B10509">
        <w:t xml:space="preserve"> of domestic and imported paints contain lead concentrations higher than 90 ppm, and only 9.77 </w:t>
      </w:r>
      <w:r w:rsidR="006624A7">
        <w:t>per cent</w:t>
      </w:r>
      <w:r w:rsidR="00B10509">
        <w:t xml:space="preserve"> of the</w:t>
      </w:r>
      <w:r w:rsidR="006624A7">
        <w:t xml:space="preserve"> labels on these</w:t>
      </w:r>
      <w:r w:rsidR="00B10509">
        <w:t xml:space="preserve"> paints mention lead compound</w:t>
      </w:r>
      <w:r w:rsidR="006624A7">
        <w:t>s</w:t>
      </w:r>
      <w:r w:rsidR="00B10509">
        <w:t xml:space="preserve">. </w:t>
      </w:r>
      <w:r w:rsidR="006624A7">
        <w:t>In terms of</w:t>
      </w:r>
      <w:r w:rsidR="00B10509">
        <w:t xml:space="preserve"> strengthening techniques for emissions abatement and possibly the substitution of lead in products or processes with less hazardous substances and techniques, </w:t>
      </w:r>
      <w:r w:rsidR="006624A7">
        <w:t>CREPD highlighted the</w:t>
      </w:r>
      <w:r w:rsidR="00B10509">
        <w:t xml:space="preserve"> </w:t>
      </w:r>
      <w:r w:rsidR="006624A7">
        <w:t>need</w:t>
      </w:r>
      <w:r w:rsidR="00B10509">
        <w:t xml:space="preserve"> to take global measures, such as prohibiti</w:t>
      </w:r>
      <w:r w:rsidR="00FD5362">
        <w:t>ng</w:t>
      </w:r>
      <w:r w:rsidR="006624A7">
        <w:t xml:space="preserve"> </w:t>
      </w:r>
      <w:r w:rsidR="00B10509">
        <w:t>import</w:t>
      </w:r>
      <w:r w:rsidR="00FD5362">
        <w:t>s</w:t>
      </w:r>
      <w:r w:rsidR="00B10509">
        <w:t xml:space="preserve"> of paints with lead concentrations exceeding 90 ppm</w:t>
      </w:r>
      <w:r w:rsidR="006624A7">
        <w:t>,</w:t>
      </w:r>
      <w:r w:rsidR="00B10509">
        <w:t xml:space="preserve"> in addition to strengthening national resources in developing countries for the establishment of national </w:t>
      </w:r>
      <w:r w:rsidR="006624A7">
        <w:t xml:space="preserve">legislation </w:t>
      </w:r>
      <w:r w:rsidR="00B10509">
        <w:t xml:space="preserve">regarding the concentration of lead in products and strengthening existing regulations </w:t>
      </w:r>
      <w:r w:rsidR="00B10509" w:rsidRPr="00564DA3">
        <w:t xml:space="preserve">for the </w:t>
      </w:r>
      <w:r w:rsidR="00B10509" w:rsidRPr="00923516">
        <w:t>sound management of lead</w:t>
      </w:r>
      <w:r w:rsidR="00FD5362" w:rsidRPr="001B4318">
        <w:t>-containing product streams</w:t>
      </w:r>
      <w:r w:rsidR="00B10509" w:rsidRPr="00923516">
        <w:t>.</w:t>
      </w:r>
    </w:p>
    <w:p w:rsidR="00B10509" w:rsidRDefault="00B10509" w:rsidP="001B4318">
      <w:pPr>
        <w:pStyle w:val="Normalnumber"/>
        <w:tabs>
          <w:tab w:val="num" w:pos="720"/>
        </w:tabs>
      </w:pPr>
      <w:r>
        <w:t xml:space="preserve">Cadmium in dry-cell portable batteries and in plastics </w:t>
      </w:r>
      <w:r w:rsidR="009F0076">
        <w:t>is</w:t>
      </w:r>
      <w:r>
        <w:t xml:space="preserve"> </w:t>
      </w:r>
      <w:r w:rsidR="006624A7">
        <w:t xml:space="preserve">also </w:t>
      </w:r>
      <w:r>
        <w:t xml:space="preserve">found in Cameroon. </w:t>
      </w:r>
    </w:p>
    <w:p w:rsidR="00B10509" w:rsidRDefault="00B10509" w:rsidP="001B4318">
      <w:pPr>
        <w:pStyle w:val="CH3"/>
      </w:pPr>
      <w:r>
        <w:lastRenderedPageBreak/>
        <w:tab/>
      </w:r>
      <w:r>
        <w:tab/>
        <w:t xml:space="preserve">OK International </w:t>
      </w:r>
    </w:p>
    <w:p w:rsidR="00B10509" w:rsidRDefault="00B10509" w:rsidP="001B4318">
      <w:pPr>
        <w:pStyle w:val="Normalnumber"/>
        <w:keepNext/>
        <w:keepLines/>
        <w:tabs>
          <w:tab w:val="num" w:pos="720"/>
        </w:tabs>
      </w:pPr>
      <w:r>
        <w:t>OK International</w:t>
      </w:r>
      <w:r w:rsidR="009F0076">
        <w:t xml:space="preserve"> referred</w:t>
      </w:r>
      <w:r>
        <w:t xml:space="preserve"> to the </w:t>
      </w:r>
      <w:r w:rsidR="009F0076">
        <w:t xml:space="preserve">fact that </w:t>
      </w:r>
      <w:r>
        <w:t>lead battery production consum</w:t>
      </w:r>
      <w:r w:rsidR="009F0076">
        <w:t>ed</w:t>
      </w:r>
      <w:r>
        <w:t xml:space="preserve"> over 80 </w:t>
      </w:r>
      <w:r w:rsidR="006624A7">
        <w:t>per cent</w:t>
      </w:r>
      <w:r>
        <w:t xml:space="preserve"> of global lead production</w:t>
      </w:r>
      <w:r w:rsidR="009F0076">
        <w:t>,</w:t>
      </w:r>
      <w:r>
        <w:t xml:space="preserve"> and </w:t>
      </w:r>
      <w:r w:rsidR="009F0076">
        <w:t xml:space="preserve">to </w:t>
      </w:r>
      <w:r>
        <w:t>its rapid</w:t>
      </w:r>
      <w:r w:rsidR="006624A7">
        <w:t xml:space="preserve"> growth</w:t>
      </w:r>
      <w:r>
        <w:t xml:space="preserve"> around the world, as lead batteries remain the most reliable and cost-effective batteries for stationary applications and are the most widely used for back-up power in data cent</w:t>
      </w:r>
      <w:r w:rsidR="006624A7">
        <w:t>re</w:t>
      </w:r>
      <w:r>
        <w:t xml:space="preserve">s. </w:t>
      </w:r>
    </w:p>
    <w:p w:rsidR="00B10509" w:rsidRDefault="00B10509" w:rsidP="001B4318">
      <w:pPr>
        <w:pStyle w:val="Normalnumber"/>
        <w:tabs>
          <w:tab w:val="num" w:pos="720"/>
        </w:tabs>
      </w:pPr>
      <w:r>
        <w:t xml:space="preserve">There have been many published articles and media reports of lead poisoning incidents in communities surrounding lead battery manufacturing and recycling facilities </w:t>
      </w:r>
      <w:r w:rsidR="006624A7">
        <w:t xml:space="preserve">in </w:t>
      </w:r>
      <w:r>
        <w:t>many low</w:t>
      </w:r>
      <w:r w:rsidR="006624A7">
        <w:t>-income</w:t>
      </w:r>
      <w:r>
        <w:t xml:space="preserve"> and moderate-income countries. The neurotoxic and developmental impacts of lead have been well established for decades. </w:t>
      </w:r>
    </w:p>
    <w:p w:rsidR="00B10509" w:rsidRDefault="00B10509" w:rsidP="001B4318">
      <w:pPr>
        <w:pStyle w:val="Normalnumber"/>
        <w:tabs>
          <w:tab w:val="num" w:pos="720"/>
        </w:tabs>
      </w:pPr>
      <w:r>
        <w:t xml:space="preserve">Studies show </w:t>
      </w:r>
      <w:r w:rsidR="009F0076">
        <w:t xml:space="preserve">that </w:t>
      </w:r>
      <w:r>
        <w:t>children living near battery recycling facilities in developing countries have approximately 13 times more lead in their blood than children in the U</w:t>
      </w:r>
      <w:r w:rsidR="006624A7">
        <w:t>nited States</w:t>
      </w:r>
      <w:r w:rsidR="009F0076">
        <w:t>,</w:t>
      </w:r>
      <w:r>
        <w:t xml:space="preserve"> and </w:t>
      </w:r>
      <w:r w:rsidR="009F0076">
        <w:t xml:space="preserve">that </w:t>
      </w:r>
      <w:r>
        <w:t xml:space="preserve">workers in battery recycling </w:t>
      </w:r>
      <w:r w:rsidR="006624A7">
        <w:t xml:space="preserve">facilities in </w:t>
      </w:r>
      <w:r>
        <w:t xml:space="preserve">developing countries have </w:t>
      </w:r>
      <w:r w:rsidR="006624A7">
        <w:t xml:space="preserve">blood lead levels </w:t>
      </w:r>
      <w:r>
        <w:t xml:space="preserve">approximately three times higher than </w:t>
      </w:r>
      <w:r w:rsidR="006624A7">
        <w:t xml:space="preserve">those of </w:t>
      </w:r>
      <w:r>
        <w:t>battery workers in the</w:t>
      </w:r>
      <w:r w:rsidR="006624A7">
        <w:t xml:space="preserve"> United States</w:t>
      </w:r>
      <w:r>
        <w:t xml:space="preserve">. </w:t>
      </w:r>
      <w:r w:rsidR="009C627F">
        <w:t>L</w:t>
      </w:r>
      <w:r>
        <w:t>evels</w:t>
      </w:r>
      <w:r w:rsidR="009C627F">
        <w:t xml:space="preserve"> of lead</w:t>
      </w:r>
      <w:r>
        <w:t xml:space="preserve"> in the air inside lead battery plants in developing countries </w:t>
      </w:r>
      <w:r w:rsidR="009C627F">
        <w:t xml:space="preserve">have been shown to be </w:t>
      </w:r>
      <w:r>
        <w:t xml:space="preserve">seven times greater than the levels permitted by the </w:t>
      </w:r>
      <w:r w:rsidR="009C627F">
        <w:t>United States</w:t>
      </w:r>
      <w:r>
        <w:t xml:space="preserve"> Occupational Safety and Health Administration. The hazards associated with the manufacture and recycling of lead batteries should be addressed</w:t>
      </w:r>
      <w:r w:rsidR="009F0076">
        <w:t>,</w:t>
      </w:r>
      <w:r>
        <w:t xml:space="preserve"> and adequate regulations should be established, especially in developing countries.</w:t>
      </w:r>
    </w:p>
    <w:p w:rsidR="00B10509" w:rsidRDefault="00B10509" w:rsidP="00A721F5">
      <w:pPr>
        <w:pStyle w:val="CH2"/>
      </w:pPr>
      <w:r>
        <w:tab/>
      </w:r>
      <w:r w:rsidR="00C662ED">
        <w:t>D</w:t>
      </w:r>
      <w:r>
        <w:t>.</w:t>
      </w:r>
      <w:r>
        <w:tab/>
        <w:t xml:space="preserve">Submissions </w:t>
      </w:r>
      <w:r w:rsidR="00C662ED">
        <w:t xml:space="preserve">by </w:t>
      </w:r>
      <w:r>
        <w:t>others</w:t>
      </w:r>
    </w:p>
    <w:p w:rsidR="00B10509" w:rsidRDefault="00B10509" w:rsidP="00A721F5">
      <w:pPr>
        <w:pStyle w:val="CH3"/>
      </w:pPr>
      <w:r>
        <w:tab/>
      </w:r>
      <w:r>
        <w:tab/>
        <w:t>RSR Corporation</w:t>
      </w:r>
    </w:p>
    <w:p w:rsidR="00B10509" w:rsidRDefault="00B10509" w:rsidP="00A721F5">
      <w:pPr>
        <w:pStyle w:val="Normalnumber"/>
        <w:tabs>
          <w:tab w:val="num" w:pos="720"/>
        </w:tabs>
      </w:pPr>
      <w:r>
        <w:t xml:space="preserve">RSR Corporation responded to </w:t>
      </w:r>
      <w:r w:rsidR="009C627F">
        <w:t xml:space="preserve">the </w:t>
      </w:r>
      <w:r>
        <w:t xml:space="preserve">UNEP request by referring to </w:t>
      </w:r>
      <w:r w:rsidR="0054215A">
        <w:t>it</w:t>
      </w:r>
      <w:r>
        <w:t>s subsidiaries operating three secondary lead smelters in the U</w:t>
      </w:r>
      <w:r w:rsidR="009C627F">
        <w:t>nited States</w:t>
      </w:r>
      <w:r>
        <w:t xml:space="preserve">. RSR Corporation described how installing </w:t>
      </w:r>
      <w:r w:rsidR="009C627F">
        <w:t>wet electrostatic prec</w:t>
      </w:r>
      <w:r>
        <w:t>ipitators at secondary lead smelting facilities ha</w:t>
      </w:r>
      <w:r w:rsidR="009C627F">
        <w:t>d</w:t>
      </w:r>
      <w:r>
        <w:t xml:space="preserve"> cut emissions of hazardous air pollutants identified </w:t>
      </w:r>
      <w:r w:rsidR="0054215A">
        <w:t xml:space="preserve">as such </w:t>
      </w:r>
      <w:r>
        <w:t xml:space="preserve">by the </w:t>
      </w:r>
      <w:r w:rsidR="009C627F">
        <w:t>United States</w:t>
      </w:r>
      <w:r>
        <w:t xml:space="preserve"> Environmental Protection Agency under the Clean Air Act, including lead, cadmium and arsenic, by over 90 per</w:t>
      </w:r>
      <w:r w:rsidR="009C627F">
        <w:t xml:space="preserve"> </w:t>
      </w:r>
      <w:r>
        <w:t xml:space="preserve">cent. </w:t>
      </w:r>
      <w:r w:rsidR="009C627F">
        <w:t>Wet electrostatic precipitators</w:t>
      </w:r>
      <w:r>
        <w:t xml:space="preserve"> remove metallic particulate matter in process exhaust streams after they pass through upstream </w:t>
      </w:r>
      <w:proofErr w:type="spellStart"/>
      <w:r>
        <w:t>baghouses</w:t>
      </w:r>
      <w:proofErr w:type="spellEnd"/>
      <w:r>
        <w:t xml:space="preserve"> and scrubbers.</w:t>
      </w:r>
    </w:p>
    <w:p w:rsidR="00B10509" w:rsidRDefault="00B10509" w:rsidP="00A721F5">
      <w:pPr>
        <w:pStyle w:val="CH3"/>
      </w:pPr>
      <w:r>
        <w:tab/>
      </w:r>
      <w:r>
        <w:tab/>
      </w:r>
      <w:proofErr w:type="spellStart"/>
      <w:r>
        <w:t>VinylPlus</w:t>
      </w:r>
      <w:proofErr w:type="spellEnd"/>
    </w:p>
    <w:p w:rsidR="00B10509" w:rsidRDefault="004515DB" w:rsidP="001B4318">
      <w:pPr>
        <w:pStyle w:val="Normalnumber"/>
      </w:pPr>
      <w:r>
        <w:t xml:space="preserve">The submission by </w:t>
      </w:r>
      <w:proofErr w:type="spellStart"/>
      <w:r w:rsidR="00B10509">
        <w:t>VinylPlus</w:t>
      </w:r>
      <w:proofErr w:type="spellEnd"/>
      <w:r w:rsidR="00B10509">
        <w:t xml:space="preserve">, the </w:t>
      </w:r>
      <w:r w:rsidR="0054215A">
        <w:t xml:space="preserve">voluntary sustainable </w:t>
      </w:r>
      <w:r w:rsidR="0054215A" w:rsidRPr="00ED316B">
        <w:t xml:space="preserve">development programme of </w:t>
      </w:r>
      <w:r w:rsidR="00B10509" w:rsidRPr="001B4318">
        <w:t>the European PVC industry</w:t>
      </w:r>
      <w:r w:rsidR="009C627F" w:rsidRPr="001B4318">
        <w:t>,</w:t>
      </w:r>
      <w:r w:rsidR="00B10509" w:rsidRPr="001B4318">
        <w:t xml:space="preserve"> refer</w:t>
      </w:r>
      <w:r w:rsidR="00F60C2F" w:rsidRPr="001B4318">
        <w:t>red</w:t>
      </w:r>
      <w:r w:rsidR="00B10509" w:rsidRPr="001B4318">
        <w:t xml:space="preserve"> to the European PVC industry’s experience in replacing lead</w:t>
      </w:r>
      <w:r w:rsidR="009C627F" w:rsidRPr="001B4318">
        <w:t>-based</w:t>
      </w:r>
      <w:r w:rsidR="00B10509" w:rsidRPr="001B4318">
        <w:t xml:space="preserve"> and cadmium-based stabili</w:t>
      </w:r>
      <w:r w:rsidR="009C627F" w:rsidRPr="001B4318">
        <w:t>z</w:t>
      </w:r>
      <w:r w:rsidR="00B10509" w:rsidRPr="001B4318">
        <w:t>ers. Lead-</w:t>
      </w:r>
      <w:r w:rsidR="009C627F" w:rsidRPr="001B4318">
        <w:t>based</w:t>
      </w:r>
      <w:r w:rsidR="00B10509" w:rsidRPr="001B4318">
        <w:t xml:space="preserve"> and cadmium-based </w:t>
      </w:r>
      <w:r w:rsidR="009C627F" w:rsidRPr="001B4318">
        <w:t>PVC</w:t>
      </w:r>
      <w:r w:rsidR="00B10509" w:rsidRPr="001B4318">
        <w:t xml:space="preserve"> stabilizers show excellent technical performance and cost-effectiveness. However, </w:t>
      </w:r>
      <w:r w:rsidR="009C627F" w:rsidRPr="001B4318">
        <w:t xml:space="preserve">the use of cadmium-based stabilizers </w:t>
      </w:r>
      <w:r w:rsidR="00F60C2F" w:rsidRPr="001B4318">
        <w:t>has been</w:t>
      </w:r>
      <w:r w:rsidR="009C627F" w:rsidRPr="001B4318">
        <w:t xml:space="preserve"> phased out in the European Union area </w:t>
      </w:r>
      <w:r w:rsidR="00F60C2F" w:rsidRPr="001B4318">
        <w:t>owing</w:t>
      </w:r>
      <w:r w:rsidR="00B10509" w:rsidRPr="001B4318">
        <w:t xml:space="preserve"> to their toxicity and possible accumulation in the body. According to </w:t>
      </w:r>
      <w:r w:rsidR="00F60C2F" w:rsidRPr="001B4318">
        <w:t>the submission</w:t>
      </w:r>
      <w:r w:rsidR="00B745B5" w:rsidRPr="00ED316B">
        <w:t>,</w:t>
      </w:r>
      <w:r w:rsidR="00B10509" w:rsidRPr="002C7143">
        <w:t xml:space="preserve"> barium/cadmium s</w:t>
      </w:r>
      <w:r w:rsidR="00B10509" w:rsidRPr="001A26E2">
        <w:t xml:space="preserve">tabilizers have been replaced </w:t>
      </w:r>
      <w:r w:rsidR="00F60C2F" w:rsidRPr="001B4318">
        <w:t xml:space="preserve">in foils </w:t>
      </w:r>
      <w:r w:rsidR="00B10509" w:rsidRPr="001B4318">
        <w:t>by barium/zinc stabilizers. Lead-based stabilizers, on the other hand, are being</w:t>
      </w:r>
      <w:r w:rsidR="00B10509">
        <w:t xml:space="preserve"> progressively replaced by </w:t>
      </w:r>
      <w:r w:rsidR="00FC1221">
        <w:br/>
      </w:r>
      <w:r w:rsidR="00B10509">
        <w:t xml:space="preserve">calcium-based stabilizers, which are used as an alternative. </w:t>
      </w:r>
    </w:p>
    <w:tbl>
      <w:tblPr>
        <w:tblW w:w="0" w:type="auto"/>
        <w:jc w:val="right"/>
        <w:tblCellMar>
          <w:top w:w="28" w:type="dxa"/>
          <w:left w:w="17" w:type="dxa"/>
          <w:bottom w:w="28" w:type="dxa"/>
          <w:right w:w="17" w:type="dxa"/>
        </w:tblCellMar>
        <w:tblLook w:val="00A0" w:firstRow="1" w:lastRow="0" w:firstColumn="1" w:lastColumn="0" w:noHBand="0" w:noVBand="0"/>
      </w:tblPr>
      <w:tblGrid>
        <w:gridCol w:w="1921"/>
        <w:gridCol w:w="1921"/>
        <w:gridCol w:w="1922"/>
        <w:gridCol w:w="1923"/>
        <w:gridCol w:w="1923"/>
      </w:tblGrid>
      <w:tr w:rsidR="00B10509">
        <w:trPr>
          <w:jc w:val="right"/>
        </w:trPr>
        <w:tc>
          <w:tcPr>
            <w:tcW w:w="1942" w:type="dxa"/>
            <w:tcMar>
              <w:left w:w="57" w:type="dxa"/>
              <w:right w:w="57" w:type="dxa"/>
            </w:tcMar>
          </w:tcPr>
          <w:p w:rsidR="00B10509" w:rsidRPr="00C712FD" w:rsidRDefault="00B10509" w:rsidP="00C712FD">
            <w:pPr>
              <w:pStyle w:val="Normal-pool"/>
              <w:spacing w:before="520"/>
              <w:rPr>
                <w:sz w:val="18"/>
                <w:szCs w:val="18"/>
              </w:rPr>
            </w:pPr>
          </w:p>
        </w:tc>
        <w:tc>
          <w:tcPr>
            <w:tcW w:w="1942" w:type="dxa"/>
            <w:tcMar>
              <w:left w:w="57" w:type="dxa"/>
              <w:right w:w="57" w:type="dxa"/>
            </w:tcMar>
          </w:tcPr>
          <w:p w:rsidR="00B10509" w:rsidRPr="00C712FD" w:rsidRDefault="00B10509" w:rsidP="00C712FD">
            <w:pPr>
              <w:pStyle w:val="Normal-pool"/>
              <w:spacing w:before="520"/>
              <w:rPr>
                <w:sz w:val="18"/>
                <w:szCs w:val="18"/>
              </w:rPr>
            </w:pPr>
          </w:p>
        </w:tc>
        <w:tc>
          <w:tcPr>
            <w:tcW w:w="1942" w:type="dxa"/>
            <w:tcBorders>
              <w:bottom w:val="single" w:sz="4" w:space="0" w:color="auto"/>
            </w:tcBorders>
            <w:tcMar>
              <w:left w:w="57" w:type="dxa"/>
              <w:right w:w="57" w:type="dxa"/>
            </w:tcMar>
          </w:tcPr>
          <w:p w:rsidR="00B10509" w:rsidRPr="00C712FD" w:rsidRDefault="00B10509" w:rsidP="00C712FD">
            <w:pPr>
              <w:pStyle w:val="Normal-pool"/>
              <w:spacing w:before="520"/>
              <w:rPr>
                <w:sz w:val="18"/>
                <w:szCs w:val="18"/>
              </w:rPr>
            </w:pPr>
          </w:p>
        </w:tc>
        <w:tc>
          <w:tcPr>
            <w:tcW w:w="1943" w:type="dxa"/>
            <w:tcMar>
              <w:left w:w="57" w:type="dxa"/>
              <w:right w:w="57" w:type="dxa"/>
            </w:tcMar>
          </w:tcPr>
          <w:p w:rsidR="00B10509" w:rsidRPr="00C712FD" w:rsidRDefault="00B10509" w:rsidP="00C712FD">
            <w:pPr>
              <w:pStyle w:val="Normal-pool"/>
              <w:spacing w:before="520"/>
              <w:rPr>
                <w:sz w:val="18"/>
                <w:szCs w:val="18"/>
              </w:rPr>
            </w:pPr>
          </w:p>
        </w:tc>
        <w:tc>
          <w:tcPr>
            <w:tcW w:w="1943" w:type="dxa"/>
            <w:tcMar>
              <w:left w:w="57" w:type="dxa"/>
              <w:right w:w="57" w:type="dxa"/>
            </w:tcMar>
          </w:tcPr>
          <w:p w:rsidR="00B10509" w:rsidRPr="00C712FD" w:rsidRDefault="00B10509" w:rsidP="00C712FD">
            <w:pPr>
              <w:pStyle w:val="Normal-pool"/>
              <w:spacing w:before="520"/>
              <w:rPr>
                <w:sz w:val="18"/>
                <w:szCs w:val="18"/>
              </w:rPr>
            </w:pPr>
          </w:p>
        </w:tc>
      </w:tr>
    </w:tbl>
    <w:p w:rsidR="00B10509" w:rsidRDefault="00B10509">
      <w:pPr>
        <w:pStyle w:val="Normal-pool"/>
      </w:pPr>
    </w:p>
    <w:sectPr w:rsidR="00B10509" w:rsidSect="006C5EF8">
      <w:headerReference w:type="even" r:id="rId17"/>
      <w:headerReference w:type="default" r:id="rId18"/>
      <w:footerReference w:type="even" r:id="rId19"/>
      <w:footerReference w:type="default" r:id="rId20"/>
      <w:footerReference w:type="first" r:id="rId21"/>
      <w:type w:val="continuous"/>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738" w:rsidRDefault="00DA7738">
      <w:r>
        <w:separator/>
      </w:r>
    </w:p>
  </w:endnote>
  <w:endnote w:type="continuationSeparator" w:id="0">
    <w:p w:rsidR="00DA7738" w:rsidRDefault="00DA7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nivers">
    <w:altName w:val="Arial"/>
    <w:panose1 w:val="020B060302020203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4A7" w:rsidRDefault="006624A7">
    <w:pPr>
      <w:pStyle w:val="Footer"/>
    </w:pPr>
    <w:r>
      <w:rPr>
        <w:rStyle w:val="PageNumber"/>
      </w:rPr>
      <w:fldChar w:fldCharType="begin"/>
    </w:r>
    <w:r>
      <w:rPr>
        <w:rStyle w:val="PageNumber"/>
      </w:rPr>
      <w:instrText xml:space="preserve"> PAGE </w:instrText>
    </w:r>
    <w:r>
      <w:rPr>
        <w:rStyle w:val="PageNumber"/>
      </w:rPr>
      <w:fldChar w:fldCharType="separate"/>
    </w:r>
    <w:r w:rsidR="00E97D8F">
      <w:rPr>
        <w:rStyle w:val="PageNumber"/>
        <w:noProof/>
      </w:rPr>
      <w:t>10</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4A7" w:rsidRDefault="006624A7" w:rsidP="00035EDE">
    <w:pPr>
      <w:pStyle w:val="Footer"/>
      <w:jc w:val="right"/>
    </w:pPr>
    <w:r>
      <w:rPr>
        <w:rStyle w:val="PageNumber"/>
      </w:rPr>
      <w:fldChar w:fldCharType="begin"/>
    </w:r>
    <w:r>
      <w:rPr>
        <w:rStyle w:val="PageNumber"/>
      </w:rPr>
      <w:instrText xml:space="preserve"> PAGE </w:instrText>
    </w:r>
    <w:r>
      <w:rPr>
        <w:rStyle w:val="PageNumber"/>
      </w:rPr>
      <w:fldChar w:fldCharType="separate"/>
    </w:r>
    <w:r w:rsidR="00E97D8F">
      <w:rPr>
        <w:rStyle w:val="PageNumber"/>
        <w:noProof/>
      </w:rPr>
      <w:t>11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4A7" w:rsidRPr="005B119B" w:rsidRDefault="006624A7" w:rsidP="005B119B">
    <w:pPr>
      <w:pStyle w:val="Footer"/>
      <w:tabs>
        <w:tab w:val="clear" w:pos="4320"/>
        <w:tab w:val="clear" w:pos="8640"/>
        <w:tab w:val="left" w:pos="624"/>
      </w:tabs>
      <w:rPr>
        <w:sz w:val="20"/>
      </w:rPr>
    </w:pPr>
    <w:r>
      <w:rPr>
        <w:sz w:val="20"/>
      </w:rPr>
      <w:t>K</w:t>
    </w:r>
    <w:r w:rsidR="00937222">
      <w:rPr>
        <w:sz w:val="20"/>
      </w:rPr>
      <w:t>1603965</w:t>
    </w:r>
    <w:r w:rsidR="00937222">
      <w:rPr>
        <w:sz w:val="20"/>
      </w:rPr>
      <w:tab/>
      <w:t>17</w:t>
    </w:r>
    <w:r>
      <w:rPr>
        <w:sz w:val="20"/>
      </w:rPr>
      <w:t>0</w:t>
    </w:r>
    <w:r w:rsidR="001B4318">
      <w:rPr>
        <w:sz w:val="20"/>
      </w:rPr>
      <w:t>5</w:t>
    </w:r>
    <w:r>
      <w:rPr>
        <w:sz w:val="20"/>
      </w:rPr>
      <w:t>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738" w:rsidRDefault="00DA7738" w:rsidP="00FC1221">
      <w:pPr>
        <w:spacing w:before="60"/>
        <w:ind w:left="624"/>
      </w:pPr>
      <w:r>
        <w:separator/>
      </w:r>
    </w:p>
  </w:footnote>
  <w:footnote w:type="continuationSeparator" w:id="0">
    <w:p w:rsidR="00DA7738" w:rsidRDefault="00DA7738">
      <w:r>
        <w:continuationSeparator/>
      </w:r>
    </w:p>
  </w:footnote>
  <w:footnote w:id="1">
    <w:p w:rsidR="006624A7" w:rsidRDefault="006624A7" w:rsidP="005B119B">
      <w:pPr>
        <w:pStyle w:val="FootnoteText"/>
        <w:tabs>
          <w:tab w:val="left" w:pos="624"/>
        </w:tabs>
      </w:pPr>
      <w:r w:rsidRPr="006929F0">
        <w:rPr>
          <w:rStyle w:val="FootnoteReference"/>
          <w:vertAlign w:val="baseline"/>
          <w:lang w:val="en-US" w:eastAsia="x-none"/>
        </w:rPr>
        <w:t>* UNEP/EA.2/</w:t>
      </w:r>
      <w:r w:rsidRPr="006929F0">
        <w:rPr>
          <w:szCs w:val="18"/>
          <w:lang w:val="en-US" w:eastAsia="x-none"/>
        </w:rPr>
        <w:t xml:space="preserve">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4A7" w:rsidRPr="006929F0" w:rsidRDefault="006624A7">
    <w:pPr>
      <w:pStyle w:val="Header"/>
      <w:rPr>
        <w:szCs w:val="18"/>
      </w:rPr>
    </w:pPr>
    <w:r w:rsidRPr="006929F0">
      <w:rPr>
        <w:rFonts w:eastAsia="Times New Roman"/>
        <w:szCs w:val="18"/>
      </w:rPr>
      <w:t>UNEP/</w:t>
    </w:r>
    <w:r w:rsidRPr="006929F0">
      <w:rPr>
        <w:rFonts w:eastAsia="Malgun Gothic"/>
        <w:szCs w:val="18"/>
        <w:lang w:eastAsia="ko-KR"/>
      </w:rPr>
      <w:t>EA.2/INF/19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4A7" w:rsidRPr="006929F0" w:rsidRDefault="006624A7" w:rsidP="006929F0">
    <w:pPr>
      <w:pStyle w:val="Header"/>
      <w:jc w:val="right"/>
      <w:rPr>
        <w:szCs w:val="18"/>
      </w:rPr>
    </w:pPr>
    <w:r w:rsidRPr="006929F0">
      <w:rPr>
        <w:rFonts w:eastAsia="Times New Roman"/>
        <w:szCs w:val="18"/>
      </w:rPr>
      <w:t>UNEP/</w:t>
    </w:r>
    <w:r w:rsidRPr="006929F0">
      <w:rPr>
        <w:rFonts w:eastAsia="Malgun Gothic"/>
        <w:szCs w:val="18"/>
        <w:lang w:eastAsia="ko-KR"/>
      </w:rPr>
      <w:t>EA.2/INF/19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71867"/>
    <w:multiLevelType w:val="singleLevel"/>
    <w:tmpl w:val="A2E252AA"/>
    <w:lvl w:ilvl="0">
      <w:start w:val="1"/>
      <w:numFmt w:val="upperRoman"/>
      <w:pStyle w:val="Heading8"/>
      <w:lvlText w:val="%1."/>
      <w:lvlJc w:val="left"/>
      <w:pPr>
        <w:tabs>
          <w:tab w:val="num" w:pos="720"/>
        </w:tabs>
        <w:ind w:left="720" w:hanging="720"/>
      </w:pPr>
      <w:rPr>
        <w:rFonts w:cs="Times New Roman" w:hint="default"/>
      </w:rPr>
    </w:lvl>
  </w:abstractNum>
  <w:abstractNum w:abstractNumId="1">
    <w:nsid w:val="336C72F3"/>
    <w:multiLevelType w:val="hybridMultilevel"/>
    <w:tmpl w:val="611CDA74"/>
    <w:lvl w:ilvl="0" w:tplc="D1845168">
      <w:start w:val="27"/>
      <w:numFmt w:val="decimal"/>
      <w:lvlText w:val="%1"/>
      <w:lvlJc w:val="left"/>
      <w:pPr>
        <w:ind w:left="1607" w:hanging="360"/>
      </w:pPr>
      <w:rPr>
        <w:rFonts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2">
    <w:nsid w:val="35571603"/>
    <w:multiLevelType w:val="singleLevel"/>
    <w:tmpl w:val="2868AC2A"/>
    <w:lvl w:ilvl="0">
      <w:start w:val="6"/>
      <w:numFmt w:val="upperLetter"/>
      <w:pStyle w:val="Heading9"/>
      <w:lvlText w:val="%1."/>
      <w:lvlJc w:val="left"/>
      <w:pPr>
        <w:tabs>
          <w:tab w:val="num" w:pos="360"/>
        </w:tabs>
        <w:ind w:left="360" w:hanging="360"/>
      </w:pPr>
      <w:rPr>
        <w:rFonts w:cs="Times New Roman" w:hint="default"/>
      </w:rPr>
    </w:lvl>
  </w:abstractNum>
  <w:abstractNum w:abstractNumId="3">
    <w:nsid w:val="52A66A9D"/>
    <w:multiLevelType w:val="multilevel"/>
    <w:tmpl w:val="1EB6A86C"/>
    <w:styleLink w:val="Normallist"/>
    <w:lvl w:ilvl="0">
      <w:start w:val="1"/>
      <w:numFmt w:val="decimal"/>
      <w:pStyle w:val="Normalnumber"/>
      <w:lvlText w:val="%1."/>
      <w:lvlJc w:val="left"/>
      <w:pPr>
        <w:tabs>
          <w:tab w:val="num" w:pos="1134"/>
        </w:tabs>
        <w:ind w:left="1247"/>
      </w:pPr>
      <w:rPr>
        <w:rFonts w:cs="Times New Roman" w:hint="default"/>
      </w:rPr>
    </w:lvl>
    <w:lvl w:ilvl="1">
      <w:start w:val="1"/>
      <w:numFmt w:val="lowerLetter"/>
      <w:lvlText w:val="(%2)"/>
      <w:lvlJc w:val="left"/>
      <w:pPr>
        <w:tabs>
          <w:tab w:val="num" w:pos="1134"/>
        </w:tabs>
        <w:ind w:left="1247" w:firstLine="567"/>
      </w:pPr>
      <w:rPr>
        <w:rFonts w:cs="Times New Roman" w:hint="default"/>
      </w:rPr>
    </w:lvl>
    <w:lvl w:ilvl="2">
      <w:start w:val="1"/>
      <w:numFmt w:val="lowerRoman"/>
      <w:lvlText w:val="(%3)"/>
      <w:lvlJc w:val="left"/>
      <w:pPr>
        <w:tabs>
          <w:tab w:val="num" w:pos="1134"/>
        </w:tabs>
        <w:ind w:left="2948" w:hanging="567"/>
      </w:pPr>
      <w:rPr>
        <w:rFonts w:cs="Times New Roman" w:hint="default"/>
      </w:rPr>
    </w:lvl>
    <w:lvl w:ilvl="3">
      <w:start w:val="1"/>
      <w:numFmt w:val="lowerLetter"/>
      <w:lvlText w:val="%4."/>
      <w:lvlJc w:val="left"/>
      <w:pPr>
        <w:tabs>
          <w:tab w:val="num" w:pos="1134"/>
        </w:tabs>
        <w:ind w:left="3515" w:hanging="567"/>
      </w:pPr>
      <w:rPr>
        <w:rFonts w:cs="Times New Roman" w:hint="default"/>
      </w:rPr>
    </w:lvl>
    <w:lvl w:ilvl="4">
      <w:start w:val="1"/>
      <w:numFmt w:val="lowerRoman"/>
      <w:lvlText w:val="%5."/>
      <w:lvlJc w:val="left"/>
      <w:pPr>
        <w:tabs>
          <w:tab w:val="num" w:pos="1134"/>
        </w:tabs>
        <w:ind w:left="4082" w:hanging="567"/>
      </w:pPr>
      <w:rPr>
        <w:rFonts w:cs="Times New Roman" w:hint="default"/>
      </w:rPr>
    </w:lvl>
    <w:lvl w:ilvl="5">
      <w:start w:val="1"/>
      <w:numFmt w:val="lowerRoman"/>
      <w:lvlText w:val="%6."/>
      <w:lvlJc w:val="right"/>
      <w:pPr>
        <w:tabs>
          <w:tab w:val="num" w:pos="7835"/>
        </w:tabs>
        <w:ind w:left="7835" w:hanging="180"/>
      </w:pPr>
      <w:rPr>
        <w:rFonts w:cs="Times New Roman" w:hint="default"/>
      </w:rPr>
    </w:lvl>
    <w:lvl w:ilvl="6">
      <w:start w:val="1"/>
      <w:numFmt w:val="decimal"/>
      <w:lvlText w:val="%7."/>
      <w:lvlJc w:val="left"/>
      <w:pPr>
        <w:tabs>
          <w:tab w:val="num" w:pos="8555"/>
        </w:tabs>
        <w:ind w:left="8555" w:hanging="360"/>
      </w:pPr>
      <w:rPr>
        <w:rFonts w:cs="Times New Roman" w:hint="default"/>
      </w:rPr>
    </w:lvl>
    <w:lvl w:ilvl="7">
      <w:start w:val="1"/>
      <w:numFmt w:val="lowerLetter"/>
      <w:lvlText w:val="%8."/>
      <w:lvlJc w:val="left"/>
      <w:pPr>
        <w:tabs>
          <w:tab w:val="num" w:pos="9275"/>
        </w:tabs>
        <w:ind w:left="9275" w:hanging="360"/>
      </w:pPr>
      <w:rPr>
        <w:rFonts w:cs="Times New Roman" w:hint="default"/>
      </w:rPr>
    </w:lvl>
    <w:lvl w:ilvl="8">
      <w:start w:val="1"/>
      <w:numFmt w:val="lowerRoman"/>
      <w:lvlText w:val="%9."/>
      <w:lvlJc w:val="right"/>
      <w:pPr>
        <w:tabs>
          <w:tab w:val="num" w:pos="9995"/>
        </w:tabs>
        <w:ind w:left="9995" w:hanging="180"/>
      </w:pPr>
      <w:rPr>
        <w:rFonts w:cs="Times New Roman" w:hint="default"/>
      </w:rPr>
    </w:lvl>
  </w:abstractNum>
  <w:num w:numId="1">
    <w:abstractNumId w:val="0"/>
  </w:num>
  <w:num w:numId="2">
    <w:abstractNumId w:val="2"/>
  </w:num>
  <w:num w:numId="3">
    <w:abstractNumId w:val="3"/>
  </w:num>
  <w:num w:numId="4">
    <w:abstractNumId w:val="3"/>
    <w:lvlOverride w:ilvl="0">
      <w:lvl w:ilvl="0">
        <w:start w:val="1"/>
        <w:numFmt w:val="decimal"/>
        <w:pStyle w:val="Normalnumber"/>
        <w:lvlText w:val="%1."/>
        <w:lvlJc w:val="left"/>
        <w:pPr>
          <w:tabs>
            <w:tab w:val="num" w:pos="1134"/>
          </w:tabs>
          <w:ind w:left="1247"/>
        </w:pPr>
        <w:rPr>
          <w:rFonts w:cs="Times New Roman" w:hint="default"/>
          <w:b w:val="0"/>
          <w:i w:val="0"/>
        </w:rPr>
      </w:lvl>
    </w:lvlOverride>
    <w:lvlOverride w:ilvl="1">
      <w:lvl w:ilvl="1">
        <w:start w:val="1"/>
        <w:numFmt w:val="lowerLetter"/>
        <w:lvlText w:val="(%2)"/>
        <w:lvlJc w:val="left"/>
        <w:pPr>
          <w:tabs>
            <w:tab w:val="num" w:pos="1134"/>
          </w:tabs>
          <w:ind w:left="1247" w:firstLine="567"/>
        </w:pPr>
        <w:rPr>
          <w:rFonts w:cs="Times New Roman" w:hint="default"/>
        </w:rPr>
      </w:lvl>
    </w:lvlOverride>
    <w:lvlOverride w:ilvl="2">
      <w:lvl w:ilvl="2">
        <w:start w:val="1"/>
        <w:numFmt w:val="lowerRoman"/>
        <w:lvlText w:val="(%3)"/>
        <w:lvlJc w:val="left"/>
        <w:pPr>
          <w:tabs>
            <w:tab w:val="num" w:pos="1134"/>
          </w:tabs>
          <w:ind w:left="2948" w:hanging="567"/>
        </w:pPr>
        <w:rPr>
          <w:rFonts w:cs="Times New Roman" w:hint="default"/>
        </w:rPr>
      </w:lvl>
    </w:lvlOverride>
    <w:lvlOverride w:ilvl="3">
      <w:lvl w:ilvl="3">
        <w:start w:val="1"/>
        <w:numFmt w:val="lowerLetter"/>
        <w:lvlText w:val="%4."/>
        <w:lvlJc w:val="left"/>
        <w:pPr>
          <w:tabs>
            <w:tab w:val="num" w:pos="1134"/>
          </w:tabs>
          <w:ind w:left="3515" w:hanging="567"/>
        </w:pPr>
        <w:rPr>
          <w:rFonts w:cs="Times New Roman" w:hint="default"/>
        </w:rPr>
      </w:lvl>
    </w:lvlOverride>
    <w:lvlOverride w:ilvl="4">
      <w:lvl w:ilvl="4">
        <w:start w:val="1"/>
        <w:numFmt w:val="lowerRoman"/>
        <w:lvlText w:val="%5."/>
        <w:lvlJc w:val="left"/>
        <w:pPr>
          <w:tabs>
            <w:tab w:val="num" w:pos="1134"/>
          </w:tabs>
          <w:ind w:left="4082" w:hanging="567"/>
        </w:pPr>
        <w:rPr>
          <w:rFonts w:cs="Times New Roman" w:hint="default"/>
        </w:rPr>
      </w:lvl>
    </w:lvlOverride>
    <w:lvlOverride w:ilvl="5">
      <w:lvl w:ilvl="5">
        <w:start w:val="1"/>
        <w:numFmt w:val="lowerRoman"/>
        <w:lvlText w:val="%6."/>
        <w:lvlJc w:val="right"/>
        <w:pPr>
          <w:tabs>
            <w:tab w:val="num" w:pos="7835"/>
          </w:tabs>
          <w:ind w:left="7835" w:hanging="180"/>
        </w:pPr>
        <w:rPr>
          <w:rFonts w:cs="Times New Roman" w:hint="default"/>
        </w:rPr>
      </w:lvl>
    </w:lvlOverride>
    <w:lvlOverride w:ilvl="6">
      <w:lvl w:ilvl="6">
        <w:start w:val="1"/>
        <w:numFmt w:val="decimal"/>
        <w:lvlText w:val="%7."/>
        <w:lvlJc w:val="left"/>
        <w:pPr>
          <w:tabs>
            <w:tab w:val="num" w:pos="8555"/>
          </w:tabs>
          <w:ind w:left="8555" w:hanging="360"/>
        </w:pPr>
        <w:rPr>
          <w:rFonts w:cs="Times New Roman" w:hint="default"/>
        </w:rPr>
      </w:lvl>
    </w:lvlOverride>
    <w:lvlOverride w:ilvl="7">
      <w:lvl w:ilvl="7">
        <w:start w:val="1"/>
        <w:numFmt w:val="lowerLetter"/>
        <w:lvlText w:val="%8."/>
        <w:lvlJc w:val="left"/>
        <w:pPr>
          <w:tabs>
            <w:tab w:val="num" w:pos="9275"/>
          </w:tabs>
          <w:ind w:left="9275" w:hanging="360"/>
        </w:pPr>
        <w:rPr>
          <w:rFonts w:cs="Times New Roman" w:hint="default"/>
        </w:rPr>
      </w:lvl>
    </w:lvlOverride>
    <w:lvlOverride w:ilvl="8">
      <w:lvl w:ilvl="8">
        <w:start w:val="1"/>
        <w:numFmt w:val="lowerRoman"/>
        <w:lvlText w:val="%9."/>
        <w:lvlJc w:val="right"/>
        <w:pPr>
          <w:tabs>
            <w:tab w:val="num" w:pos="9995"/>
          </w:tabs>
          <w:ind w:left="9995" w:hanging="180"/>
        </w:pPr>
        <w:rPr>
          <w:rFonts w:cs="Times New Roman" w:hint="default"/>
        </w:rPr>
      </w:lvl>
    </w:lvlOverride>
  </w:num>
  <w:num w:numId="5">
    <w:abstractNumId w:val="3"/>
    <w:lvlOverride w:ilvl="0">
      <w:startOverride w:val="25"/>
      <w:lvl w:ilvl="0">
        <w:start w:val="25"/>
        <w:numFmt w:val="decimal"/>
        <w:pStyle w:val="Normalnumber"/>
        <w:lvlText w:val="%1."/>
        <w:lvlJc w:val="left"/>
        <w:pPr>
          <w:tabs>
            <w:tab w:val="num" w:pos="1134"/>
          </w:tabs>
          <w:ind w:left="1247"/>
        </w:pPr>
        <w:rPr>
          <w:rFonts w:cs="Times New Roman" w:hint="default"/>
          <w:b w:val="0"/>
          <w:i w:val="0"/>
        </w:rPr>
      </w:lvl>
    </w:lvlOverride>
  </w:num>
  <w:num w:numId="6">
    <w:abstractNumId w:val="3"/>
    <w:lvlOverride w:ilvl="0">
      <w:startOverride w:val="26"/>
      <w:lvl w:ilvl="0">
        <w:start w:val="26"/>
        <w:numFmt w:val="decimal"/>
        <w:pStyle w:val="Normalnumber"/>
        <w:lvlText w:val="%1."/>
        <w:lvlJc w:val="left"/>
        <w:pPr>
          <w:tabs>
            <w:tab w:val="num" w:pos="1134"/>
          </w:tabs>
          <w:ind w:left="1247"/>
        </w:pPr>
        <w:rPr>
          <w:rFonts w:cs="Times New Roman" w:hint="default"/>
          <w:b w:val="0"/>
          <w:i w:val="0"/>
        </w:rPr>
      </w:lvl>
    </w:lvlOverride>
  </w:num>
  <w:num w:numId="7">
    <w:abstractNumId w:val="1"/>
  </w:num>
  <w:num w:numId="8">
    <w:abstractNumId w:val="3"/>
    <w:lvlOverride w:ilvl="0">
      <w:lvl w:ilvl="0">
        <w:start w:val="1"/>
        <w:numFmt w:val="decimal"/>
        <w:pStyle w:val="Normalnumber"/>
        <w:lvlText w:val="%1."/>
        <w:lvlJc w:val="left"/>
        <w:pPr>
          <w:tabs>
            <w:tab w:val="num" w:pos="1134"/>
          </w:tabs>
          <w:ind w:left="1247"/>
        </w:pPr>
        <w:rPr>
          <w:rFonts w:cs="Times New Roman" w:hint="default"/>
          <w:b w:val="0"/>
          <w:i w:val="0"/>
        </w:rPr>
      </w:lvl>
    </w:lvlOverride>
  </w:num>
  <w:num w:numId="9">
    <w:abstractNumId w:val="3"/>
    <w:lvlOverride w:ilvl="0">
      <w:lvl w:ilvl="0">
        <w:start w:val="1"/>
        <w:numFmt w:val="decimal"/>
        <w:pStyle w:val="Normalnumber"/>
        <w:lvlText w:val="%1."/>
        <w:lvlJc w:val="left"/>
        <w:pPr>
          <w:tabs>
            <w:tab w:val="num" w:pos="1134"/>
          </w:tabs>
          <w:ind w:left="1247"/>
        </w:pPr>
        <w:rPr>
          <w:rFonts w:cs="Times New Roman" w:hint="default"/>
          <w:b w:val="0"/>
          <w:i w:val="0"/>
        </w:rPr>
      </w:lvl>
    </w:lvlOverride>
  </w:num>
  <w:num w:numId="10">
    <w:abstractNumId w:val="3"/>
    <w:lvlOverride w:ilvl="0">
      <w:lvl w:ilvl="0">
        <w:start w:val="1"/>
        <w:numFmt w:val="decimal"/>
        <w:pStyle w:val="Normalnumber"/>
        <w:lvlText w:val="%1."/>
        <w:lvlJc w:val="left"/>
        <w:pPr>
          <w:tabs>
            <w:tab w:val="num" w:pos="1134"/>
          </w:tabs>
          <w:ind w:left="1247"/>
        </w:pPr>
        <w:rPr>
          <w:rFonts w:cs="Times New Roman" w:hint="default"/>
          <w:b w:val="0"/>
          <w:i w:val="0"/>
        </w:rPr>
      </w:lvl>
    </w:lvlOverride>
  </w:num>
  <w:num w:numId="11">
    <w:abstractNumId w:val="3"/>
    <w:lvlOverride w:ilvl="0">
      <w:lvl w:ilvl="0">
        <w:start w:val="1"/>
        <w:numFmt w:val="decimal"/>
        <w:pStyle w:val="Normalnumber"/>
        <w:lvlText w:val="%1."/>
        <w:lvlJc w:val="left"/>
        <w:pPr>
          <w:tabs>
            <w:tab w:val="num" w:pos="1134"/>
          </w:tabs>
          <w:ind w:left="1247"/>
        </w:pPr>
        <w:rPr>
          <w:rFonts w:cs="Times New Roman" w:hint="default"/>
          <w:b w:val="0"/>
          <w:i w:val="0"/>
        </w:rPr>
      </w:lvl>
    </w:lvlOverride>
  </w:num>
  <w:num w:numId="12">
    <w:abstractNumId w:val="3"/>
    <w:lvlOverride w:ilvl="0">
      <w:lvl w:ilvl="0">
        <w:start w:val="1"/>
        <w:numFmt w:val="decimal"/>
        <w:pStyle w:val="Normalnumber"/>
        <w:lvlText w:val="%1."/>
        <w:lvlJc w:val="left"/>
        <w:pPr>
          <w:tabs>
            <w:tab w:val="num" w:pos="1134"/>
          </w:tabs>
          <w:ind w:left="1247"/>
        </w:pPr>
        <w:rPr>
          <w:rFonts w:cs="Times New Roman" w:hint="default"/>
          <w:b w:val="0"/>
          <w:i w:val="0"/>
        </w:rPr>
      </w:lvl>
    </w:lvlOverride>
  </w:num>
  <w:num w:numId="13">
    <w:abstractNumId w:val="3"/>
    <w:lvlOverride w:ilvl="0">
      <w:lvl w:ilvl="0">
        <w:start w:val="1"/>
        <w:numFmt w:val="decimal"/>
        <w:pStyle w:val="Normalnumber"/>
        <w:lvlText w:val="%1."/>
        <w:lvlJc w:val="left"/>
        <w:pPr>
          <w:tabs>
            <w:tab w:val="num" w:pos="1134"/>
          </w:tabs>
          <w:ind w:left="1247"/>
        </w:pPr>
        <w:rPr>
          <w:rFonts w:cs="Times New Roman" w:hint="default"/>
          <w:b w:val="0"/>
          <w:i w:val="0"/>
        </w:rPr>
      </w:lvl>
    </w:lvlOverride>
  </w:num>
  <w:num w:numId="14">
    <w:abstractNumId w:val="3"/>
    <w:lvlOverride w:ilvl="0">
      <w:lvl w:ilvl="0">
        <w:start w:val="1"/>
        <w:numFmt w:val="decimal"/>
        <w:pStyle w:val="Normalnumber"/>
        <w:lvlText w:val="%1."/>
        <w:lvlJc w:val="left"/>
        <w:pPr>
          <w:tabs>
            <w:tab w:val="num" w:pos="1134"/>
          </w:tabs>
          <w:ind w:left="1247"/>
        </w:pPr>
        <w:rPr>
          <w:rFonts w:cs="Times New Roman" w:hint="default"/>
          <w:b w:val="0"/>
          <w:i w:val="0"/>
        </w:rPr>
      </w:lvl>
    </w:lvlOverride>
  </w:num>
  <w:num w:numId="15">
    <w:abstractNumId w:val="3"/>
    <w:lvlOverride w:ilvl="0">
      <w:lvl w:ilvl="0">
        <w:start w:val="1"/>
        <w:numFmt w:val="decimal"/>
        <w:pStyle w:val="Normalnumber"/>
        <w:lvlText w:val="%1."/>
        <w:lvlJc w:val="left"/>
        <w:pPr>
          <w:tabs>
            <w:tab w:val="num" w:pos="1134"/>
          </w:tabs>
          <w:ind w:left="1247"/>
        </w:pPr>
        <w:rPr>
          <w:rFonts w:cs="Times New Roman" w:hint="default"/>
          <w:b w:val="0"/>
          <w:i w:val="0"/>
        </w:rPr>
      </w:lvl>
    </w:lvlOverride>
  </w:num>
  <w:num w:numId="16">
    <w:abstractNumId w:val="3"/>
    <w:lvlOverride w:ilvl="0">
      <w:startOverride w:val="1"/>
      <w:lvl w:ilvl="0">
        <w:start w:val="1"/>
        <w:numFmt w:val="decimal"/>
        <w:pStyle w:val="Normalnumber"/>
        <w:lvlText w:val="%1."/>
        <w:lvlJc w:val="left"/>
        <w:pPr>
          <w:tabs>
            <w:tab w:val="num" w:pos="1134"/>
          </w:tabs>
          <w:ind w:left="1247"/>
        </w:pPr>
        <w:rPr>
          <w:rFonts w:cs="Times New Roman" w:hint="default"/>
        </w:rPr>
      </w:lvl>
    </w:lvlOverride>
    <w:lvlOverride w:ilvl="1">
      <w:startOverride w:val="1"/>
      <w:lvl w:ilvl="1">
        <w:start w:val="1"/>
        <w:numFmt w:val="lowerLetter"/>
        <w:lvlText w:val="(%2)"/>
        <w:lvlJc w:val="left"/>
        <w:pPr>
          <w:tabs>
            <w:tab w:val="num" w:pos="1134"/>
          </w:tabs>
          <w:ind w:left="1247" w:firstLine="567"/>
        </w:pPr>
        <w:rPr>
          <w:rFonts w:cs="Times New Roman" w:hint="default"/>
        </w:rPr>
      </w:lvl>
    </w:lvlOverride>
    <w:lvlOverride w:ilvl="2">
      <w:startOverride w:val="1"/>
      <w:lvl w:ilvl="2">
        <w:start w:val="1"/>
        <w:numFmt w:val="lowerRoman"/>
        <w:lvlText w:val="(%3)"/>
        <w:lvlJc w:val="left"/>
        <w:pPr>
          <w:tabs>
            <w:tab w:val="num" w:pos="1134"/>
          </w:tabs>
          <w:ind w:left="2948" w:hanging="567"/>
        </w:pPr>
        <w:rPr>
          <w:rFonts w:cs="Times New Roman" w:hint="default"/>
        </w:rPr>
      </w:lvl>
    </w:lvlOverride>
    <w:lvlOverride w:ilvl="3">
      <w:startOverride w:val="1"/>
      <w:lvl w:ilvl="3">
        <w:start w:val="1"/>
        <w:numFmt w:val="lowerLetter"/>
        <w:lvlText w:val="%4."/>
        <w:lvlJc w:val="left"/>
        <w:pPr>
          <w:tabs>
            <w:tab w:val="num" w:pos="1134"/>
          </w:tabs>
          <w:ind w:left="3515" w:hanging="567"/>
        </w:pPr>
        <w:rPr>
          <w:rFonts w:cs="Times New Roman" w:hint="default"/>
        </w:rPr>
      </w:lvl>
    </w:lvlOverride>
    <w:lvlOverride w:ilvl="4">
      <w:startOverride w:val="1"/>
      <w:lvl w:ilvl="4">
        <w:start w:val="1"/>
        <w:numFmt w:val="lowerRoman"/>
        <w:lvlText w:val="%5."/>
        <w:lvlJc w:val="left"/>
        <w:pPr>
          <w:tabs>
            <w:tab w:val="num" w:pos="1134"/>
          </w:tabs>
          <w:ind w:left="4082" w:hanging="567"/>
        </w:pPr>
        <w:rPr>
          <w:rFonts w:cs="Times New Roman" w:hint="default"/>
        </w:rPr>
      </w:lvl>
    </w:lvlOverride>
    <w:lvlOverride w:ilvl="5">
      <w:startOverride w:val="1"/>
      <w:lvl w:ilvl="5">
        <w:start w:val="1"/>
        <w:numFmt w:val="lowerRoman"/>
        <w:lvlText w:val="%6."/>
        <w:lvlJc w:val="right"/>
        <w:pPr>
          <w:tabs>
            <w:tab w:val="num" w:pos="7835"/>
          </w:tabs>
          <w:ind w:left="7835" w:hanging="180"/>
        </w:pPr>
        <w:rPr>
          <w:rFonts w:cs="Times New Roman" w:hint="default"/>
        </w:rPr>
      </w:lvl>
    </w:lvlOverride>
    <w:lvlOverride w:ilvl="6">
      <w:startOverride w:val="1"/>
      <w:lvl w:ilvl="6">
        <w:start w:val="1"/>
        <w:numFmt w:val="decimal"/>
        <w:lvlText w:val="%7."/>
        <w:lvlJc w:val="left"/>
        <w:pPr>
          <w:tabs>
            <w:tab w:val="num" w:pos="8555"/>
          </w:tabs>
          <w:ind w:left="8555" w:hanging="360"/>
        </w:pPr>
        <w:rPr>
          <w:rFonts w:cs="Times New Roman" w:hint="default"/>
        </w:rPr>
      </w:lvl>
    </w:lvlOverride>
    <w:lvlOverride w:ilvl="7">
      <w:startOverride w:val="1"/>
      <w:lvl w:ilvl="7">
        <w:start w:val="1"/>
        <w:numFmt w:val="lowerLetter"/>
        <w:lvlText w:val="%8."/>
        <w:lvlJc w:val="left"/>
        <w:pPr>
          <w:tabs>
            <w:tab w:val="num" w:pos="9275"/>
          </w:tabs>
          <w:ind w:left="9275" w:hanging="360"/>
        </w:pPr>
        <w:rPr>
          <w:rFonts w:cs="Times New Roman" w:hint="default"/>
        </w:rPr>
      </w:lvl>
    </w:lvlOverride>
    <w:lvlOverride w:ilvl="8">
      <w:startOverride w:val="1"/>
      <w:lvl w:ilvl="8">
        <w:start w:val="1"/>
        <w:numFmt w:val="lowerRoman"/>
        <w:lvlText w:val="%9."/>
        <w:lvlJc w:val="right"/>
        <w:pPr>
          <w:tabs>
            <w:tab w:val="num" w:pos="9995"/>
          </w:tabs>
          <w:ind w:left="9995" w:hanging="180"/>
        </w:pPr>
        <w:rPr>
          <w:rFonts w:cs="Times New Roman" w:hint="default"/>
        </w:r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425"/>
  <w:doNotHyphenateCaps/>
  <w:evenAndOddHeaders/>
  <w:noPunctuationKerning/>
  <w:characterSpacingControl w:val="doNotCompress"/>
  <w:doNotValidateAgainstSchema/>
  <w:doNotDemarcateInvalidXml/>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19B"/>
    <w:rsid w:val="00003AF1"/>
    <w:rsid w:val="000149E6"/>
    <w:rsid w:val="00015ACD"/>
    <w:rsid w:val="000247B0"/>
    <w:rsid w:val="00026997"/>
    <w:rsid w:val="00033E0B"/>
    <w:rsid w:val="00035EDE"/>
    <w:rsid w:val="00043AEB"/>
    <w:rsid w:val="000509B4"/>
    <w:rsid w:val="0006035B"/>
    <w:rsid w:val="00071886"/>
    <w:rsid w:val="000742BC"/>
    <w:rsid w:val="00082A0C"/>
    <w:rsid w:val="00083504"/>
    <w:rsid w:val="0009640C"/>
    <w:rsid w:val="000B22A2"/>
    <w:rsid w:val="000B5179"/>
    <w:rsid w:val="000C2A52"/>
    <w:rsid w:val="000C746E"/>
    <w:rsid w:val="000D33C0"/>
    <w:rsid w:val="000D6941"/>
    <w:rsid w:val="001202E3"/>
    <w:rsid w:val="00123699"/>
    <w:rsid w:val="0013059D"/>
    <w:rsid w:val="00141A55"/>
    <w:rsid w:val="001446A3"/>
    <w:rsid w:val="00155106"/>
    <w:rsid w:val="00155395"/>
    <w:rsid w:val="00160D74"/>
    <w:rsid w:val="00167D02"/>
    <w:rsid w:val="00181EC8"/>
    <w:rsid w:val="00184349"/>
    <w:rsid w:val="00195F33"/>
    <w:rsid w:val="001A26E2"/>
    <w:rsid w:val="001B1617"/>
    <w:rsid w:val="001B4318"/>
    <w:rsid w:val="001B504B"/>
    <w:rsid w:val="001D3874"/>
    <w:rsid w:val="001D7E75"/>
    <w:rsid w:val="001E56D2"/>
    <w:rsid w:val="001E7D56"/>
    <w:rsid w:val="001F75DE"/>
    <w:rsid w:val="00200D58"/>
    <w:rsid w:val="002013BE"/>
    <w:rsid w:val="002063A4"/>
    <w:rsid w:val="0021145B"/>
    <w:rsid w:val="00243D36"/>
    <w:rsid w:val="00243FDF"/>
    <w:rsid w:val="00247707"/>
    <w:rsid w:val="0026018E"/>
    <w:rsid w:val="002602F6"/>
    <w:rsid w:val="0027790C"/>
    <w:rsid w:val="00286740"/>
    <w:rsid w:val="002929D8"/>
    <w:rsid w:val="002A237D"/>
    <w:rsid w:val="002A4C53"/>
    <w:rsid w:val="002A5163"/>
    <w:rsid w:val="002B0672"/>
    <w:rsid w:val="002B247F"/>
    <w:rsid w:val="002B69E6"/>
    <w:rsid w:val="002C145D"/>
    <w:rsid w:val="002C2C3E"/>
    <w:rsid w:val="002C533E"/>
    <w:rsid w:val="002C7143"/>
    <w:rsid w:val="002D027F"/>
    <w:rsid w:val="002D7A85"/>
    <w:rsid w:val="002D7B60"/>
    <w:rsid w:val="002E3B7C"/>
    <w:rsid w:val="002F4761"/>
    <w:rsid w:val="002F5C79"/>
    <w:rsid w:val="003019E2"/>
    <w:rsid w:val="0031413F"/>
    <w:rsid w:val="003148BB"/>
    <w:rsid w:val="00317976"/>
    <w:rsid w:val="00355EA9"/>
    <w:rsid w:val="003578DE"/>
    <w:rsid w:val="00361037"/>
    <w:rsid w:val="00396257"/>
    <w:rsid w:val="00397EB8"/>
    <w:rsid w:val="003A4FD0"/>
    <w:rsid w:val="003A69D1"/>
    <w:rsid w:val="003A7705"/>
    <w:rsid w:val="003A77F1"/>
    <w:rsid w:val="003B1545"/>
    <w:rsid w:val="003B5B93"/>
    <w:rsid w:val="003C2332"/>
    <w:rsid w:val="003C409D"/>
    <w:rsid w:val="003C5BA6"/>
    <w:rsid w:val="003E3807"/>
    <w:rsid w:val="003F0E85"/>
    <w:rsid w:val="003F1EEB"/>
    <w:rsid w:val="0040413A"/>
    <w:rsid w:val="00404E56"/>
    <w:rsid w:val="00410C55"/>
    <w:rsid w:val="00416854"/>
    <w:rsid w:val="00417725"/>
    <w:rsid w:val="004178D0"/>
    <w:rsid w:val="00436567"/>
    <w:rsid w:val="00437F26"/>
    <w:rsid w:val="00444097"/>
    <w:rsid w:val="00445487"/>
    <w:rsid w:val="004515DB"/>
    <w:rsid w:val="00454769"/>
    <w:rsid w:val="0045551E"/>
    <w:rsid w:val="00466991"/>
    <w:rsid w:val="0047064C"/>
    <w:rsid w:val="00472876"/>
    <w:rsid w:val="004A42E1"/>
    <w:rsid w:val="004B162C"/>
    <w:rsid w:val="004C3DBE"/>
    <w:rsid w:val="004C5C96"/>
    <w:rsid w:val="004C6BEF"/>
    <w:rsid w:val="004D06A4"/>
    <w:rsid w:val="004F1A81"/>
    <w:rsid w:val="004F2F22"/>
    <w:rsid w:val="00515E07"/>
    <w:rsid w:val="0051621C"/>
    <w:rsid w:val="005218D9"/>
    <w:rsid w:val="00521EA7"/>
    <w:rsid w:val="00536186"/>
    <w:rsid w:val="0054215A"/>
    <w:rsid w:val="005443F8"/>
    <w:rsid w:val="00544CBB"/>
    <w:rsid w:val="00551B90"/>
    <w:rsid w:val="00564DA3"/>
    <w:rsid w:val="0057315F"/>
    <w:rsid w:val="00573214"/>
    <w:rsid w:val="00576104"/>
    <w:rsid w:val="005B119B"/>
    <w:rsid w:val="005C67C8"/>
    <w:rsid w:val="005D0249"/>
    <w:rsid w:val="005D50FB"/>
    <w:rsid w:val="005D6E8C"/>
    <w:rsid w:val="005F0EC0"/>
    <w:rsid w:val="005F100C"/>
    <w:rsid w:val="005F68DA"/>
    <w:rsid w:val="0060773B"/>
    <w:rsid w:val="006157B5"/>
    <w:rsid w:val="006259CD"/>
    <w:rsid w:val="00626FC6"/>
    <w:rsid w:val="006303B4"/>
    <w:rsid w:val="00633D3D"/>
    <w:rsid w:val="00640260"/>
    <w:rsid w:val="00641703"/>
    <w:rsid w:val="006431A6"/>
    <w:rsid w:val="006459F6"/>
    <w:rsid w:val="006501AD"/>
    <w:rsid w:val="00651BFA"/>
    <w:rsid w:val="00654475"/>
    <w:rsid w:val="006624A7"/>
    <w:rsid w:val="00665A4B"/>
    <w:rsid w:val="006929F0"/>
    <w:rsid w:val="00692E2A"/>
    <w:rsid w:val="006A4B41"/>
    <w:rsid w:val="006A76F2"/>
    <w:rsid w:val="006C0D2A"/>
    <w:rsid w:val="006C5EF8"/>
    <w:rsid w:val="006D7EFB"/>
    <w:rsid w:val="006E6672"/>
    <w:rsid w:val="006E6722"/>
    <w:rsid w:val="006F60B4"/>
    <w:rsid w:val="007027B9"/>
    <w:rsid w:val="00715E88"/>
    <w:rsid w:val="00734CAA"/>
    <w:rsid w:val="0075533C"/>
    <w:rsid w:val="00757581"/>
    <w:rsid w:val="007611A0"/>
    <w:rsid w:val="00796D3F"/>
    <w:rsid w:val="007A1683"/>
    <w:rsid w:val="007A5C12"/>
    <w:rsid w:val="007A7CB0"/>
    <w:rsid w:val="007B68A3"/>
    <w:rsid w:val="007C2541"/>
    <w:rsid w:val="007D66A8"/>
    <w:rsid w:val="007E003F"/>
    <w:rsid w:val="008155A0"/>
    <w:rsid w:val="008164F2"/>
    <w:rsid w:val="00821395"/>
    <w:rsid w:val="00823598"/>
    <w:rsid w:val="00830E26"/>
    <w:rsid w:val="00835117"/>
    <w:rsid w:val="00843576"/>
    <w:rsid w:val="00843B64"/>
    <w:rsid w:val="008478FC"/>
    <w:rsid w:val="008564C4"/>
    <w:rsid w:val="00863FCD"/>
    <w:rsid w:val="00867BFF"/>
    <w:rsid w:val="00872E1C"/>
    <w:rsid w:val="0088480A"/>
    <w:rsid w:val="0088757A"/>
    <w:rsid w:val="008957DD"/>
    <w:rsid w:val="00897D98"/>
    <w:rsid w:val="00897E3A"/>
    <w:rsid w:val="008A6DF2"/>
    <w:rsid w:val="008A7807"/>
    <w:rsid w:val="008B4CC9"/>
    <w:rsid w:val="008D7C99"/>
    <w:rsid w:val="008E0EE1"/>
    <w:rsid w:val="008E0FCB"/>
    <w:rsid w:val="008F5FF0"/>
    <w:rsid w:val="00906A22"/>
    <w:rsid w:val="00913B1C"/>
    <w:rsid w:val="0092178C"/>
    <w:rsid w:val="00923516"/>
    <w:rsid w:val="009237F2"/>
    <w:rsid w:val="00930B88"/>
    <w:rsid w:val="009325F6"/>
    <w:rsid w:val="00937222"/>
    <w:rsid w:val="00940DCC"/>
    <w:rsid w:val="0094143B"/>
    <w:rsid w:val="0094179A"/>
    <w:rsid w:val="0094459E"/>
    <w:rsid w:val="00944DBC"/>
    <w:rsid w:val="00950977"/>
    <w:rsid w:val="00951A7B"/>
    <w:rsid w:val="009564A6"/>
    <w:rsid w:val="0096428D"/>
    <w:rsid w:val="00967621"/>
    <w:rsid w:val="00967E6A"/>
    <w:rsid w:val="009B4A0F"/>
    <w:rsid w:val="009C11D2"/>
    <w:rsid w:val="009C627F"/>
    <w:rsid w:val="009C6C70"/>
    <w:rsid w:val="009D0B63"/>
    <w:rsid w:val="009D2B2C"/>
    <w:rsid w:val="009E307E"/>
    <w:rsid w:val="009E6755"/>
    <w:rsid w:val="009F0076"/>
    <w:rsid w:val="00A07870"/>
    <w:rsid w:val="00A07F19"/>
    <w:rsid w:val="00A1348D"/>
    <w:rsid w:val="00A13813"/>
    <w:rsid w:val="00A232EE"/>
    <w:rsid w:val="00A32350"/>
    <w:rsid w:val="00A33136"/>
    <w:rsid w:val="00A4175F"/>
    <w:rsid w:val="00A44411"/>
    <w:rsid w:val="00A469FA"/>
    <w:rsid w:val="00A55B01"/>
    <w:rsid w:val="00A56B5B"/>
    <w:rsid w:val="00A603FF"/>
    <w:rsid w:val="00A657DD"/>
    <w:rsid w:val="00A666A6"/>
    <w:rsid w:val="00A675FD"/>
    <w:rsid w:val="00A707E8"/>
    <w:rsid w:val="00A721F5"/>
    <w:rsid w:val="00A72437"/>
    <w:rsid w:val="00A80611"/>
    <w:rsid w:val="00A80B41"/>
    <w:rsid w:val="00AA5574"/>
    <w:rsid w:val="00AB5340"/>
    <w:rsid w:val="00AC0A89"/>
    <w:rsid w:val="00AC24E2"/>
    <w:rsid w:val="00AC7C96"/>
    <w:rsid w:val="00AE237D"/>
    <w:rsid w:val="00AE502A"/>
    <w:rsid w:val="00AF7C07"/>
    <w:rsid w:val="00B01FD1"/>
    <w:rsid w:val="00B06914"/>
    <w:rsid w:val="00B10509"/>
    <w:rsid w:val="00B22C93"/>
    <w:rsid w:val="00B27589"/>
    <w:rsid w:val="00B405B7"/>
    <w:rsid w:val="00B52222"/>
    <w:rsid w:val="00B54FE7"/>
    <w:rsid w:val="00B66901"/>
    <w:rsid w:val="00B71E6D"/>
    <w:rsid w:val="00B72070"/>
    <w:rsid w:val="00B745B5"/>
    <w:rsid w:val="00B7544E"/>
    <w:rsid w:val="00B779E1"/>
    <w:rsid w:val="00B91EE1"/>
    <w:rsid w:val="00BA0090"/>
    <w:rsid w:val="00BA1A67"/>
    <w:rsid w:val="00BE5B5F"/>
    <w:rsid w:val="00BE6623"/>
    <w:rsid w:val="00C24008"/>
    <w:rsid w:val="00C26F55"/>
    <w:rsid w:val="00C30C63"/>
    <w:rsid w:val="00C36B8B"/>
    <w:rsid w:val="00C415C1"/>
    <w:rsid w:val="00C44F14"/>
    <w:rsid w:val="00C47DBF"/>
    <w:rsid w:val="00C552FF"/>
    <w:rsid w:val="00C558DA"/>
    <w:rsid w:val="00C55AF3"/>
    <w:rsid w:val="00C570E1"/>
    <w:rsid w:val="00C61356"/>
    <w:rsid w:val="00C662ED"/>
    <w:rsid w:val="00C712FD"/>
    <w:rsid w:val="00C84759"/>
    <w:rsid w:val="00CA53E5"/>
    <w:rsid w:val="00CA6C7F"/>
    <w:rsid w:val="00CC10A6"/>
    <w:rsid w:val="00CD5EB8"/>
    <w:rsid w:val="00CD7044"/>
    <w:rsid w:val="00CE08B9"/>
    <w:rsid w:val="00CE524C"/>
    <w:rsid w:val="00CF141F"/>
    <w:rsid w:val="00CF4777"/>
    <w:rsid w:val="00D00234"/>
    <w:rsid w:val="00D01517"/>
    <w:rsid w:val="00D06171"/>
    <w:rsid w:val="00D067BB"/>
    <w:rsid w:val="00D11E82"/>
    <w:rsid w:val="00D1352A"/>
    <w:rsid w:val="00D169AF"/>
    <w:rsid w:val="00D25249"/>
    <w:rsid w:val="00D25647"/>
    <w:rsid w:val="00D25A4C"/>
    <w:rsid w:val="00D44172"/>
    <w:rsid w:val="00D63B8C"/>
    <w:rsid w:val="00D739CC"/>
    <w:rsid w:val="00D8093D"/>
    <w:rsid w:val="00D8108C"/>
    <w:rsid w:val="00D842AE"/>
    <w:rsid w:val="00D9211C"/>
    <w:rsid w:val="00D92DE0"/>
    <w:rsid w:val="00D92FEF"/>
    <w:rsid w:val="00D93A0F"/>
    <w:rsid w:val="00DA1BCA"/>
    <w:rsid w:val="00DA6794"/>
    <w:rsid w:val="00DA751D"/>
    <w:rsid w:val="00DA7738"/>
    <w:rsid w:val="00DB65BA"/>
    <w:rsid w:val="00DC46FF"/>
    <w:rsid w:val="00DC5254"/>
    <w:rsid w:val="00DD1A4F"/>
    <w:rsid w:val="00DD3107"/>
    <w:rsid w:val="00DD7C2C"/>
    <w:rsid w:val="00DF6463"/>
    <w:rsid w:val="00E03C84"/>
    <w:rsid w:val="00E06797"/>
    <w:rsid w:val="00E1265B"/>
    <w:rsid w:val="00E13B48"/>
    <w:rsid w:val="00E1404F"/>
    <w:rsid w:val="00E179F2"/>
    <w:rsid w:val="00E21C83"/>
    <w:rsid w:val="00E24ADA"/>
    <w:rsid w:val="00E24D7A"/>
    <w:rsid w:val="00E32F59"/>
    <w:rsid w:val="00E43463"/>
    <w:rsid w:val="00E46D9A"/>
    <w:rsid w:val="00E51AE3"/>
    <w:rsid w:val="00E565FF"/>
    <w:rsid w:val="00E641BA"/>
    <w:rsid w:val="00E65388"/>
    <w:rsid w:val="00E85B7D"/>
    <w:rsid w:val="00E9121B"/>
    <w:rsid w:val="00E97CC0"/>
    <w:rsid w:val="00E97D8F"/>
    <w:rsid w:val="00EA0AE2"/>
    <w:rsid w:val="00EA0EC1"/>
    <w:rsid w:val="00EA39E5"/>
    <w:rsid w:val="00EC5A46"/>
    <w:rsid w:val="00EC63E2"/>
    <w:rsid w:val="00ED316B"/>
    <w:rsid w:val="00EE6180"/>
    <w:rsid w:val="00EF22B3"/>
    <w:rsid w:val="00EF4CF5"/>
    <w:rsid w:val="00F03B69"/>
    <w:rsid w:val="00F07A50"/>
    <w:rsid w:val="00F113DA"/>
    <w:rsid w:val="00F37DC8"/>
    <w:rsid w:val="00F439B3"/>
    <w:rsid w:val="00F57CD0"/>
    <w:rsid w:val="00F60C2F"/>
    <w:rsid w:val="00F650C3"/>
    <w:rsid w:val="00F65D85"/>
    <w:rsid w:val="00F8091E"/>
    <w:rsid w:val="00F82BB6"/>
    <w:rsid w:val="00F8615C"/>
    <w:rsid w:val="00F969E5"/>
    <w:rsid w:val="00FA6BB0"/>
    <w:rsid w:val="00FC1221"/>
    <w:rsid w:val="00FC26FA"/>
    <w:rsid w:val="00FD5362"/>
    <w:rsid w:val="00FD5860"/>
    <w:rsid w:val="00FE0F77"/>
    <w:rsid w:val="00FE352D"/>
    <w:rsid w:val="00FE40EB"/>
    <w:rsid w:val="00FE4D02"/>
    <w:rsid w:val="00FE7D62"/>
    <w:rsid w:val="00FF3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er" w:locked="1"/>
    <w:lsdException w:name="caption" w:locked="1" w:semiHidden="1" w:unhideWhenUsed="1" w:qFormat="1"/>
    <w:lsdException w:name="Title" w:locked="1" w:qFormat="1"/>
    <w:lsdException w:name="Subtitle" w:locked="1" w:qFormat="1"/>
    <w:lsdException w:name="Hyperlink" w:locked="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119B"/>
    <w:rPr>
      <w:rFonts w:eastAsia="MS Mincho"/>
      <w:sz w:val="22"/>
      <w:lang w:val="en-GB"/>
    </w:rPr>
  </w:style>
  <w:style w:type="paragraph" w:styleId="Heading1">
    <w:name w:val="heading 1"/>
    <w:basedOn w:val="Normal"/>
    <w:next w:val="Normalnumber"/>
    <w:qFormat/>
    <w:rsid w:val="000D6941"/>
    <w:pPr>
      <w:keepNext/>
      <w:tabs>
        <w:tab w:val="left" w:pos="1247"/>
        <w:tab w:val="left" w:pos="1814"/>
      </w:tabs>
      <w:spacing w:before="240" w:after="120"/>
      <w:ind w:left="1247" w:hanging="680"/>
      <w:outlineLvl w:val="0"/>
    </w:pPr>
    <w:rPr>
      <w:b/>
      <w:sz w:val="28"/>
    </w:rPr>
  </w:style>
  <w:style w:type="paragraph" w:styleId="Heading2">
    <w:name w:val="heading 2"/>
    <w:basedOn w:val="Normal"/>
    <w:next w:val="Normalnumbe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cs="Times New Roman"/>
      <w:b/>
      <w:sz w:val="18"/>
    </w:rPr>
  </w:style>
  <w:style w:type="table" w:customStyle="1" w:styleId="57">
    <w:name w:val="57"/>
    <w:pPr>
      <w:widowControl w:val="0"/>
      <w:autoSpaceDE w:val="0"/>
      <w:autoSpaceDN w:val="0"/>
      <w:adjustRightInd w:val="0"/>
    </w:pPr>
    <w:rPr>
      <w:sz w:val="24"/>
      <w:szCs w:val="24"/>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style>
  <w:style w:type="paragraph" w:styleId="TOC6">
    <w:name w:val="toc 6"/>
    <w:basedOn w:val="Normal"/>
    <w:next w:val="Normal"/>
    <w:autoRedefine/>
    <w:semiHidden/>
    <w:rsid w:val="000D6941"/>
    <w:pPr>
      <w:ind w:left="1000"/>
    </w:pPr>
    <w:rPr>
      <w:sz w:val="18"/>
      <w:szCs w:val="18"/>
    </w:rPr>
  </w:style>
  <w:style w:type="paragraph" w:styleId="TOC7">
    <w:name w:val="toc 7"/>
    <w:basedOn w:val="Normal"/>
    <w:next w:val="Normal"/>
    <w:autoRedefine/>
    <w:semiHidden/>
    <w:rsid w:val="000D6941"/>
    <w:pPr>
      <w:ind w:left="1200"/>
    </w:pPr>
    <w:rPr>
      <w:sz w:val="18"/>
      <w:szCs w:val="18"/>
    </w:rPr>
  </w:style>
  <w:style w:type="paragraph" w:styleId="TOC8">
    <w:name w:val="toc 8"/>
    <w:basedOn w:val="Normal"/>
    <w:next w:val="Normal"/>
    <w:autoRedefine/>
    <w:semiHidden/>
    <w:rsid w:val="000D6941"/>
    <w:pPr>
      <w:ind w:left="1400"/>
    </w:pPr>
    <w:rPr>
      <w:sz w:val="18"/>
      <w:szCs w:val="18"/>
    </w:rPr>
  </w:style>
  <w:style w:type="paragraph" w:styleId="TOC9">
    <w:name w:val="toc 9"/>
    <w:basedOn w:val="Normal"/>
    <w:next w:val="Normal"/>
    <w:autoRedefine/>
    <w:semiHidden/>
    <w:rsid w:val="000D6941"/>
    <w:pPr>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28">
    <w:name w:val="28"/>
    <w:pPr>
      <w:widowControl w:val="0"/>
      <w:autoSpaceDE w:val="0"/>
      <w:autoSpaceDN w:val="0"/>
      <w:adjustRightInd w:val="0"/>
    </w:pPr>
    <w:rPr>
      <w:sz w:val="24"/>
      <w:szCs w:val="24"/>
    </w:rPr>
    <w:tblPr>
      <w:jc w:val="right"/>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aliases w:val="ftref,16 Point,Superscript 6 Point,(Ref. de nota al pie)"/>
    <w:semiHidden/>
    <w:rsid w:val="000D6941"/>
    <w:rPr>
      <w:rFonts w:ascii="Times New Roman" w:hAnsi="Times New Roman" w:cs="Times New Roman"/>
      <w:color w:val="auto"/>
      <w:sz w:val="18"/>
      <w:szCs w:val="18"/>
      <w:vertAlign w:val="superscript"/>
    </w:rPr>
  </w:style>
  <w:style w:type="paragraph" w:styleId="FootnoteText">
    <w:name w:val="footnote text"/>
    <w:aliases w:val="Geneva 9,Font: Geneva 9,Boston 10,f,DNV-FT,-E Fußnotentext,Fußnote,Fußnotentext Ursprung,ft,fn,Footnotes,Footnote ak,fn cafc,Footnotes Char Char,Footnote Text Char Char,fn Char Char,footnote text Char Char Char Ch,Footnote Text Cha"/>
    <w:basedOn w:val="Normalpool"/>
    <w:link w:val="FootnoteTextChar"/>
    <w:semiHidden/>
    <w:rsid w:val="000D6941"/>
    <w:pPr>
      <w:spacing w:before="20" w:after="40"/>
      <w:ind w:left="1247"/>
    </w:pPr>
    <w:rPr>
      <w:sz w:val="18"/>
    </w:rPr>
  </w:style>
  <w:style w:type="character" w:customStyle="1" w:styleId="FootnoteTextChar">
    <w:name w:val="Footnote Text Char"/>
    <w:aliases w:val="Geneva 9 Char,Font: Geneva 9 Char,Boston 10 Char,f Char,DNV-FT Char,-E Fußnotentext Char,Fußnote Char,Fußnotentext Ursprung Char,ft Char,fn Char,Footnotes Char,Footnote ak Char,fn cafc Char,Footnotes Char Char Char,fn Char Char Char"/>
    <w:link w:val="FootnoteText"/>
    <w:semiHidden/>
    <w:locked/>
    <w:rsid w:val="005B119B"/>
    <w:rPr>
      <w:sz w:val="18"/>
      <w:lang w:val="fr-FR" w:eastAsia="x-none"/>
    </w:rPr>
  </w:style>
  <w:style w:type="character" w:customStyle="1" w:styleId="Normal-poolChar">
    <w:name w:val="Normal-pool Char"/>
    <w:link w:val="Normal-pool"/>
    <w:locked/>
    <w:rsid w:val="005B119B"/>
    <w:rPr>
      <w:lang w:val="en-GB" w:eastAsia="en-US"/>
    </w:rPr>
  </w:style>
  <w:style w:type="paragraph" w:customStyle="1" w:styleId="Subtitle">
    <w:name w:val="Sub title"/>
    <w:basedOn w:val="Heading2"/>
    <w:rsid w:val="005B119B"/>
    <w:pPr>
      <w:spacing w:before="0" w:after="0"/>
      <w:ind w:firstLine="0"/>
    </w:pPr>
  </w:style>
  <w:style w:type="character" w:customStyle="1" w:styleId="FooterChar">
    <w:name w:val="Footer Char"/>
    <w:link w:val="Footer"/>
    <w:semiHidden/>
    <w:locked/>
    <w:rsid w:val="005B119B"/>
    <w:rPr>
      <w:rFonts w:eastAsia="MS Mincho"/>
      <w:sz w:val="18"/>
      <w:lang w:val="en-GB" w:eastAsia="x-none"/>
    </w:rPr>
  </w:style>
  <w:style w:type="table" w:customStyle="1" w:styleId="AATable">
    <w:name w:val="AA_Table"/>
    <w:semiHidden/>
    <w:rsid w:val="003A77F1"/>
    <w:tblPr>
      <w:tblStyleRowBandSize w:val="1"/>
      <w:tblStyleColBandSize w:val="1"/>
      <w:jc w:val="right"/>
      <w:tblCellMar>
        <w:top w:w="0" w:type="dxa"/>
        <w:left w:w="108" w:type="dxa"/>
        <w:bottom w:w="0" w:type="dxa"/>
        <w:right w:w="108" w:type="dxa"/>
      </w:tblCellMar>
    </w:tblPr>
    <w:trPr>
      <w:jc w:val="right"/>
    </w:tr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semiHidden/>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enter" w:pos="4536"/>
        <w:tab w:val="right" w:pos="9072"/>
      </w:tabs>
      <w:spacing w:after="120"/>
    </w:pPr>
    <w:rPr>
      <w:b/>
      <w:sz w:val="18"/>
    </w:rPr>
  </w:style>
  <w:style w:type="character" w:styleId="Hyperlink">
    <w:name w:val="Hyperlink"/>
    <w:semiHidden/>
    <w:rsid w:val="000D6941"/>
    <w:rPr>
      <w:rFonts w:ascii="Times New Roman" w:hAnsi="Times New Roman" w:cs="Times New Roman"/>
      <w:color w:val="auto"/>
      <w:sz w:val="20"/>
      <w:szCs w:val="20"/>
      <w:u w:val="none"/>
      <w:lang w:val="fr-FR" w:eastAsia="x-none"/>
    </w:rPr>
  </w:style>
  <w:style w:type="paragraph" w:customStyle="1" w:styleId="NormalNonumber">
    <w:name w:val="Normal_No_number"/>
    <w:basedOn w:val="Normalpool"/>
    <w:rsid w:val="00160D74"/>
    <w:pPr>
      <w:spacing w:after="120"/>
      <w:ind w:left="1247"/>
    </w:pPr>
    <w:rPr>
      <w:lang w:val="en-GB"/>
    </w:rPr>
  </w:style>
  <w:style w:type="paragraph" w:customStyle="1" w:styleId="Normalnumber">
    <w:name w:val="Normal_number"/>
    <w:basedOn w:val="Normalpool"/>
    <w:rsid w:val="00160D74"/>
    <w:pPr>
      <w:numPr>
        <w:numId w:val="4"/>
      </w:numPr>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autoRedefine/>
    <w:semiHidden/>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autoRedefine/>
    <w:semiHidden/>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autoRedefine/>
    <w:semiHidden/>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autoRedefine/>
    <w:semiHidden/>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 w:type="numbering" w:customStyle="1" w:styleId="Normallist">
    <w:name w:val="Normal_list"/>
    <w:rsid w:val="006C54DC"/>
    <w:pPr>
      <w:numPr>
        <w:numId w:val="3"/>
      </w:numPr>
    </w:pPr>
  </w:style>
  <w:style w:type="paragraph" w:styleId="BalloonText">
    <w:name w:val="Balloon Text"/>
    <w:basedOn w:val="Normal"/>
    <w:semiHidden/>
    <w:rsid w:val="000C746E"/>
    <w:rPr>
      <w:rFonts w:ascii="Tahoma" w:hAnsi="Tahoma" w:cs="Tahoma"/>
      <w:sz w:val="16"/>
      <w:szCs w:val="16"/>
    </w:rPr>
  </w:style>
  <w:style w:type="table" w:styleId="TableGrid">
    <w:name w:val="Table Grid"/>
    <w:basedOn w:val="TableNormal"/>
    <w:rsid w:val="006C5E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C5EF8"/>
    <w:pPr>
      <w:pBdr>
        <w:top w:val="nil"/>
        <w:left w:val="nil"/>
        <w:bottom w:val="nil"/>
        <w:right w:val="nil"/>
        <w:between w:val="nil"/>
        <w:bar w:val="nil"/>
      </w:pBdr>
      <w:ind w:left="720"/>
      <w:contextualSpacing/>
    </w:pPr>
    <w:rPr>
      <w:rFonts w:eastAsia="Arial Unicode MS"/>
      <w:sz w:val="24"/>
      <w:szCs w:val="24"/>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er" w:locked="1"/>
    <w:lsdException w:name="caption" w:locked="1" w:semiHidden="1" w:unhideWhenUsed="1" w:qFormat="1"/>
    <w:lsdException w:name="Title" w:locked="1" w:qFormat="1"/>
    <w:lsdException w:name="Subtitle" w:locked="1" w:qFormat="1"/>
    <w:lsdException w:name="Hyperlink" w:locked="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119B"/>
    <w:rPr>
      <w:rFonts w:eastAsia="MS Mincho"/>
      <w:sz w:val="22"/>
      <w:lang w:val="en-GB"/>
    </w:rPr>
  </w:style>
  <w:style w:type="paragraph" w:styleId="Heading1">
    <w:name w:val="heading 1"/>
    <w:basedOn w:val="Normal"/>
    <w:next w:val="Normalnumber"/>
    <w:qFormat/>
    <w:rsid w:val="000D6941"/>
    <w:pPr>
      <w:keepNext/>
      <w:tabs>
        <w:tab w:val="left" w:pos="1247"/>
        <w:tab w:val="left" w:pos="1814"/>
      </w:tabs>
      <w:spacing w:before="240" w:after="120"/>
      <w:ind w:left="1247" w:hanging="680"/>
      <w:outlineLvl w:val="0"/>
    </w:pPr>
    <w:rPr>
      <w:b/>
      <w:sz w:val="28"/>
    </w:rPr>
  </w:style>
  <w:style w:type="paragraph" w:styleId="Heading2">
    <w:name w:val="heading 2"/>
    <w:basedOn w:val="Normal"/>
    <w:next w:val="Normalnumbe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u w:val="single"/>
      <w:lang w:val="en-US"/>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u w:val="single"/>
      <w:lang w:val="en-US"/>
    </w:rPr>
  </w:style>
  <w:style w:type="paragraph" w:styleId="Heading9">
    <w:name w:val="heading 9"/>
    <w:basedOn w:val="Normal"/>
    <w:next w:val="Normal"/>
    <w:qFormat/>
    <w:rsid w:val="000D6941"/>
    <w:pPr>
      <w:keepNext/>
      <w:widowControl w:val="0"/>
      <w:numPr>
        <w:numId w:val="2"/>
      </w:numPr>
      <w:suppressAutoHyphens/>
      <w:jc w:val="center"/>
      <w:outlineLvl w:val="8"/>
    </w:pPr>
    <w:rPr>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cs="Times New Roman"/>
      <w:b/>
      <w:sz w:val="18"/>
    </w:rPr>
  </w:style>
  <w:style w:type="table" w:customStyle="1" w:styleId="57">
    <w:name w:val="57"/>
    <w:pPr>
      <w:widowControl w:val="0"/>
      <w:autoSpaceDE w:val="0"/>
      <w:autoSpaceDN w:val="0"/>
      <w:adjustRightInd w:val="0"/>
    </w:pPr>
    <w:rPr>
      <w:sz w:val="24"/>
      <w:szCs w:val="24"/>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style>
  <w:style w:type="paragraph" w:styleId="TOC6">
    <w:name w:val="toc 6"/>
    <w:basedOn w:val="Normal"/>
    <w:next w:val="Normal"/>
    <w:autoRedefine/>
    <w:semiHidden/>
    <w:rsid w:val="000D6941"/>
    <w:pPr>
      <w:ind w:left="1000"/>
    </w:pPr>
    <w:rPr>
      <w:sz w:val="18"/>
      <w:szCs w:val="18"/>
    </w:rPr>
  </w:style>
  <w:style w:type="paragraph" w:styleId="TOC7">
    <w:name w:val="toc 7"/>
    <w:basedOn w:val="Normal"/>
    <w:next w:val="Normal"/>
    <w:autoRedefine/>
    <w:semiHidden/>
    <w:rsid w:val="000D6941"/>
    <w:pPr>
      <w:ind w:left="1200"/>
    </w:pPr>
    <w:rPr>
      <w:sz w:val="18"/>
      <w:szCs w:val="18"/>
    </w:rPr>
  </w:style>
  <w:style w:type="paragraph" w:styleId="TOC8">
    <w:name w:val="toc 8"/>
    <w:basedOn w:val="Normal"/>
    <w:next w:val="Normal"/>
    <w:autoRedefine/>
    <w:semiHidden/>
    <w:rsid w:val="000D6941"/>
    <w:pPr>
      <w:ind w:left="1400"/>
    </w:pPr>
    <w:rPr>
      <w:sz w:val="18"/>
      <w:szCs w:val="18"/>
    </w:rPr>
  </w:style>
  <w:style w:type="paragraph" w:styleId="TOC9">
    <w:name w:val="toc 9"/>
    <w:basedOn w:val="Normal"/>
    <w:next w:val="Normal"/>
    <w:autoRedefine/>
    <w:semiHidden/>
    <w:rsid w:val="000D6941"/>
    <w:pPr>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28">
    <w:name w:val="28"/>
    <w:pPr>
      <w:widowControl w:val="0"/>
      <w:autoSpaceDE w:val="0"/>
      <w:autoSpaceDN w:val="0"/>
      <w:adjustRightInd w:val="0"/>
    </w:pPr>
    <w:rPr>
      <w:sz w:val="24"/>
      <w:szCs w:val="24"/>
    </w:rPr>
    <w:tblPr>
      <w:jc w:val="right"/>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aliases w:val="ftref,16 Point,Superscript 6 Point,(Ref. de nota al pie)"/>
    <w:semiHidden/>
    <w:rsid w:val="000D6941"/>
    <w:rPr>
      <w:rFonts w:ascii="Times New Roman" w:hAnsi="Times New Roman" w:cs="Times New Roman"/>
      <w:color w:val="auto"/>
      <w:sz w:val="18"/>
      <w:szCs w:val="18"/>
      <w:vertAlign w:val="superscript"/>
    </w:rPr>
  </w:style>
  <w:style w:type="paragraph" w:styleId="FootnoteText">
    <w:name w:val="footnote text"/>
    <w:aliases w:val="Geneva 9,Font: Geneva 9,Boston 10,f,DNV-FT,-E Fußnotentext,Fußnote,Fußnotentext Ursprung,ft,fn,Footnotes,Footnote ak,fn cafc,Footnotes Char Char,Footnote Text Char Char,fn Char Char,footnote text Char Char Char Ch,Footnote Text Cha"/>
    <w:basedOn w:val="Normalpool"/>
    <w:link w:val="FootnoteTextChar"/>
    <w:semiHidden/>
    <w:rsid w:val="000D6941"/>
    <w:pPr>
      <w:spacing w:before="20" w:after="40"/>
      <w:ind w:left="1247"/>
    </w:pPr>
    <w:rPr>
      <w:sz w:val="18"/>
    </w:rPr>
  </w:style>
  <w:style w:type="character" w:customStyle="1" w:styleId="FootnoteTextChar">
    <w:name w:val="Footnote Text Char"/>
    <w:aliases w:val="Geneva 9 Char,Font: Geneva 9 Char,Boston 10 Char,f Char,DNV-FT Char,-E Fußnotentext Char,Fußnote Char,Fußnotentext Ursprung Char,ft Char,fn Char,Footnotes Char,Footnote ak Char,fn cafc Char,Footnotes Char Char Char,fn Char Char Char"/>
    <w:link w:val="FootnoteText"/>
    <w:semiHidden/>
    <w:locked/>
    <w:rsid w:val="005B119B"/>
    <w:rPr>
      <w:sz w:val="18"/>
      <w:lang w:val="fr-FR" w:eastAsia="x-none"/>
    </w:rPr>
  </w:style>
  <w:style w:type="character" w:customStyle="1" w:styleId="Normal-poolChar">
    <w:name w:val="Normal-pool Char"/>
    <w:link w:val="Normal-pool"/>
    <w:locked/>
    <w:rsid w:val="005B119B"/>
    <w:rPr>
      <w:lang w:val="en-GB" w:eastAsia="en-US"/>
    </w:rPr>
  </w:style>
  <w:style w:type="paragraph" w:customStyle="1" w:styleId="Subtitle">
    <w:name w:val="Sub title"/>
    <w:basedOn w:val="Heading2"/>
    <w:rsid w:val="005B119B"/>
    <w:pPr>
      <w:spacing w:before="0" w:after="0"/>
      <w:ind w:firstLine="0"/>
    </w:pPr>
  </w:style>
  <w:style w:type="character" w:customStyle="1" w:styleId="FooterChar">
    <w:name w:val="Footer Char"/>
    <w:link w:val="Footer"/>
    <w:semiHidden/>
    <w:locked/>
    <w:rsid w:val="005B119B"/>
    <w:rPr>
      <w:rFonts w:eastAsia="MS Mincho"/>
      <w:sz w:val="18"/>
      <w:lang w:val="en-GB" w:eastAsia="x-none"/>
    </w:rPr>
  </w:style>
  <w:style w:type="table" w:customStyle="1" w:styleId="AATable">
    <w:name w:val="AA_Table"/>
    <w:semiHidden/>
    <w:rsid w:val="003A77F1"/>
    <w:tblPr>
      <w:tblStyleRowBandSize w:val="1"/>
      <w:tblStyleColBandSize w:val="1"/>
      <w:jc w:val="right"/>
      <w:tblCellMar>
        <w:top w:w="0" w:type="dxa"/>
        <w:left w:w="108" w:type="dxa"/>
        <w:bottom w:w="0" w:type="dxa"/>
        <w:right w:w="108" w:type="dxa"/>
      </w:tblCellMar>
    </w:tblPr>
    <w:trPr>
      <w:jc w:val="right"/>
    </w:tr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semiHidden/>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enter" w:pos="4536"/>
        <w:tab w:val="right" w:pos="9072"/>
      </w:tabs>
      <w:spacing w:after="120"/>
    </w:pPr>
    <w:rPr>
      <w:b/>
      <w:sz w:val="18"/>
    </w:rPr>
  </w:style>
  <w:style w:type="character" w:styleId="Hyperlink">
    <w:name w:val="Hyperlink"/>
    <w:semiHidden/>
    <w:rsid w:val="000D6941"/>
    <w:rPr>
      <w:rFonts w:ascii="Times New Roman" w:hAnsi="Times New Roman" w:cs="Times New Roman"/>
      <w:color w:val="auto"/>
      <w:sz w:val="20"/>
      <w:szCs w:val="20"/>
      <w:u w:val="none"/>
      <w:lang w:val="fr-FR" w:eastAsia="x-none"/>
    </w:rPr>
  </w:style>
  <w:style w:type="paragraph" w:customStyle="1" w:styleId="NormalNonumber">
    <w:name w:val="Normal_No_number"/>
    <w:basedOn w:val="Normalpool"/>
    <w:rsid w:val="00160D74"/>
    <w:pPr>
      <w:spacing w:after="120"/>
      <w:ind w:left="1247"/>
    </w:pPr>
    <w:rPr>
      <w:lang w:val="en-GB"/>
    </w:rPr>
  </w:style>
  <w:style w:type="paragraph" w:customStyle="1" w:styleId="Normalnumber">
    <w:name w:val="Normal_number"/>
    <w:basedOn w:val="Normalpool"/>
    <w:rsid w:val="00160D74"/>
    <w:pPr>
      <w:numPr>
        <w:numId w:val="4"/>
      </w:numPr>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autoRedefine/>
    <w:semiHidden/>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autoRedefine/>
    <w:semiHidden/>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autoRedefine/>
    <w:semiHidden/>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autoRedefine/>
    <w:semiHidden/>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 w:type="numbering" w:customStyle="1" w:styleId="Normallist">
    <w:name w:val="Normal_list"/>
    <w:rsid w:val="006C54DC"/>
    <w:pPr>
      <w:numPr>
        <w:numId w:val="3"/>
      </w:numPr>
    </w:pPr>
  </w:style>
  <w:style w:type="paragraph" w:styleId="BalloonText">
    <w:name w:val="Balloon Text"/>
    <w:basedOn w:val="Normal"/>
    <w:semiHidden/>
    <w:rsid w:val="000C746E"/>
    <w:rPr>
      <w:rFonts w:ascii="Tahoma" w:hAnsi="Tahoma" w:cs="Tahoma"/>
      <w:sz w:val="16"/>
      <w:szCs w:val="16"/>
    </w:rPr>
  </w:style>
  <w:style w:type="table" w:styleId="TableGrid">
    <w:name w:val="Table Grid"/>
    <w:basedOn w:val="TableNormal"/>
    <w:rsid w:val="006C5E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C5EF8"/>
    <w:pPr>
      <w:pBdr>
        <w:top w:val="nil"/>
        <w:left w:val="nil"/>
        <w:bottom w:val="nil"/>
        <w:right w:val="nil"/>
        <w:between w:val="nil"/>
        <w:bar w:val="nil"/>
      </w:pBdr>
      <w:ind w:left="720"/>
      <w:contextualSpacing/>
    </w:pPr>
    <w:rPr>
      <w:rFonts w:eastAsia="Arial Unicode MS"/>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ep.org/chemicalsandwaste/noleadinpaint/toolki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unep.org/chemicalsandwaste/LeadCadmium/Publications/DevelopmentofTechniquesforEmissions/tabid/838787/Default.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nep.org/chemicalsandwaste/LeadCadmium/Publications/DevelopmentofTechniquesforEmissions/tabid/838787/Default.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unep.org/chemicalsandwaste/LeadandCadmium/PbandCdBatteries/ULABWorkshop-Osaka/tabid/1060855/Default.aspx" TargetMode="External"/><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unep.org/chemicalsandwaste/LeadandCadmium/LeadPaintAlliance/MeetingsandEvents/EastAfricaSub-regionalWorkshop/tabid/1060793/Default.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2DC00-2DF9-46F8-8DF2-6850A3EAF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6596</Words>
  <Characters>37598</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NATIONS UNIES</vt:lpstr>
    </vt:vector>
  </TitlesOfParts>
  <Company>unon</Company>
  <LinksUpToDate>false</LinksUpToDate>
  <CharactersWithSpaces>44106</CharactersWithSpaces>
  <SharedDoc>false</SharedDoc>
  <HLinks>
    <vt:vector size="30" baseType="variant">
      <vt:variant>
        <vt:i4>458818</vt:i4>
      </vt:variant>
      <vt:variant>
        <vt:i4>15</vt:i4>
      </vt:variant>
      <vt:variant>
        <vt:i4>0</vt:i4>
      </vt:variant>
      <vt:variant>
        <vt:i4>5</vt:i4>
      </vt:variant>
      <vt:variant>
        <vt:lpwstr>http://www.unep.org/chemicalsandwaste/LeadCadmium/Publications/DevelopmentofTechniquesforEmissions/tabid/838787/Default.aspx</vt:lpwstr>
      </vt:variant>
      <vt:variant>
        <vt:lpwstr/>
      </vt:variant>
      <vt:variant>
        <vt:i4>3801203</vt:i4>
      </vt:variant>
      <vt:variant>
        <vt:i4>12</vt:i4>
      </vt:variant>
      <vt:variant>
        <vt:i4>0</vt:i4>
      </vt:variant>
      <vt:variant>
        <vt:i4>5</vt:i4>
      </vt:variant>
      <vt:variant>
        <vt:lpwstr>http://www.unep.org/chemicalsandwaste/LeadandCadmium/PbandCdBatteries/ULABWorkshop-Osaka/tabid/1060855/Default.aspx</vt:lpwstr>
      </vt:variant>
      <vt:variant>
        <vt:lpwstr/>
      </vt:variant>
      <vt:variant>
        <vt:i4>3211311</vt:i4>
      </vt:variant>
      <vt:variant>
        <vt:i4>9</vt:i4>
      </vt:variant>
      <vt:variant>
        <vt:i4>0</vt:i4>
      </vt:variant>
      <vt:variant>
        <vt:i4>5</vt:i4>
      </vt:variant>
      <vt:variant>
        <vt:lpwstr>http://www.unep.org/chemicalsandwaste/LeadandCadmium/LeadPaintAlliance/MeetingsandEvents/EastAfricaSub-regionalWorkshop/tabid/1060793/Default.aspx</vt:lpwstr>
      </vt:variant>
      <vt:variant>
        <vt:lpwstr/>
      </vt:variant>
      <vt:variant>
        <vt:i4>3604515</vt:i4>
      </vt:variant>
      <vt:variant>
        <vt:i4>6</vt:i4>
      </vt:variant>
      <vt:variant>
        <vt:i4>0</vt:i4>
      </vt:variant>
      <vt:variant>
        <vt:i4>5</vt:i4>
      </vt:variant>
      <vt:variant>
        <vt:lpwstr>http://www.unep.org/chemicalsandwaste/noleadinpaint/toolkit</vt:lpwstr>
      </vt:variant>
      <vt:variant>
        <vt:lpwstr/>
      </vt:variant>
      <vt:variant>
        <vt:i4>458818</vt:i4>
      </vt:variant>
      <vt:variant>
        <vt:i4>3</vt:i4>
      </vt:variant>
      <vt:variant>
        <vt:i4>0</vt:i4>
      </vt:variant>
      <vt:variant>
        <vt:i4>5</vt:i4>
      </vt:variant>
      <vt:variant>
        <vt:lpwstr>http://www.unep.org/chemicalsandwaste/LeadCadmium/Publications/DevelopmentofTechniquesforEmissions/tabid/838787/Default.aspx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NATIONS UNIES</dc:title>
  <dc:creator>Cynthia Mwanza</dc:creator>
  <cp:lastModifiedBy>John Njuguna</cp:lastModifiedBy>
  <cp:revision>2</cp:revision>
  <cp:lastPrinted>2010-07-07T12:56:00Z</cp:lastPrinted>
  <dcterms:created xsi:type="dcterms:W3CDTF">2016-05-17T15:28:00Z</dcterms:created>
  <dcterms:modified xsi:type="dcterms:W3CDTF">2016-05-17T15:28:00Z</dcterms:modified>
</cp:coreProperties>
</file>