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rPr>
          <w:rFonts w:ascii="Times New Roman"/>
        </w:rPr>
      </w:pPr>
    </w:p>
    <w:p>
      <w:pPr>
        <w:pStyle w:val="BodyText"/>
        <w:spacing w:before="208"/>
        <w:rPr>
          <w:rFonts w:ascii="Times New Roman"/>
        </w:rPr>
      </w:pPr>
    </w:p>
    <w:p>
      <w:pPr>
        <w:pStyle w:val="BodyText"/>
        <w:ind w:left="427"/>
        <w:rPr>
          <w:rFonts w:ascii="Roboto"/>
        </w:rPr>
      </w:pPr>
      <w:r>
        <w:rPr>
          <w:rFonts w:ascii="Roboto"/>
        </w:rPr>
        <w:t>Committee</w:t>
      </w:r>
      <w:r>
        <w:rPr>
          <w:rFonts w:ascii="Roboto"/>
          <w:spacing w:val="-13"/>
        </w:rPr>
        <w:t> </w:t>
      </w:r>
      <w:r>
        <w:rPr>
          <w:rFonts w:ascii="Roboto"/>
        </w:rPr>
        <w:t>of</w:t>
      </w:r>
      <w:r>
        <w:rPr>
          <w:rFonts w:ascii="Roboto"/>
          <w:spacing w:val="-14"/>
        </w:rPr>
        <w:t> </w:t>
      </w:r>
      <w:r>
        <w:rPr>
          <w:rFonts w:ascii="Roboto"/>
        </w:rPr>
        <w:t>Permanent</w:t>
      </w:r>
      <w:r>
        <w:rPr>
          <w:rFonts w:ascii="Roboto"/>
          <w:spacing w:val="-14"/>
        </w:rPr>
        <w:t> </w:t>
      </w:r>
      <w:r>
        <w:rPr>
          <w:rFonts w:ascii="Roboto"/>
        </w:rPr>
        <w:t>Representatives Bureau Meeting</w:t>
      </w:r>
    </w:p>
    <w:p>
      <w:pPr>
        <w:pStyle w:val="BodyText"/>
        <w:ind w:left="427"/>
        <w:rPr>
          <w:rFonts w:ascii="Roboto"/>
        </w:rPr>
      </w:pPr>
      <w:r>
        <w:rPr>
          <w:rFonts w:ascii="Roboto"/>
        </w:rPr>
        <w:t>3</w:t>
      </w:r>
      <w:r>
        <w:rPr>
          <w:rFonts w:ascii="Roboto"/>
          <w:spacing w:val="-4"/>
        </w:rPr>
        <w:t> </w:t>
      </w:r>
      <w:r>
        <w:rPr>
          <w:rFonts w:ascii="Roboto"/>
        </w:rPr>
        <w:t>June</w:t>
      </w:r>
      <w:r>
        <w:rPr>
          <w:rFonts w:ascii="Roboto"/>
          <w:spacing w:val="-3"/>
        </w:rPr>
        <w:t> </w:t>
      </w:r>
      <w:r>
        <w:rPr>
          <w:rFonts w:ascii="Roboto"/>
          <w:spacing w:val="-4"/>
        </w:rPr>
        <w:t>2025</w:t>
      </w:r>
    </w:p>
    <w:p>
      <w:pPr>
        <w:pStyle w:val="BodyText"/>
        <w:ind w:left="427"/>
        <w:rPr>
          <w:rFonts w:ascii="Roboto"/>
        </w:rPr>
      </w:pPr>
      <w:r>
        <w:rPr>
          <w:rFonts w:ascii="Roboto"/>
        </w:rPr>
        <w:t>10:00</w:t>
      </w:r>
      <w:r>
        <w:rPr>
          <w:rFonts w:ascii="Roboto"/>
          <w:spacing w:val="-1"/>
        </w:rPr>
        <w:t> </w:t>
      </w:r>
      <w:r>
        <w:rPr>
          <w:rFonts w:ascii="Roboto"/>
        </w:rPr>
        <w:t>-</w:t>
      </w:r>
      <w:r>
        <w:rPr>
          <w:rFonts w:ascii="Roboto"/>
          <w:spacing w:val="-4"/>
        </w:rPr>
        <w:t> </w:t>
      </w:r>
      <w:r>
        <w:rPr>
          <w:rFonts w:ascii="Roboto"/>
        </w:rPr>
        <w:t>12:00</w:t>
      </w:r>
      <w:r>
        <w:rPr>
          <w:rFonts w:ascii="Roboto"/>
          <w:spacing w:val="-2"/>
        </w:rPr>
        <w:t> (GMT+3)</w:t>
      </w:r>
    </w:p>
    <w:p>
      <w:pPr>
        <w:pStyle w:val="BodyText"/>
        <w:ind w:left="427"/>
        <w:rPr>
          <w:rFonts w:ascii="Roboto"/>
        </w:rPr>
      </w:pPr>
      <w:r>
        <w:rPr>
          <w:rFonts w:ascii="Roboto"/>
        </w:rPr>
        <w:t>Conference</w:t>
      </w:r>
      <w:r>
        <w:rPr>
          <w:rFonts w:ascii="Roboto"/>
          <w:spacing w:val="-7"/>
        </w:rPr>
        <w:t> </w:t>
      </w:r>
      <w:r>
        <w:rPr>
          <w:rFonts w:ascii="Roboto"/>
        </w:rPr>
        <w:t>Room</w:t>
      </w:r>
      <w:r>
        <w:rPr>
          <w:rFonts w:ascii="Roboto"/>
          <w:spacing w:val="-6"/>
        </w:rPr>
        <w:t> </w:t>
      </w:r>
      <w:r>
        <w:rPr>
          <w:rFonts w:ascii="Roboto"/>
        </w:rPr>
        <w:t>9</w:t>
      </w:r>
      <w:r>
        <w:rPr>
          <w:rFonts w:ascii="Roboto"/>
          <w:spacing w:val="-5"/>
        </w:rPr>
        <w:t> </w:t>
      </w:r>
      <w:r>
        <w:rPr>
          <w:rFonts w:ascii="Roboto"/>
        </w:rPr>
        <w:t>and</w:t>
      </w:r>
      <w:r>
        <w:rPr>
          <w:rFonts w:ascii="Roboto"/>
          <w:spacing w:val="-6"/>
        </w:rPr>
        <w:t> </w:t>
      </w:r>
      <w:r>
        <w:rPr>
          <w:rFonts w:ascii="Roboto"/>
          <w:spacing w:val="-2"/>
        </w:rPr>
        <w:t>online</w:t>
      </w:r>
    </w:p>
    <w:p>
      <w:pPr>
        <w:pStyle w:val="BodyText"/>
        <w:spacing w:before="73"/>
        <w:ind w:right="1438"/>
        <w:jc w:val="right"/>
        <w:rPr>
          <w:rFonts w:ascii="Roboto"/>
        </w:rPr>
      </w:pPr>
      <w:r>
        <w:rPr/>
        <w:br w:type="column"/>
      </w:r>
      <w:r>
        <w:rPr>
          <w:rFonts w:ascii="Roboto"/>
        </w:rPr>
        <w:t>United</w:t>
      </w:r>
      <w:r>
        <w:rPr>
          <w:rFonts w:ascii="Roboto"/>
          <w:spacing w:val="-9"/>
        </w:rPr>
        <w:t> </w:t>
      </w:r>
      <w:r>
        <w:rPr>
          <w:rFonts w:ascii="Roboto"/>
        </w:rPr>
        <w:t>Nations</w:t>
      </w:r>
      <w:r>
        <w:rPr>
          <w:rFonts w:ascii="Roboto"/>
          <w:spacing w:val="-6"/>
        </w:rPr>
        <w:t> </w:t>
      </w:r>
      <w:r>
        <w:rPr>
          <w:rFonts w:ascii="Roboto"/>
        </w:rPr>
        <w:t>Environment</w:t>
      </w:r>
      <w:r>
        <w:rPr>
          <w:rFonts w:ascii="Roboto"/>
          <w:spacing w:val="-6"/>
        </w:rPr>
        <w:t> </w:t>
      </w:r>
      <w:r>
        <w:rPr>
          <w:rFonts w:ascii="Roboto"/>
          <w:spacing w:val="-2"/>
        </w:rPr>
        <w:t>Programme</w:t>
      </w:r>
    </w:p>
    <w:p>
      <w:pPr>
        <w:pStyle w:val="BodyText"/>
        <w:spacing w:before="41"/>
        <w:ind w:right="1437"/>
        <w:jc w:val="right"/>
        <w:rPr>
          <w:rFonts w:ascii="Roboto"/>
        </w:rPr>
      </w:pPr>
      <w:r>
        <w:rPr>
          <w:rFonts w:ascii="Roboto"/>
        </w:rPr>
        <mc:AlternateContent>
          <mc:Choice Requires="wps">
            <w:drawing>
              <wp:anchor distT="0" distB="0" distL="0" distR="0" allowOverlap="1" layoutInCell="1" locked="0" behindDoc="0" simplePos="0" relativeHeight="15729152">
                <wp:simplePos x="0" y="0"/>
                <wp:positionH relativeFrom="page">
                  <wp:posOffset>612648</wp:posOffset>
                </wp:positionH>
                <wp:positionV relativeFrom="paragraph">
                  <wp:posOffset>232001</wp:posOffset>
                </wp:positionV>
                <wp:extent cx="6053455" cy="6350"/>
                <wp:effectExtent l="0" t="0" r="0" b="0"/>
                <wp:wrapNone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605345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53455" h="6350">
                              <a:moveTo>
                                <a:pt x="6053074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6053074" y="6096"/>
                              </a:lnTo>
                              <a:lnTo>
                                <a:pt x="605307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8.240002pt;margin-top:18.267851pt;width:476.62pt;height:.48pt;mso-position-horizontal-relative:page;mso-position-vertical-relative:paragraph;z-index:15729152" id="docshape2" filled="true" fillcolor="#000000" stroked="false">
                <v:fill type="solid"/>
                <w10:wrap type="none"/>
              </v:rect>
            </w:pict>
          </mc:Fallback>
        </mc:AlternateContent>
      </w:r>
      <w:r>
        <w:rPr>
          <w:rFonts w:ascii="Roboto"/>
        </w:rPr>
        <w:t>20</w:t>
      </w:r>
      <w:r>
        <w:rPr>
          <w:rFonts w:ascii="Roboto"/>
          <w:spacing w:val="-4"/>
        </w:rPr>
        <w:t> </w:t>
      </w:r>
      <w:r>
        <w:rPr>
          <w:rFonts w:ascii="Roboto"/>
        </w:rPr>
        <w:t>May</w:t>
      </w:r>
      <w:r>
        <w:rPr>
          <w:rFonts w:ascii="Roboto"/>
          <w:spacing w:val="-2"/>
        </w:rPr>
        <w:t> </w:t>
      </w:r>
      <w:r>
        <w:rPr>
          <w:rFonts w:ascii="Roboto"/>
          <w:spacing w:val="-4"/>
        </w:rPr>
        <w:t>2025</w:t>
      </w:r>
    </w:p>
    <w:p>
      <w:pPr>
        <w:pStyle w:val="BodyText"/>
        <w:spacing w:after="0"/>
        <w:jc w:val="right"/>
        <w:rPr>
          <w:rFonts w:ascii="Roboto"/>
        </w:rPr>
        <w:sectPr>
          <w:footerReference w:type="default" r:id="rId5"/>
          <w:type w:val="continuous"/>
          <w:pgSz w:w="11910" w:h="16840"/>
          <w:pgMar w:header="0" w:footer="1094" w:top="760" w:bottom="1280" w:left="566" w:right="0"/>
          <w:pgNumType w:start="1"/>
          <w:cols w:num="2" w:equalWidth="0">
            <w:col w:w="4561" w:space="972"/>
            <w:col w:w="5811"/>
          </w:cols>
        </w:sectPr>
      </w:pPr>
    </w:p>
    <w:p>
      <w:pPr>
        <w:pStyle w:val="BodyText"/>
        <w:spacing w:before="201"/>
        <w:rPr>
          <w:rFonts w:ascii="Roboto"/>
        </w:rPr>
      </w:pPr>
    </w:p>
    <w:p>
      <w:pPr>
        <w:spacing w:before="1"/>
        <w:ind w:left="427" w:right="0" w:firstLine="0"/>
        <w:jc w:val="left"/>
        <w:rPr>
          <w:rFonts w:ascii="Roboto"/>
          <w:b/>
          <w:sz w:val="22"/>
        </w:rPr>
      </w:pPr>
      <w:r>
        <w:rPr>
          <w:rFonts w:ascii="Roboto"/>
          <w:b/>
          <w:sz w:val="22"/>
        </w:rPr>
        <w:t>Agenda</w:t>
      </w:r>
      <w:r>
        <w:rPr>
          <w:rFonts w:ascii="Roboto"/>
          <w:b/>
          <w:spacing w:val="-3"/>
          <w:sz w:val="22"/>
        </w:rPr>
        <w:t> </w:t>
      </w:r>
      <w:r>
        <w:rPr>
          <w:rFonts w:ascii="Roboto"/>
          <w:b/>
          <w:sz w:val="22"/>
        </w:rPr>
        <w:t>item</w:t>
      </w:r>
      <w:r>
        <w:rPr>
          <w:rFonts w:ascii="Roboto"/>
          <w:b/>
          <w:spacing w:val="-2"/>
          <w:sz w:val="22"/>
        </w:rPr>
        <w:t> </w:t>
      </w:r>
      <w:r>
        <w:rPr>
          <w:rFonts w:ascii="Roboto"/>
          <w:b/>
          <w:sz w:val="22"/>
        </w:rPr>
        <w:t>4:</w:t>
      </w:r>
      <w:r>
        <w:rPr>
          <w:rFonts w:ascii="Roboto"/>
          <w:b/>
          <w:spacing w:val="-4"/>
          <w:sz w:val="22"/>
        </w:rPr>
        <w:t> </w:t>
      </w:r>
      <w:r>
        <w:rPr>
          <w:rFonts w:ascii="Roboto"/>
          <w:b/>
          <w:sz w:val="22"/>
        </w:rPr>
        <w:t>Working</w:t>
      </w:r>
      <w:r>
        <w:rPr>
          <w:rFonts w:ascii="Roboto"/>
          <w:b/>
          <w:spacing w:val="-6"/>
          <w:sz w:val="22"/>
        </w:rPr>
        <w:t> </w:t>
      </w:r>
      <w:r>
        <w:rPr>
          <w:rFonts w:ascii="Roboto"/>
          <w:b/>
          <w:sz w:val="22"/>
        </w:rPr>
        <w:t>methods</w:t>
      </w:r>
      <w:r>
        <w:rPr>
          <w:rFonts w:ascii="Roboto"/>
          <w:b/>
          <w:spacing w:val="-5"/>
          <w:sz w:val="22"/>
        </w:rPr>
        <w:t> </w:t>
      </w:r>
      <w:r>
        <w:rPr>
          <w:rFonts w:ascii="Roboto"/>
          <w:b/>
          <w:sz w:val="22"/>
        </w:rPr>
        <w:t>of</w:t>
      </w:r>
      <w:r>
        <w:rPr>
          <w:rFonts w:ascii="Roboto"/>
          <w:b/>
          <w:spacing w:val="-3"/>
          <w:sz w:val="22"/>
        </w:rPr>
        <w:t> </w:t>
      </w:r>
      <w:r>
        <w:rPr>
          <w:rFonts w:ascii="Roboto"/>
          <w:b/>
          <w:sz w:val="22"/>
        </w:rPr>
        <w:t>the</w:t>
      </w:r>
      <w:r>
        <w:rPr>
          <w:rFonts w:ascii="Roboto"/>
          <w:b/>
          <w:spacing w:val="-4"/>
          <w:sz w:val="22"/>
        </w:rPr>
        <w:t> </w:t>
      </w:r>
      <w:r>
        <w:rPr>
          <w:rFonts w:ascii="Roboto"/>
          <w:b/>
          <w:sz w:val="22"/>
        </w:rPr>
        <w:t>Committee</w:t>
      </w:r>
      <w:r>
        <w:rPr>
          <w:rFonts w:ascii="Roboto"/>
          <w:b/>
          <w:spacing w:val="-2"/>
          <w:sz w:val="22"/>
        </w:rPr>
        <w:t> </w:t>
      </w:r>
      <w:r>
        <w:rPr>
          <w:rFonts w:ascii="Roboto"/>
          <w:b/>
          <w:sz w:val="22"/>
        </w:rPr>
        <w:t>of</w:t>
      </w:r>
      <w:r>
        <w:rPr>
          <w:rFonts w:ascii="Roboto"/>
          <w:b/>
          <w:spacing w:val="-2"/>
          <w:sz w:val="22"/>
        </w:rPr>
        <w:t> </w:t>
      </w:r>
      <w:r>
        <w:rPr>
          <w:rFonts w:ascii="Roboto"/>
          <w:b/>
          <w:sz w:val="22"/>
        </w:rPr>
        <w:t>Permanent </w:t>
      </w:r>
      <w:r>
        <w:rPr>
          <w:rFonts w:ascii="Roboto"/>
          <w:b/>
          <w:spacing w:val="-2"/>
          <w:sz w:val="22"/>
        </w:rPr>
        <w:t>Representatives</w:t>
      </w:r>
    </w:p>
    <w:p>
      <w:pPr>
        <w:pStyle w:val="BodyText"/>
        <w:rPr>
          <w:rFonts w:ascii="Roboto"/>
          <w:b/>
          <w:sz w:val="20"/>
        </w:rPr>
      </w:pPr>
    </w:p>
    <w:p>
      <w:pPr>
        <w:pStyle w:val="BodyText"/>
        <w:spacing w:before="155"/>
        <w:rPr>
          <w:rFonts w:ascii="Roboto"/>
          <w:b/>
          <w:sz w:val="20"/>
        </w:rPr>
      </w:pPr>
      <w:r>
        <w:rPr>
          <w:rFonts w:ascii="Roboto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630555</wp:posOffset>
                </wp:positionH>
                <wp:positionV relativeFrom="paragraph">
                  <wp:posOffset>271169</wp:posOffset>
                </wp:positionV>
                <wp:extent cx="5986145" cy="1362710"/>
                <wp:effectExtent l="0" t="0" r="0" b="0"/>
                <wp:wrapTopAndBottom/>
                <wp:docPr id="3" name="Textbox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Textbox 3"/>
                      <wps:cNvSpPr txBox="1"/>
                      <wps:spPr>
                        <a:xfrm>
                          <a:off x="0" y="0"/>
                          <a:ext cx="5986145" cy="136271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spacing w:line="278" w:lineRule="auto" w:before="71"/>
                              <w:ind w:left="144" w:right="141"/>
                              <w:jc w:val="both"/>
                              <w:rPr>
                                <w:rFonts w:ascii="Roboto"/>
                              </w:rPr>
                            </w:pPr>
                            <w:r>
                              <w:rPr>
                                <w:rFonts w:ascii="Roboto"/>
                              </w:rPr>
                              <w:t>This background document has been prepared by the Secretariat for the consideration and possible guidance by the Bureau of the Committee of Permanent Representatives.</w:t>
                            </w:r>
                          </w:p>
                          <w:p>
                            <w:pPr>
                              <w:pStyle w:val="BodyText"/>
                              <w:spacing w:before="160"/>
                              <w:ind w:left="144" w:right="137"/>
                              <w:jc w:val="both"/>
                              <w:rPr>
                                <w:rFonts w:ascii="Roboto" w:hAnsi="Roboto"/>
                              </w:rPr>
                            </w:pPr>
                            <w:r>
                              <w:rPr>
                                <w:rFonts w:ascii="Roboto" w:hAnsi="Roboto"/>
                              </w:rPr>
                              <w:t>The</w:t>
                            </w:r>
                            <w:r>
                              <w:rPr>
                                <w:rFonts w:ascii="Roboto" w:hAnsi="Roboto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rFonts w:ascii="Roboto" w:hAnsi="Roboto"/>
                              </w:rPr>
                              <w:t>note outlines guidance for</w:t>
                            </w:r>
                            <w:r>
                              <w:rPr>
                                <w:rFonts w:ascii="Roboto" w:hAnsi="Roboto"/>
                                <w:spacing w:val="-1"/>
                              </w:rPr>
                              <w:t> </w:t>
                            </w:r>
                            <w:r>
                              <w:rPr>
                                <w:rFonts w:ascii="Roboto" w:hAnsi="Roboto"/>
                              </w:rPr>
                              <w:t>the</w:t>
                            </w:r>
                            <w:r>
                              <w:rPr>
                                <w:rFonts w:ascii="Roboto" w:hAnsi="Roboto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rFonts w:ascii="Roboto" w:hAnsi="Roboto"/>
                              </w:rPr>
                              <w:t>members</w:t>
                            </w:r>
                            <w:r>
                              <w:rPr>
                                <w:rFonts w:ascii="Roboto" w:hAnsi="Roboto"/>
                                <w:spacing w:val="-2"/>
                              </w:rPr>
                              <w:t> </w:t>
                            </w:r>
                            <w:r>
                              <w:rPr>
                                <w:rFonts w:ascii="Roboto" w:hAnsi="Roboto"/>
                              </w:rPr>
                              <w:t>of the Committee of Permanent Representatives on the preparation of draft recommendations for adoption by the CPR to ensure their conformity</w:t>
                            </w:r>
                            <w:r>
                              <w:rPr>
                                <w:rFonts w:ascii="Roboto" w:hAnsi="Roboto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rFonts w:ascii="Roboto" w:hAnsi="Roboto"/>
                              </w:rPr>
                              <w:t>with</w:t>
                            </w:r>
                            <w:r>
                              <w:rPr>
                                <w:rFonts w:ascii="Roboto" w:hAnsi="Roboto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rFonts w:ascii="Roboto" w:hAnsi="Roboto"/>
                              </w:rPr>
                              <w:t>the</w:t>
                            </w:r>
                            <w:r>
                              <w:rPr>
                                <w:rFonts w:ascii="Roboto" w:hAnsi="Roboto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rFonts w:ascii="Roboto" w:hAnsi="Roboto"/>
                              </w:rPr>
                              <w:t>Committee’s</w:t>
                            </w:r>
                            <w:r>
                              <w:rPr>
                                <w:rFonts w:ascii="Roboto" w:hAnsi="Roboto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rFonts w:ascii="Roboto" w:hAnsi="Roboto"/>
                              </w:rPr>
                              <w:t>mandate</w:t>
                            </w:r>
                            <w:r>
                              <w:rPr>
                                <w:rFonts w:ascii="Roboto" w:hAnsi="Roboto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rFonts w:ascii="Roboto" w:hAnsi="Roboto"/>
                              </w:rPr>
                              <w:t>and</w:t>
                            </w:r>
                            <w:r>
                              <w:rPr>
                                <w:rFonts w:ascii="Roboto" w:hAnsi="Roboto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rFonts w:ascii="Roboto" w:hAnsi="Roboto"/>
                              </w:rPr>
                              <w:t>the</w:t>
                            </w:r>
                            <w:r>
                              <w:rPr>
                                <w:rFonts w:ascii="Roboto" w:hAnsi="Roboto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rFonts w:ascii="Roboto" w:hAnsi="Roboto"/>
                              </w:rPr>
                              <w:t>applicable</w:t>
                            </w:r>
                            <w:r>
                              <w:rPr>
                                <w:rFonts w:ascii="Roboto" w:hAnsi="Roboto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rFonts w:ascii="Roboto" w:hAnsi="Roboto"/>
                              </w:rPr>
                              <w:t>strategic</w:t>
                            </w:r>
                            <w:r>
                              <w:rPr>
                                <w:rFonts w:ascii="Roboto" w:hAnsi="Roboto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rFonts w:ascii="Roboto" w:hAnsi="Roboto"/>
                              </w:rPr>
                              <w:t>framework</w:t>
                            </w:r>
                            <w:r>
                              <w:rPr>
                                <w:rFonts w:ascii="Roboto" w:hAnsi="Roboto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rFonts w:ascii="Roboto" w:hAnsi="Roboto"/>
                              </w:rPr>
                              <w:t>of</w:t>
                            </w:r>
                            <w:r>
                              <w:rPr>
                                <w:rFonts w:ascii="Roboto" w:hAnsi="Roboto"/>
                                <w:spacing w:val="-13"/>
                              </w:rPr>
                              <w:t> </w:t>
                            </w:r>
                            <w:r>
                              <w:rPr>
                                <w:rFonts w:ascii="Roboto" w:hAnsi="Roboto"/>
                              </w:rPr>
                              <w:t>the</w:t>
                            </w:r>
                            <w:r>
                              <w:rPr>
                                <w:rFonts w:ascii="Roboto" w:hAnsi="Roboto"/>
                                <w:spacing w:val="-14"/>
                              </w:rPr>
                              <w:t> </w:t>
                            </w:r>
                            <w:r>
                              <w:rPr>
                                <w:rFonts w:ascii="Roboto" w:hAnsi="Roboto"/>
                              </w:rPr>
                              <w:t>United Nations Environment Programme (UNEP).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9.650002pt;margin-top:21.351954pt;width:471.35pt;height:107.3pt;mso-position-horizontal-relative:page;mso-position-vertical-relative:paragraph;z-index:-15728640;mso-wrap-distance-left:0;mso-wrap-distance-right:0" type="#_x0000_t202" id="docshape3" filled="false" stroked="true" strokeweight=".75pt" strokecolor="#000000">
                <v:textbox inset="0,0,0,0">
                  <w:txbxContent>
                    <w:p>
                      <w:pPr>
                        <w:pStyle w:val="BodyText"/>
                        <w:spacing w:line="278" w:lineRule="auto" w:before="71"/>
                        <w:ind w:left="144" w:right="141"/>
                        <w:jc w:val="both"/>
                        <w:rPr>
                          <w:rFonts w:ascii="Roboto"/>
                        </w:rPr>
                      </w:pPr>
                      <w:r>
                        <w:rPr>
                          <w:rFonts w:ascii="Roboto"/>
                        </w:rPr>
                        <w:t>This background document has been prepared by the Secretariat for the consideration and possible guidance by the Bureau of the Committee of Permanent Representatives.</w:t>
                      </w:r>
                    </w:p>
                    <w:p>
                      <w:pPr>
                        <w:pStyle w:val="BodyText"/>
                        <w:spacing w:before="160"/>
                        <w:ind w:left="144" w:right="137"/>
                        <w:jc w:val="both"/>
                        <w:rPr>
                          <w:rFonts w:ascii="Roboto" w:hAnsi="Roboto"/>
                        </w:rPr>
                      </w:pPr>
                      <w:r>
                        <w:rPr>
                          <w:rFonts w:ascii="Roboto" w:hAnsi="Roboto"/>
                        </w:rPr>
                        <w:t>The</w:t>
                      </w:r>
                      <w:r>
                        <w:rPr>
                          <w:rFonts w:ascii="Roboto" w:hAnsi="Roboto"/>
                          <w:spacing w:val="-2"/>
                        </w:rPr>
                        <w:t> </w:t>
                      </w:r>
                      <w:r>
                        <w:rPr>
                          <w:rFonts w:ascii="Roboto" w:hAnsi="Roboto"/>
                        </w:rPr>
                        <w:t>note outlines guidance for</w:t>
                      </w:r>
                      <w:r>
                        <w:rPr>
                          <w:rFonts w:ascii="Roboto" w:hAnsi="Roboto"/>
                          <w:spacing w:val="-1"/>
                        </w:rPr>
                        <w:t> </w:t>
                      </w:r>
                      <w:r>
                        <w:rPr>
                          <w:rFonts w:ascii="Roboto" w:hAnsi="Roboto"/>
                        </w:rPr>
                        <w:t>the</w:t>
                      </w:r>
                      <w:r>
                        <w:rPr>
                          <w:rFonts w:ascii="Roboto" w:hAnsi="Roboto"/>
                          <w:spacing w:val="-2"/>
                        </w:rPr>
                        <w:t> </w:t>
                      </w:r>
                      <w:r>
                        <w:rPr>
                          <w:rFonts w:ascii="Roboto" w:hAnsi="Roboto"/>
                        </w:rPr>
                        <w:t>members</w:t>
                      </w:r>
                      <w:r>
                        <w:rPr>
                          <w:rFonts w:ascii="Roboto" w:hAnsi="Roboto"/>
                          <w:spacing w:val="-2"/>
                        </w:rPr>
                        <w:t> </w:t>
                      </w:r>
                      <w:r>
                        <w:rPr>
                          <w:rFonts w:ascii="Roboto" w:hAnsi="Roboto"/>
                        </w:rPr>
                        <w:t>of the Committee of Permanent Representatives on the preparation of draft recommendations for adoption by the CPR to ensure their conformity</w:t>
                      </w:r>
                      <w:r>
                        <w:rPr>
                          <w:rFonts w:ascii="Roboto" w:hAnsi="Roboto"/>
                          <w:spacing w:val="-14"/>
                        </w:rPr>
                        <w:t> </w:t>
                      </w:r>
                      <w:r>
                        <w:rPr>
                          <w:rFonts w:ascii="Roboto" w:hAnsi="Roboto"/>
                        </w:rPr>
                        <w:t>with</w:t>
                      </w:r>
                      <w:r>
                        <w:rPr>
                          <w:rFonts w:ascii="Roboto" w:hAnsi="Roboto"/>
                          <w:spacing w:val="-14"/>
                        </w:rPr>
                        <w:t> </w:t>
                      </w:r>
                      <w:r>
                        <w:rPr>
                          <w:rFonts w:ascii="Roboto" w:hAnsi="Roboto"/>
                        </w:rPr>
                        <w:t>the</w:t>
                      </w:r>
                      <w:r>
                        <w:rPr>
                          <w:rFonts w:ascii="Roboto" w:hAnsi="Roboto"/>
                          <w:spacing w:val="-13"/>
                        </w:rPr>
                        <w:t> </w:t>
                      </w:r>
                      <w:r>
                        <w:rPr>
                          <w:rFonts w:ascii="Roboto" w:hAnsi="Roboto"/>
                        </w:rPr>
                        <w:t>Committee’s</w:t>
                      </w:r>
                      <w:r>
                        <w:rPr>
                          <w:rFonts w:ascii="Roboto" w:hAnsi="Roboto"/>
                          <w:spacing w:val="-14"/>
                        </w:rPr>
                        <w:t> </w:t>
                      </w:r>
                      <w:r>
                        <w:rPr>
                          <w:rFonts w:ascii="Roboto" w:hAnsi="Roboto"/>
                        </w:rPr>
                        <w:t>mandate</w:t>
                      </w:r>
                      <w:r>
                        <w:rPr>
                          <w:rFonts w:ascii="Roboto" w:hAnsi="Roboto"/>
                          <w:spacing w:val="-14"/>
                        </w:rPr>
                        <w:t> </w:t>
                      </w:r>
                      <w:r>
                        <w:rPr>
                          <w:rFonts w:ascii="Roboto" w:hAnsi="Roboto"/>
                        </w:rPr>
                        <w:t>and</w:t>
                      </w:r>
                      <w:r>
                        <w:rPr>
                          <w:rFonts w:ascii="Roboto" w:hAnsi="Roboto"/>
                          <w:spacing w:val="-13"/>
                        </w:rPr>
                        <w:t> </w:t>
                      </w:r>
                      <w:r>
                        <w:rPr>
                          <w:rFonts w:ascii="Roboto" w:hAnsi="Roboto"/>
                        </w:rPr>
                        <w:t>the</w:t>
                      </w:r>
                      <w:r>
                        <w:rPr>
                          <w:rFonts w:ascii="Roboto" w:hAnsi="Roboto"/>
                          <w:spacing w:val="-14"/>
                        </w:rPr>
                        <w:t> </w:t>
                      </w:r>
                      <w:r>
                        <w:rPr>
                          <w:rFonts w:ascii="Roboto" w:hAnsi="Roboto"/>
                        </w:rPr>
                        <w:t>applicable</w:t>
                      </w:r>
                      <w:r>
                        <w:rPr>
                          <w:rFonts w:ascii="Roboto" w:hAnsi="Roboto"/>
                          <w:spacing w:val="-13"/>
                        </w:rPr>
                        <w:t> </w:t>
                      </w:r>
                      <w:r>
                        <w:rPr>
                          <w:rFonts w:ascii="Roboto" w:hAnsi="Roboto"/>
                        </w:rPr>
                        <w:t>strategic</w:t>
                      </w:r>
                      <w:r>
                        <w:rPr>
                          <w:rFonts w:ascii="Roboto" w:hAnsi="Roboto"/>
                          <w:spacing w:val="-14"/>
                        </w:rPr>
                        <w:t> </w:t>
                      </w:r>
                      <w:r>
                        <w:rPr>
                          <w:rFonts w:ascii="Roboto" w:hAnsi="Roboto"/>
                        </w:rPr>
                        <w:t>framework</w:t>
                      </w:r>
                      <w:r>
                        <w:rPr>
                          <w:rFonts w:ascii="Roboto" w:hAnsi="Roboto"/>
                          <w:spacing w:val="-14"/>
                        </w:rPr>
                        <w:t> </w:t>
                      </w:r>
                      <w:r>
                        <w:rPr>
                          <w:rFonts w:ascii="Roboto" w:hAnsi="Roboto"/>
                        </w:rPr>
                        <w:t>of</w:t>
                      </w:r>
                      <w:r>
                        <w:rPr>
                          <w:rFonts w:ascii="Roboto" w:hAnsi="Roboto"/>
                          <w:spacing w:val="-13"/>
                        </w:rPr>
                        <w:t> </w:t>
                      </w:r>
                      <w:r>
                        <w:rPr>
                          <w:rFonts w:ascii="Roboto" w:hAnsi="Roboto"/>
                        </w:rPr>
                        <w:t>the</w:t>
                      </w:r>
                      <w:r>
                        <w:rPr>
                          <w:rFonts w:ascii="Roboto" w:hAnsi="Roboto"/>
                          <w:spacing w:val="-14"/>
                        </w:rPr>
                        <w:t> </w:t>
                      </w:r>
                      <w:r>
                        <w:rPr>
                          <w:rFonts w:ascii="Roboto" w:hAnsi="Roboto"/>
                        </w:rPr>
                        <w:t>United Nations Environment Programme (UNEP).</w:t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after="0"/>
        <w:rPr>
          <w:rFonts w:ascii="Roboto"/>
          <w:b/>
          <w:sz w:val="20"/>
        </w:rPr>
        <w:sectPr>
          <w:type w:val="continuous"/>
          <w:pgSz w:w="11910" w:h="16840"/>
          <w:pgMar w:header="0" w:footer="1094" w:top="760" w:bottom="1280" w:left="566" w:right="0"/>
        </w:sectPr>
      </w:pPr>
    </w:p>
    <w:p>
      <w:pPr>
        <w:pStyle w:val="Heading1"/>
        <w:numPr>
          <w:ilvl w:val="0"/>
          <w:numId w:val="1"/>
        </w:numPr>
        <w:tabs>
          <w:tab w:pos="1147" w:val="left" w:leader="none"/>
        </w:tabs>
        <w:spacing w:line="240" w:lineRule="auto" w:before="70" w:after="0"/>
        <w:ind w:left="1147" w:right="0" w:hanging="359"/>
        <w:jc w:val="left"/>
      </w:pPr>
      <w:r>
        <w:rPr>
          <w:spacing w:val="-2"/>
          <w:w w:val="110"/>
        </w:rPr>
        <w:t>Background</w:t>
      </w:r>
    </w:p>
    <w:p>
      <w:pPr>
        <w:pStyle w:val="BodyText"/>
        <w:spacing w:before="91"/>
        <w:rPr>
          <w:b/>
          <w:sz w:val="24"/>
        </w:rPr>
      </w:pPr>
    </w:p>
    <w:p>
      <w:pPr>
        <w:pStyle w:val="ListParagraph"/>
        <w:numPr>
          <w:ilvl w:val="1"/>
          <w:numId w:val="1"/>
        </w:numPr>
        <w:tabs>
          <w:tab w:pos="1146" w:val="left" w:leader="none"/>
          <w:tab w:pos="1148" w:val="left" w:leader="none"/>
        </w:tabs>
        <w:spacing w:line="240" w:lineRule="auto" w:before="0" w:after="0"/>
        <w:ind w:left="1148" w:right="1434" w:hanging="360"/>
        <w:jc w:val="both"/>
        <w:rPr>
          <w:sz w:val="22"/>
        </w:rPr>
      </w:pPr>
      <w:r>
        <w:rPr>
          <w:w w:val="105"/>
          <w:sz w:val="22"/>
        </w:rPr>
        <w:t>The</w:t>
      </w:r>
      <w:r>
        <w:rPr>
          <w:spacing w:val="-3"/>
          <w:w w:val="105"/>
          <w:sz w:val="22"/>
        </w:rPr>
        <w:t> </w:t>
      </w:r>
      <w:hyperlink r:id="rId6">
        <w:r>
          <w:rPr>
            <w:color w:val="467885"/>
            <w:w w:val="105"/>
            <w:sz w:val="22"/>
            <w:u w:val="single" w:color="467885"/>
          </w:rPr>
          <w:t>final</w:t>
        </w:r>
        <w:r>
          <w:rPr>
            <w:color w:val="467885"/>
            <w:w w:val="105"/>
            <w:sz w:val="22"/>
            <w:u w:val="single" w:color="467885"/>
          </w:rPr>
          <w:t> outcome</w:t>
        </w:r>
        <w:r>
          <w:rPr>
            <w:color w:val="467885"/>
            <w:w w:val="105"/>
            <w:sz w:val="22"/>
            <w:u w:val="single" w:color="467885"/>
          </w:rPr>
          <w:t> of</w:t>
        </w:r>
        <w:r>
          <w:rPr>
            <w:color w:val="467885"/>
            <w:w w:val="105"/>
            <w:sz w:val="22"/>
            <w:u w:val="single" w:color="467885"/>
          </w:rPr>
          <w:t> the</w:t>
        </w:r>
        <w:r>
          <w:rPr>
            <w:color w:val="467885"/>
            <w:w w:val="105"/>
            <w:sz w:val="22"/>
            <w:u w:val="single" w:color="467885"/>
          </w:rPr>
          <w:t> Consensual</w:t>
        </w:r>
        <w:r>
          <w:rPr>
            <w:color w:val="467885"/>
            <w:w w:val="105"/>
            <w:sz w:val="22"/>
            <w:u w:val="single" w:color="467885"/>
          </w:rPr>
          <w:t> Process</w:t>
        </w:r>
        <w:r>
          <w:rPr>
            <w:color w:val="467885"/>
            <w:w w:val="105"/>
            <w:sz w:val="22"/>
            <w:u w:val="single" w:color="467885"/>
          </w:rPr>
          <w:t> for</w:t>
        </w:r>
        <w:r>
          <w:rPr>
            <w:color w:val="467885"/>
            <w:w w:val="105"/>
            <w:sz w:val="22"/>
            <w:u w:val="single" w:color="467885"/>
          </w:rPr>
          <w:t> Review</w:t>
        </w:r>
        <w:r>
          <w:rPr>
            <w:color w:val="467885"/>
            <w:w w:val="105"/>
            <w:sz w:val="22"/>
            <w:u w:val="single" w:color="467885"/>
          </w:rPr>
          <w:t> by</w:t>
        </w:r>
        <w:r>
          <w:rPr>
            <w:color w:val="467885"/>
            <w:w w:val="105"/>
            <w:sz w:val="22"/>
            <w:u w:val="single" w:color="467885"/>
          </w:rPr>
          <w:t> the</w:t>
        </w:r>
        <w:r>
          <w:rPr>
            <w:color w:val="467885"/>
            <w:w w:val="105"/>
            <w:sz w:val="22"/>
            <w:u w:val="single" w:color="467885"/>
          </w:rPr>
          <w:t> Committee</w:t>
        </w:r>
        <w:r>
          <w:rPr>
            <w:color w:val="467885"/>
            <w:w w:val="105"/>
            <w:sz w:val="22"/>
            <w:u w:val="single" w:color="467885"/>
          </w:rPr>
          <w:t> of</w:t>
        </w:r>
        <w:r>
          <w:rPr>
            <w:color w:val="467885"/>
            <w:w w:val="105"/>
            <w:sz w:val="22"/>
            <w:u w:val="single" w:color="467885"/>
          </w:rPr>
          <w:t> Permanent</w:t>
        </w:r>
      </w:hyperlink>
      <w:r>
        <w:rPr>
          <w:color w:val="467885"/>
          <w:w w:val="105"/>
          <w:sz w:val="22"/>
          <w:u w:val="none"/>
        </w:rPr>
        <w:t> </w:t>
      </w:r>
      <w:hyperlink r:id="rId6">
        <w:r>
          <w:rPr>
            <w:color w:val="467885"/>
            <w:w w:val="105"/>
            <w:sz w:val="22"/>
            <w:u w:val="single" w:color="467885"/>
          </w:rPr>
          <w:t>Representatives</w:t>
        </w:r>
      </w:hyperlink>
      <w:r>
        <w:rPr>
          <w:color w:val="467885"/>
          <w:spacing w:val="40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endorsed</w:t>
      </w:r>
      <w:r>
        <w:rPr>
          <w:spacing w:val="-10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in</w:t>
      </w:r>
      <w:r>
        <w:rPr>
          <w:spacing w:val="-11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the</w:t>
      </w:r>
      <w:r>
        <w:rPr>
          <w:spacing w:val="-12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United</w:t>
      </w:r>
      <w:r>
        <w:rPr>
          <w:spacing w:val="-10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Nations</w:t>
      </w:r>
      <w:r>
        <w:rPr>
          <w:spacing w:val="-11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Environment</w:t>
      </w:r>
      <w:r>
        <w:rPr>
          <w:spacing w:val="-11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Assembly</w:t>
      </w:r>
      <w:r>
        <w:rPr>
          <w:spacing w:val="-6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(UNEA)</w:t>
      </w:r>
      <w:r>
        <w:rPr>
          <w:spacing w:val="-11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in</w:t>
      </w:r>
      <w:r>
        <w:rPr>
          <w:spacing w:val="-11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its</w:t>
      </w:r>
      <w:r>
        <w:rPr>
          <w:spacing w:val="-12"/>
          <w:w w:val="105"/>
          <w:sz w:val="22"/>
          <w:u w:val="none"/>
        </w:rPr>
        <w:t> </w:t>
      </w:r>
      <w:hyperlink r:id="rId7">
        <w:r>
          <w:rPr>
            <w:color w:val="467885"/>
            <w:w w:val="105"/>
            <w:sz w:val="22"/>
            <w:u w:val="single" w:color="467885"/>
          </w:rPr>
          <w:t>decision</w:t>
        </w:r>
      </w:hyperlink>
      <w:r>
        <w:rPr>
          <w:color w:val="467885"/>
          <w:w w:val="105"/>
          <w:sz w:val="22"/>
          <w:u w:val="none"/>
        </w:rPr>
        <w:t> </w:t>
      </w:r>
      <w:hyperlink r:id="rId7">
        <w:r>
          <w:rPr>
            <w:color w:val="467885"/>
            <w:w w:val="105"/>
            <w:sz w:val="22"/>
            <w:u w:val="single" w:color="467885"/>
          </w:rPr>
          <w:t>5/4,</w:t>
        </w:r>
        <w:r>
          <w:rPr>
            <w:color w:val="467885"/>
            <w:spacing w:val="-1"/>
            <w:w w:val="105"/>
            <w:sz w:val="22"/>
            <w:u w:val="single" w:color="467885"/>
          </w:rPr>
          <w:t> </w:t>
        </w:r>
        <w:r>
          <w:rPr>
            <w:color w:val="467885"/>
            <w:w w:val="105"/>
            <w:sz w:val="22"/>
            <w:u w:val="single" w:color="467885"/>
          </w:rPr>
          <w:t>paragraph 1,</w:t>
        </w:r>
      </w:hyperlink>
      <w:r>
        <w:rPr>
          <w:color w:val="467885"/>
          <w:spacing w:val="-2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provides measures</w:t>
      </w:r>
      <w:r>
        <w:rPr>
          <w:spacing w:val="-2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for the</w:t>
      </w:r>
      <w:r>
        <w:rPr>
          <w:spacing w:val="-1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improvement of</w:t>
      </w:r>
      <w:r>
        <w:rPr>
          <w:spacing w:val="-1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the</w:t>
      </w:r>
      <w:r>
        <w:rPr>
          <w:spacing w:val="-1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efficiency and</w:t>
      </w:r>
      <w:r>
        <w:rPr>
          <w:spacing w:val="-1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effectiveness of the Committee of Permanent Representatives (the Committee) of UNEA and its subsidiary </w:t>
      </w:r>
      <w:r>
        <w:rPr>
          <w:spacing w:val="-2"/>
          <w:w w:val="105"/>
          <w:sz w:val="22"/>
          <w:u w:val="none"/>
        </w:rPr>
        <w:t>bodies.</w:t>
      </w:r>
    </w:p>
    <w:p>
      <w:pPr>
        <w:pStyle w:val="BodyText"/>
        <w:spacing w:before="2"/>
      </w:pPr>
    </w:p>
    <w:p>
      <w:pPr>
        <w:pStyle w:val="ListParagraph"/>
        <w:numPr>
          <w:ilvl w:val="1"/>
          <w:numId w:val="1"/>
        </w:numPr>
        <w:tabs>
          <w:tab w:pos="1146" w:val="left" w:leader="none"/>
          <w:tab w:pos="1148" w:val="left" w:leader="none"/>
        </w:tabs>
        <w:spacing w:line="240" w:lineRule="auto" w:before="0" w:after="0"/>
        <w:ind w:left="1148" w:right="1434" w:hanging="360"/>
        <w:jc w:val="both"/>
        <w:rPr>
          <w:sz w:val="22"/>
        </w:rPr>
      </w:pPr>
      <w:r>
        <w:rPr>
          <w:w w:val="105"/>
          <w:sz w:val="22"/>
        </w:rPr>
        <w:t>The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Committee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recommended,</w:t>
      </w:r>
      <w:r>
        <w:rPr>
          <w:spacing w:val="-13"/>
          <w:w w:val="105"/>
          <w:sz w:val="22"/>
        </w:rPr>
        <w:t> </w:t>
      </w:r>
      <w:r>
        <w:rPr>
          <w:i/>
          <w:w w:val="105"/>
          <w:sz w:val="22"/>
        </w:rPr>
        <w:t>inter</w:t>
      </w:r>
      <w:r>
        <w:rPr>
          <w:i/>
          <w:spacing w:val="-12"/>
          <w:w w:val="105"/>
          <w:sz w:val="22"/>
        </w:rPr>
        <w:t> </w:t>
      </w:r>
      <w:r>
        <w:rPr>
          <w:i/>
          <w:w w:val="105"/>
          <w:sz w:val="22"/>
        </w:rPr>
        <w:t>alia</w:t>
      </w:r>
      <w:r>
        <w:rPr>
          <w:w w:val="105"/>
          <w:sz w:val="22"/>
        </w:rPr>
        <w:t>,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in</w:t>
      </w:r>
      <w:r>
        <w:rPr>
          <w:spacing w:val="-12"/>
          <w:w w:val="105"/>
          <w:sz w:val="22"/>
        </w:rPr>
        <w:t> </w:t>
      </w:r>
      <w:r>
        <w:rPr>
          <w:w w:val="105"/>
          <w:sz w:val="22"/>
        </w:rPr>
        <w:t>paragraph</w:t>
      </w:r>
      <w:r>
        <w:rPr>
          <w:spacing w:val="-12"/>
          <w:w w:val="105"/>
          <w:sz w:val="22"/>
        </w:rPr>
        <w:t> </w:t>
      </w:r>
      <w:r>
        <w:rPr>
          <w:w w:val="105"/>
          <w:sz w:val="22"/>
        </w:rPr>
        <w:t>41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(j)</w:t>
      </w:r>
      <w:r>
        <w:rPr>
          <w:spacing w:val="-12"/>
          <w:w w:val="105"/>
          <w:sz w:val="22"/>
        </w:rPr>
        <w:t> </w:t>
      </w:r>
      <w:r>
        <w:rPr>
          <w:w w:val="105"/>
          <w:sz w:val="22"/>
        </w:rPr>
        <w:t>of</w:t>
      </w:r>
      <w:r>
        <w:rPr>
          <w:spacing w:val="-12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spacing w:val="-8"/>
          <w:w w:val="105"/>
          <w:sz w:val="22"/>
        </w:rPr>
        <w:t> </w:t>
      </w:r>
      <w:hyperlink r:id="rId8">
        <w:r>
          <w:rPr>
            <w:color w:val="467885"/>
            <w:w w:val="105"/>
            <w:sz w:val="22"/>
            <w:u w:val="single" w:color="467885"/>
          </w:rPr>
          <w:t>Chair’s</w:t>
        </w:r>
        <w:r>
          <w:rPr>
            <w:color w:val="467885"/>
            <w:spacing w:val="-12"/>
            <w:w w:val="105"/>
            <w:sz w:val="22"/>
            <w:u w:val="single" w:color="467885"/>
          </w:rPr>
          <w:t> </w:t>
        </w:r>
        <w:r>
          <w:rPr>
            <w:color w:val="467885"/>
            <w:w w:val="105"/>
            <w:sz w:val="22"/>
            <w:u w:val="single" w:color="467885"/>
          </w:rPr>
          <w:t>Summary</w:t>
        </w:r>
      </w:hyperlink>
      <w:r>
        <w:rPr>
          <w:color w:val="467885"/>
          <w:spacing w:val="-4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of</w:t>
      </w:r>
      <w:r>
        <w:rPr>
          <w:spacing w:val="-12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the</w:t>
      </w:r>
      <w:r>
        <w:rPr>
          <w:spacing w:val="-6"/>
          <w:w w:val="105"/>
          <w:sz w:val="22"/>
          <w:u w:val="none"/>
        </w:rPr>
        <w:t> </w:t>
      </w:r>
      <w:hyperlink r:id="rId9">
        <w:r>
          <w:rPr>
            <w:color w:val="467885"/>
            <w:w w:val="105"/>
            <w:sz w:val="22"/>
            <w:u w:val="single" w:color="467885"/>
          </w:rPr>
          <w:t>9th</w:t>
        </w:r>
      </w:hyperlink>
      <w:r>
        <w:rPr>
          <w:color w:val="467885"/>
          <w:w w:val="105"/>
          <w:sz w:val="22"/>
          <w:u w:val="none"/>
        </w:rPr>
        <w:t> </w:t>
      </w:r>
      <w:hyperlink r:id="rId9">
        <w:r>
          <w:rPr>
            <w:color w:val="467885"/>
            <w:w w:val="105"/>
            <w:sz w:val="22"/>
            <w:u w:val="single" w:color="467885"/>
          </w:rPr>
          <w:t>annual</w:t>
        </w:r>
        <w:r>
          <w:rPr>
            <w:color w:val="467885"/>
            <w:w w:val="105"/>
            <w:sz w:val="22"/>
            <w:u w:val="single" w:color="467885"/>
          </w:rPr>
          <w:t> subcommittee</w:t>
        </w:r>
        <w:r>
          <w:rPr>
            <w:color w:val="467885"/>
            <w:w w:val="105"/>
            <w:sz w:val="22"/>
            <w:u w:val="single" w:color="467885"/>
          </w:rPr>
          <w:t> meeting</w:t>
        </w:r>
      </w:hyperlink>
      <w:r>
        <w:rPr>
          <w:color w:val="467885"/>
          <w:w w:val="105"/>
          <w:sz w:val="22"/>
          <w:u w:val="single" w:color="467885"/>
        </w:rPr>
        <w:t> </w:t>
      </w:r>
      <w:r>
        <w:rPr>
          <w:w w:val="105"/>
          <w:sz w:val="22"/>
          <w:u w:val="none"/>
        </w:rPr>
        <w:t>,</w:t>
      </w:r>
      <w:r>
        <w:rPr>
          <w:spacing w:val="40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that</w:t>
      </w:r>
      <w:r>
        <w:rPr>
          <w:w w:val="105"/>
          <w:sz w:val="22"/>
          <w:u w:val="none"/>
        </w:rPr>
        <w:t> the Bureau</w:t>
      </w:r>
      <w:r>
        <w:rPr>
          <w:w w:val="105"/>
          <w:sz w:val="22"/>
          <w:u w:val="none"/>
        </w:rPr>
        <w:t> of</w:t>
      </w:r>
      <w:r>
        <w:rPr>
          <w:w w:val="105"/>
          <w:sz w:val="22"/>
          <w:u w:val="none"/>
        </w:rPr>
        <w:t> the</w:t>
      </w:r>
      <w:r>
        <w:rPr>
          <w:w w:val="105"/>
          <w:sz w:val="22"/>
          <w:u w:val="none"/>
        </w:rPr>
        <w:t> Committee,</w:t>
      </w:r>
      <w:r>
        <w:rPr>
          <w:w w:val="105"/>
          <w:sz w:val="22"/>
          <w:u w:val="none"/>
        </w:rPr>
        <w:t> supported</w:t>
      </w:r>
      <w:r>
        <w:rPr>
          <w:w w:val="105"/>
          <w:sz w:val="22"/>
          <w:u w:val="none"/>
        </w:rPr>
        <w:t> by</w:t>
      </w:r>
      <w:r>
        <w:rPr>
          <w:w w:val="105"/>
          <w:sz w:val="22"/>
          <w:u w:val="none"/>
        </w:rPr>
        <w:t> the Secretariat, clearly</w:t>
      </w:r>
      <w:r>
        <w:rPr>
          <w:w w:val="105"/>
          <w:sz w:val="22"/>
          <w:u w:val="none"/>
        </w:rPr>
        <w:t> outline</w:t>
      </w:r>
      <w:r>
        <w:rPr>
          <w:w w:val="105"/>
          <w:sz w:val="22"/>
          <w:u w:val="none"/>
        </w:rPr>
        <w:t> agreed</w:t>
      </w:r>
      <w:r>
        <w:rPr>
          <w:w w:val="105"/>
          <w:sz w:val="22"/>
          <w:u w:val="none"/>
        </w:rPr>
        <w:t> recommendations</w:t>
      </w:r>
      <w:r>
        <w:rPr>
          <w:w w:val="105"/>
          <w:sz w:val="22"/>
          <w:u w:val="none"/>
        </w:rPr>
        <w:t> and</w:t>
      </w:r>
      <w:r>
        <w:rPr>
          <w:w w:val="105"/>
          <w:sz w:val="22"/>
          <w:u w:val="none"/>
        </w:rPr>
        <w:t> decisions</w:t>
      </w:r>
      <w:r>
        <w:rPr>
          <w:w w:val="105"/>
          <w:sz w:val="22"/>
          <w:u w:val="none"/>
        </w:rPr>
        <w:t> in</w:t>
      </w:r>
      <w:r>
        <w:rPr>
          <w:w w:val="105"/>
          <w:sz w:val="22"/>
          <w:u w:val="none"/>
        </w:rPr>
        <w:t> the</w:t>
      </w:r>
      <w:r>
        <w:rPr>
          <w:w w:val="105"/>
          <w:sz w:val="22"/>
          <w:u w:val="none"/>
        </w:rPr>
        <w:t> report</w:t>
      </w:r>
      <w:r>
        <w:rPr>
          <w:w w:val="105"/>
          <w:sz w:val="22"/>
          <w:u w:val="none"/>
        </w:rPr>
        <w:t> of</w:t>
      </w:r>
      <w:r>
        <w:rPr>
          <w:w w:val="105"/>
          <w:sz w:val="22"/>
          <w:u w:val="none"/>
        </w:rPr>
        <w:t> the Committee, with the understanding that there is a specific agenda item during which those recommendations are agreed upon.</w:t>
      </w:r>
    </w:p>
    <w:p>
      <w:pPr>
        <w:pStyle w:val="BodyText"/>
        <w:spacing w:before="42"/>
      </w:pPr>
    </w:p>
    <w:p>
      <w:pPr>
        <w:pStyle w:val="ListParagraph"/>
        <w:numPr>
          <w:ilvl w:val="1"/>
          <w:numId w:val="1"/>
        </w:numPr>
        <w:tabs>
          <w:tab w:pos="1146" w:val="left" w:leader="none"/>
          <w:tab w:pos="1148" w:val="left" w:leader="none"/>
        </w:tabs>
        <w:spacing w:line="240" w:lineRule="auto" w:before="0" w:after="0"/>
        <w:ind w:left="1148" w:right="1434" w:hanging="360"/>
        <w:jc w:val="both"/>
        <w:rPr>
          <w:sz w:val="22"/>
        </w:rPr>
      </w:pPr>
      <w:r>
        <w:rPr>
          <w:w w:val="105"/>
          <w:sz w:val="22"/>
        </w:rPr>
        <w:t>The Committee, in the </w:t>
      </w:r>
      <w:hyperlink r:id="rId10">
        <w:r>
          <w:rPr>
            <w:color w:val="467885"/>
            <w:w w:val="105"/>
            <w:sz w:val="22"/>
            <w:u w:val="single" w:color="467885"/>
          </w:rPr>
          <w:t>guidance on the organization of its work</w:t>
        </w:r>
      </w:hyperlink>
      <w:r>
        <w:rPr>
          <w:color w:val="467885"/>
          <w:w w:val="105"/>
          <w:sz w:val="22"/>
          <w:u w:val="single" w:color="467885"/>
        </w:rPr>
        <w:t> </w:t>
      </w:r>
      <w:r>
        <w:rPr>
          <w:w w:val="105"/>
          <w:sz w:val="22"/>
          <w:u w:val="none"/>
        </w:rPr>
        <w:t>as endorsed at the</w:t>
      </w:r>
      <w:r>
        <w:rPr>
          <w:spacing w:val="40"/>
          <w:w w:val="105"/>
          <w:sz w:val="22"/>
          <w:u w:val="none"/>
        </w:rPr>
        <w:t> </w:t>
      </w:r>
      <w:hyperlink r:id="rId11">
        <w:r>
          <w:rPr>
            <w:color w:val="467885"/>
            <w:w w:val="105"/>
            <w:sz w:val="22"/>
            <w:u w:val="single" w:color="467885"/>
          </w:rPr>
          <w:t>resumed</w:t>
        </w:r>
      </w:hyperlink>
      <w:r>
        <w:rPr>
          <w:color w:val="467885"/>
          <w:w w:val="105"/>
          <w:sz w:val="22"/>
          <w:u w:val="none"/>
        </w:rPr>
        <w:t> </w:t>
      </w:r>
      <w:hyperlink r:id="rId11">
        <w:r>
          <w:rPr>
            <w:color w:val="467885"/>
            <w:w w:val="105"/>
            <w:sz w:val="22"/>
            <w:u w:val="single" w:color="467885"/>
          </w:rPr>
          <w:t>162nd</w:t>
        </w:r>
        <w:r>
          <w:rPr>
            <w:color w:val="467885"/>
            <w:spacing w:val="-13"/>
            <w:w w:val="105"/>
            <w:sz w:val="22"/>
            <w:u w:val="single" w:color="467885"/>
          </w:rPr>
          <w:t> </w:t>
        </w:r>
        <w:r>
          <w:rPr>
            <w:color w:val="467885"/>
            <w:w w:val="105"/>
            <w:sz w:val="22"/>
            <w:u w:val="single" w:color="467885"/>
          </w:rPr>
          <w:t>meeting</w:t>
        </w:r>
        <w:r>
          <w:rPr>
            <w:color w:val="467885"/>
            <w:spacing w:val="-11"/>
            <w:w w:val="105"/>
            <w:sz w:val="22"/>
            <w:u w:val="single" w:color="467885"/>
          </w:rPr>
          <w:t> </w:t>
        </w:r>
        <w:r>
          <w:rPr>
            <w:color w:val="467885"/>
            <w:w w:val="105"/>
            <w:sz w:val="22"/>
            <w:u w:val="single" w:color="467885"/>
          </w:rPr>
          <w:t>of</w:t>
        </w:r>
        <w:r>
          <w:rPr>
            <w:color w:val="467885"/>
            <w:spacing w:val="-11"/>
            <w:w w:val="105"/>
            <w:sz w:val="22"/>
            <w:u w:val="single" w:color="467885"/>
          </w:rPr>
          <w:t> </w:t>
        </w:r>
        <w:r>
          <w:rPr>
            <w:color w:val="467885"/>
            <w:w w:val="105"/>
            <w:sz w:val="22"/>
            <w:u w:val="single" w:color="467885"/>
          </w:rPr>
          <w:t>the</w:t>
        </w:r>
        <w:r>
          <w:rPr>
            <w:color w:val="467885"/>
            <w:spacing w:val="-13"/>
            <w:w w:val="105"/>
            <w:sz w:val="22"/>
            <w:u w:val="single" w:color="467885"/>
          </w:rPr>
          <w:t> </w:t>
        </w:r>
        <w:r>
          <w:rPr>
            <w:color w:val="467885"/>
            <w:w w:val="105"/>
            <w:sz w:val="22"/>
            <w:u w:val="single" w:color="467885"/>
          </w:rPr>
          <w:t>CPR</w:t>
        </w:r>
      </w:hyperlink>
      <w:r>
        <w:rPr>
          <w:w w:val="105"/>
          <w:sz w:val="22"/>
          <w:u w:val="none"/>
        </w:rPr>
        <w:t>,</w:t>
      </w:r>
      <w:r>
        <w:rPr>
          <w:spacing w:val="-12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further</w:t>
      </w:r>
      <w:r>
        <w:rPr>
          <w:spacing w:val="-11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recommended</w:t>
      </w:r>
      <w:r>
        <w:rPr>
          <w:spacing w:val="-11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that</w:t>
      </w:r>
      <w:r>
        <w:rPr>
          <w:spacing w:val="-11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the</w:t>
      </w:r>
      <w:r>
        <w:rPr>
          <w:spacing w:val="-13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subcommittee</w:t>
      </w:r>
      <w:r>
        <w:rPr>
          <w:spacing w:val="-13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may,</w:t>
      </w:r>
      <w:r>
        <w:rPr>
          <w:spacing w:val="-14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as</w:t>
      </w:r>
      <w:r>
        <w:rPr>
          <w:spacing w:val="-10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appropriate, prepare</w:t>
      </w:r>
      <w:r>
        <w:rPr>
          <w:spacing w:val="-12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draft</w:t>
      </w:r>
      <w:r>
        <w:rPr>
          <w:spacing w:val="-13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decisions</w:t>
      </w:r>
      <w:r>
        <w:rPr>
          <w:spacing w:val="-10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or</w:t>
      </w:r>
      <w:r>
        <w:rPr>
          <w:spacing w:val="-10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recommendations</w:t>
      </w:r>
      <w:r>
        <w:rPr>
          <w:spacing w:val="-10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to</w:t>
      </w:r>
      <w:r>
        <w:rPr>
          <w:spacing w:val="-10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be</w:t>
      </w:r>
      <w:r>
        <w:rPr>
          <w:spacing w:val="-12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included</w:t>
      </w:r>
      <w:r>
        <w:rPr>
          <w:spacing w:val="-10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in</w:t>
      </w:r>
      <w:r>
        <w:rPr>
          <w:spacing w:val="-10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the</w:t>
      </w:r>
      <w:r>
        <w:rPr>
          <w:spacing w:val="-12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report</w:t>
      </w:r>
      <w:r>
        <w:rPr>
          <w:spacing w:val="-10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of</w:t>
      </w:r>
      <w:r>
        <w:rPr>
          <w:spacing w:val="-10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the</w:t>
      </w:r>
      <w:r>
        <w:rPr>
          <w:spacing w:val="-9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subcommittee for consideration at the quarterly meetings of the Committee.</w:t>
      </w:r>
    </w:p>
    <w:p>
      <w:pPr>
        <w:pStyle w:val="ListParagraph"/>
        <w:numPr>
          <w:ilvl w:val="1"/>
          <w:numId w:val="1"/>
        </w:numPr>
        <w:tabs>
          <w:tab w:pos="1146" w:val="left" w:leader="none"/>
          <w:tab w:pos="1148" w:val="left" w:leader="none"/>
        </w:tabs>
        <w:spacing w:line="240" w:lineRule="auto" w:before="268" w:after="0"/>
        <w:ind w:left="1148" w:right="1432" w:hanging="360"/>
        <w:jc w:val="both"/>
        <w:rPr>
          <w:sz w:val="22"/>
        </w:rPr>
      </w:pPr>
      <w:r>
        <w:rPr>
          <w:w w:val="105"/>
          <w:sz w:val="22"/>
        </w:rPr>
        <w:t>The Committee, in its </w:t>
      </w:r>
      <w:hyperlink r:id="rId12">
        <w:r>
          <w:rPr>
            <w:color w:val="467885"/>
            <w:w w:val="105"/>
            <w:sz w:val="22"/>
            <w:u w:val="single" w:color="467885"/>
          </w:rPr>
          <w:t>Decision 167/2</w:t>
        </w:r>
      </w:hyperlink>
      <w:r>
        <w:rPr>
          <w:w w:val="105"/>
          <w:sz w:val="22"/>
          <w:u w:val="none"/>
        </w:rPr>
        <w:t>, paragraph 2, adopted at its 167th meeting, requested the secretariat, as a general rule, to compile and circulate, in a standalone document, in a standardized</w:t>
      </w:r>
      <w:r>
        <w:rPr>
          <w:spacing w:val="-2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format,</w:t>
      </w:r>
      <w:r>
        <w:rPr>
          <w:spacing w:val="-3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any</w:t>
      </w:r>
      <w:r>
        <w:rPr>
          <w:spacing w:val="-4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draft</w:t>
      </w:r>
      <w:r>
        <w:rPr>
          <w:spacing w:val="-2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decisions</w:t>
      </w:r>
      <w:r>
        <w:rPr>
          <w:spacing w:val="-2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or</w:t>
      </w:r>
      <w:r>
        <w:rPr>
          <w:spacing w:val="-2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draft</w:t>
      </w:r>
      <w:r>
        <w:rPr>
          <w:spacing w:val="-2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recommendations</w:t>
      </w:r>
      <w:r>
        <w:rPr>
          <w:spacing w:val="-2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proposed by members</w:t>
      </w:r>
      <w:r>
        <w:rPr>
          <w:spacing w:val="-2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of the</w:t>
      </w:r>
      <w:r>
        <w:rPr>
          <w:spacing w:val="-10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Committee</w:t>
      </w:r>
      <w:r>
        <w:rPr>
          <w:spacing w:val="-10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at</w:t>
      </w:r>
      <w:r>
        <w:rPr>
          <w:spacing w:val="-8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subcommittee</w:t>
      </w:r>
      <w:r>
        <w:rPr>
          <w:spacing w:val="-10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meetings</w:t>
      </w:r>
      <w:r>
        <w:rPr>
          <w:spacing w:val="-8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for</w:t>
      </w:r>
      <w:r>
        <w:rPr>
          <w:spacing w:val="-8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consideration</w:t>
      </w:r>
      <w:r>
        <w:rPr>
          <w:spacing w:val="-11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by</w:t>
      </w:r>
      <w:r>
        <w:rPr>
          <w:spacing w:val="-11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the</w:t>
      </w:r>
      <w:r>
        <w:rPr>
          <w:spacing w:val="-7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Committee</w:t>
      </w:r>
      <w:r>
        <w:rPr>
          <w:spacing w:val="-10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at</w:t>
      </w:r>
      <w:r>
        <w:rPr>
          <w:spacing w:val="-8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its</w:t>
      </w:r>
      <w:r>
        <w:rPr>
          <w:spacing w:val="-8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quarterly </w:t>
      </w:r>
      <w:r>
        <w:rPr>
          <w:spacing w:val="-2"/>
          <w:w w:val="105"/>
          <w:sz w:val="22"/>
          <w:u w:val="none"/>
        </w:rPr>
        <w:t>meetings.</w:t>
      </w:r>
    </w:p>
    <w:p>
      <w:pPr>
        <w:pStyle w:val="BodyText"/>
        <w:spacing w:before="2"/>
      </w:pPr>
    </w:p>
    <w:p>
      <w:pPr>
        <w:pStyle w:val="ListParagraph"/>
        <w:numPr>
          <w:ilvl w:val="1"/>
          <w:numId w:val="1"/>
        </w:numPr>
        <w:tabs>
          <w:tab w:pos="1146" w:val="left" w:leader="none"/>
          <w:tab w:pos="1148" w:val="left" w:leader="none"/>
        </w:tabs>
        <w:spacing w:line="240" w:lineRule="auto" w:before="0" w:after="0"/>
        <w:ind w:left="1148" w:right="1432" w:hanging="360"/>
        <w:jc w:val="both"/>
        <w:rPr>
          <w:sz w:val="22"/>
        </w:rPr>
      </w:pPr>
      <w:r>
        <w:rPr>
          <w:w w:val="105"/>
          <w:sz w:val="22"/>
        </w:rPr>
        <w:t>The</w:t>
      </w:r>
      <w:r>
        <w:rPr>
          <w:spacing w:val="-14"/>
          <w:w w:val="105"/>
          <w:sz w:val="22"/>
        </w:rPr>
        <w:t> </w:t>
      </w:r>
      <w:r>
        <w:rPr>
          <w:w w:val="105"/>
          <w:sz w:val="22"/>
        </w:rPr>
        <w:t>Committee,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in</w:t>
      </w:r>
      <w:r>
        <w:rPr>
          <w:spacing w:val="-13"/>
          <w:w w:val="105"/>
          <w:sz w:val="22"/>
        </w:rPr>
        <w:t> </w:t>
      </w:r>
      <w:r>
        <w:rPr>
          <w:w w:val="105"/>
          <w:sz w:val="22"/>
        </w:rPr>
        <w:t>its</w:t>
      </w:r>
      <w:r>
        <w:rPr>
          <w:spacing w:val="-10"/>
          <w:w w:val="105"/>
          <w:sz w:val="22"/>
        </w:rPr>
        <w:t> </w:t>
      </w:r>
      <w:hyperlink r:id="rId12">
        <w:r>
          <w:rPr>
            <w:color w:val="467885"/>
            <w:w w:val="105"/>
            <w:sz w:val="22"/>
            <w:u w:val="single" w:color="467885"/>
          </w:rPr>
          <w:t>Decision</w:t>
        </w:r>
        <w:r>
          <w:rPr>
            <w:color w:val="467885"/>
            <w:spacing w:val="-9"/>
            <w:w w:val="105"/>
            <w:sz w:val="22"/>
            <w:u w:val="single" w:color="467885"/>
          </w:rPr>
          <w:t> </w:t>
        </w:r>
        <w:r>
          <w:rPr>
            <w:color w:val="467885"/>
            <w:w w:val="105"/>
            <w:sz w:val="22"/>
            <w:u w:val="single" w:color="467885"/>
          </w:rPr>
          <w:t>167/2</w:t>
        </w:r>
      </w:hyperlink>
      <w:r>
        <w:rPr>
          <w:w w:val="105"/>
          <w:sz w:val="24"/>
          <w:u w:val="none"/>
        </w:rPr>
        <w:t>,</w:t>
      </w:r>
      <w:r>
        <w:rPr>
          <w:spacing w:val="-13"/>
          <w:w w:val="105"/>
          <w:sz w:val="24"/>
          <w:u w:val="none"/>
        </w:rPr>
        <w:t> </w:t>
      </w:r>
      <w:r>
        <w:rPr>
          <w:w w:val="105"/>
          <w:sz w:val="22"/>
          <w:u w:val="none"/>
        </w:rPr>
        <w:t>paragraph</w:t>
      </w:r>
      <w:r>
        <w:rPr>
          <w:spacing w:val="-11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1,</w:t>
      </w:r>
      <w:r>
        <w:rPr>
          <w:spacing w:val="-14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also</w:t>
      </w:r>
      <w:r>
        <w:rPr>
          <w:spacing w:val="-12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requested</w:t>
      </w:r>
      <w:r>
        <w:rPr>
          <w:spacing w:val="-11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the</w:t>
      </w:r>
      <w:r>
        <w:rPr>
          <w:spacing w:val="-14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Secretariat</w:t>
      </w:r>
      <w:r>
        <w:rPr>
          <w:spacing w:val="67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“to</w:t>
      </w:r>
      <w:r>
        <w:rPr>
          <w:spacing w:val="-14"/>
          <w:w w:val="105"/>
          <w:sz w:val="22"/>
          <w:u w:val="none"/>
        </w:rPr>
        <w:t> </w:t>
      </w:r>
      <w:r>
        <w:rPr>
          <w:w w:val="105"/>
          <w:sz w:val="22"/>
          <w:u w:val="none"/>
        </w:rPr>
        <w:t>prepare [...]</w:t>
      </w:r>
      <w:r>
        <w:rPr>
          <w:w w:val="105"/>
          <w:sz w:val="22"/>
          <w:u w:val="none"/>
        </w:rPr>
        <w:t> a</w:t>
      </w:r>
      <w:r>
        <w:rPr>
          <w:w w:val="105"/>
          <w:sz w:val="22"/>
          <w:u w:val="none"/>
        </w:rPr>
        <w:t> note</w:t>
      </w:r>
      <w:r>
        <w:rPr>
          <w:w w:val="105"/>
          <w:sz w:val="22"/>
          <w:u w:val="none"/>
        </w:rPr>
        <w:t> on</w:t>
      </w:r>
      <w:r>
        <w:rPr>
          <w:w w:val="105"/>
          <w:sz w:val="22"/>
          <w:u w:val="none"/>
        </w:rPr>
        <w:t> the</w:t>
      </w:r>
      <w:r>
        <w:rPr>
          <w:w w:val="105"/>
          <w:sz w:val="22"/>
          <w:u w:val="none"/>
        </w:rPr>
        <w:t> mandate</w:t>
      </w:r>
      <w:r>
        <w:rPr>
          <w:w w:val="105"/>
          <w:sz w:val="22"/>
          <w:u w:val="none"/>
        </w:rPr>
        <w:t> of</w:t>
      </w:r>
      <w:r>
        <w:rPr>
          <w:w w:val="105"/>
          <w:sz w:val="22"/>
          <w:u w:val="none"/>
        </w:rPr>
        <w:t> the</w:t>
      </w:r>
      <w:r>
        <w:rPr>
          <w:w w:val="105"/>
          <w:sz w:val="22"/>
          <w:u w:val="none"/>
        </w:rPr>
        <w:t> Committee”.</w:t>
      </w:r>
      <w:r>
        <w:rPr>
          <w:w w:val="105"/>
          <w:sz w:val="22"/>
          <w:u w:val="none"/>
        </w:rPr>
        <w:t> The</w:t>
      </w:r>
      <w:r>
        <w:rPr>
          <w:w w:val="105"/>
          <w:sz w:val="22"/>
          <w:u w:val="none"/>
        </w:rPr>
        <w:t> Secretariat</w:t>
      </w:r>
      <w:r>
        <w:rPr>
          <w:w w:val="105"/>
          <w:sz w:val="22"/>
          <w:u w:val="none"/>
        </w:rPr>
        <w:t> circulated</w:t>
      </w:r>
      <w:r>
        <w:rPr>
          <w:w w:val="105"/>
          <w:sz w:val="22"/>
          <w:u w:val="none"/>
        </w:rPr>
        <w:t> the</w:t>
      </w:r>
      <w:r>
        <w:rPr>
          <w:w w:val="105"/>
          <w:sz w:val="22"/>
          <w:u w:val="none"/>
        </w:rPr>
        <w:t> note</w:t>
      </w:r>
      <w:r>
        <w:rPr>
          <w:w w:val="105"/>
          <w:sz w:val="22"/>
          <w:u w:val="none"/>
        </w:rPr>
        <w:t> on</w:t>
      </w:r>
      <w:r>
        <w:rPr>
          <w:w w:val="105"/>
          <w:sz w:val="22"/>
          <w:u w:val="none"/>
        </w:rPr>
        <w:t> 16 September 2024 (available </w:t>
      </w:r>
      <w:hyperlink r:id="rId13">
        <w:r>
          <w:rPr>
            <w:color w:val="467885"/>
            <w:w w:val="105"/>
            <w:sz w:val="22"/>
            <w:u w:val="single" w:color="467885"/>
          </w:rPr>
          <w:t>here</w:t>
        </w:r>
      </w:hyperlink>
      <w:r>
        <w:rPr>
          <w:w w:val="105"/>
          <w:sz w:val="24"/>
          <w:u w:val="none"/>
        </w:rPr>
        <w:t>)</w:t>
      </w:r>
      <w:r>
        <w:rPr>
          <w:w w:val="105"/>
          <w:sz w:val="22"/>
          <w:u w:val="none"/>
        </w:rPr>
        <w:t>.</w:t>
      </w:r>
    </w:p>
    <w:p>
      <w:pPr>
        <w:pStyle w:val="BodyText"/>
      </w:pPr>
    </w:p>
    <w:p>
      <w:pPr>
        <w:pStyle w:val="Heading1"/>
        <w:numPr>
          <w:ilvl w:val="0"/>
          <w:numId w:val="1"/>
        </w:numPr>
        <w:tabs>
          <w:tab w:pos="1147" w:val="left" w:leader="none"/>
        </w:tabs>
        <w:spacing w:line="240" w:lineRule="auto" w:before="0" w:after="0"/>
        <w:ind w:left="1147" w:right="0" w:hanging="359"/>
        <w:jc w:val="left"/>
        <w:rPr>
          <w:sz w:val="22"/>
        </w:rPr>
      </w:pPr>
      <w:r>
        <w:rPr>
          <w:spacing w:val="-2"/>
          <w:w w:val="110"/>
        </w:rPr>
        <w:t>Guidance</w:t>
      </w:r>
    </w:p>
    <w:p>
      <w:pPr>
        <w:pStyle w:val="BodyText"/>
        <w:spacing w:before="21"/>
        <w:rPr>
          <w:b/>
          <w:sz w:val="24"/>
        </w:rPr>
      </w:pPr>
    </w:p>
    <w:p>
      <w:pPr>
        <w:pStyle w:val="ListParagraph"/>
        <w:numPr>
          <w:ilvl w:val="0"/>
          <w:numId w:val="2"/>
        </w:numPr>
        <w:tabs>
          <w:tab w:pos="1146" w:val="left" w:leader="none"/>
        </w:tabs>
        <w:spacing w:line="240" w:lineRule="auto" w:before="1" w:after="0"/>
        <w:ind w:left="1146" w:right="0" w:hanging="358"/>
        <w:jc w:val="left"/>
        <w:rPr>
          <w:sz w:val="22"/>
        </w:rPr>
      </w:pPr>
      <w:r>
        <w:rPr>
          <w:spacing w:val="-2"/>
          <w:w w:val="105"/>
          <w:sz w:val="22"/>
        </w:rPr>
        <w:t>When</w:t>
      </w:r>
      <w:r>
        <w:rPr>
          <w:w w:val="105"/>
          <w:sz w:val="22"/>
        </w:rPr>
        <w:t> </w:t>
      </w:r>
      <w:r>
        <w:rPr>
          <w:spacing w:val="-2"/>
          <w:w w:val="105"/>
          <w:sz w:val="22"/>
        </w:rPr>
        <w:t>drafting</w:t>
      </w:r>
      <w:r>
        <w:rPr>
          <w:spacing w:val="3"/>
          <w:w w:val="105"/>
          <w:sz w:val="22"/>
        </w:rPr>
        <w:t> </w:t>
      </w:r>
      <w:r>
        <w:rPr>
          <w:spacing w:val="-2"/>
          <w:w w:val="105"/>
          <w:sz w:val="22"/>
        </w:rPr>
        <w:t>a</w:t>
      </w:r>
      <w:r>
        <w:rPr>
          <w:spacing w:val="1"/>
          <w:w w:val="105"/>
          <w:sz w:val="22"/>
        </w:rPr>
        <w:t> </w:t>
      </w:r>
      <w:r>
        <w:rPr>
          <w:spacing w:val="-2"/>
          <w:w w:val="105"/>
          <w:sz w:val="22"/>
        </w:rPr>
        <w:t>recommendation,</w:t>
      </w:r>
      <w:r>
        <w:rPr>
          <w:spacing w:val="2"/>
          <w:w w:val="105"/>
          <w:sz w:val="22"/>
        </w:rPr>
        <w:t> </w:t>
      </w:r>
      <w:r>
        <w:rPr>
          <w:spacing w:val="-2"/>
          <w:w w:val="105"/>
          <w:sz w:val="22"/>
        </w:rPr>
        <w:t>proponents</w:t>
      </w:r>
      <w:r>
        <w:rPr>
          <w:spacing w:val="2"/>
          <w:w w:val="105"/>
          <w:sz w:val="22"/>
        </w:rPr>
        <w:t> </w:t>
      </w:r>
      <w:r>
        <w:rPr>
          <w:spacing w:val="-2"/>
          <w:w w:val="105"/>
          <w:sz w:val="22"/>
        </w:rPr>
        <w:t>should:</w:t>
      </w:r>
    </w:p>
    <w:p>
      <w:pPr>
        <w:pStyle w:val="BodyText"/>
      </w:pPr>
    </w:p>
    <w:p>
      <w:pPr>
        <w:pStyle w:val="ListParagraph"/>
        <w:numPr>
          <w:ilvl w:val="1"/>
          <w:numId w:val="2"/>
        </w:numPr>
        <w:tabs>
          <w:tab w:pos="1507" w:val="left" w:leader="none"/>
        </w:tabs>
        <w:spacing w:line="240" w:lineRule="auto" w:before="0" w:after="0"/>
        <w:ind w:left="1507" w:right="0" w:hanging="359"/>
        <w:jc w:val="both"/>
        <w:rPr>
          <w:sz w:val="22"/>
        </w:rPr>
      </w:pPr>
      <w:r>
        <w:rPr>
          <w:w w:val="105"/>
          <w:sz w:val="22"/>
        </w:rPr>
        <w:t>Ensure</w:t>
      </w:r>
      <w:r>
        <w:rPr>
          <w:spacing w:val="-3"/>
          <w:w w:val="105"/>
          <w:sz w:val="22"/>
        </w:rPr>
        <w:t> </w:t>
      </w:r>
      <w:r>
        <w:rPr>
          <w:w w:val="105"/>
          <w:sz w:val="22"/>
        </w:rPr>
        <w:t>its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compliance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with</w:t>
      </w:r>
      <w:r>
        <w:rPr>
          <w:spacing w:val="-1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mandate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of</w:t>
      </w:r>
      <w:r>
        <w:rPr>
          <w:spacing w:val="-1"/>
          <w:w w:val="105"/>
          <w:sz w:val="22"/>
        </w:rPr>
        <w:t> </w:t>
      </w:r>
      <w:r>
        <w:rPr>
          <w:w w:val="105"/>
          <w:sz w:val="22"/>
        </w:rPr>
        <w:t>the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Committee;</w:t>
      </w:r>
      <w:r>
        <w:rPr>
          <w:spacing w:val="-3"/>
          <w:w w:val="105"/>
          <w:sz w:val="22"/>
        </w:rPr>
        <w:t> </w:t>
      </w:r>
      <w:r>
        <w:rPr>
          <w:spacing w:val="-5"/>
          <w:w w:val="105"/>
          <w:sz w:val="22"/>
        </w:rPr>
        <w:t>and</w:t>
      </w:r>
    </w:p>
    <w:p>
      <w:pPr>
        <w:pStyle w:val="ListParagraph"/>
        <w:numPr>
          <w:ilvl w:val="1"/>
          <w:numId w:val="2"/>
        </w:numPr>
        <w:tabs>
          <w:tab w:pos="1506" w:val="left" w:leader="none"/>
          <w:tab w:pos="1508" w:val="left" w:leader="none"/>
        </w:tabs>
        <w:spacing w:line="240" w:lineRule="auto" w:before="0" w:after="0"/>
        <w:ind w:left="1508" w:right="1432" w:hanging="360"/>
        <w:jc w:val="both"/>
        <w:rPr>
          <w:sz w:val="22"/>
        </w:rPr>
      </w:pPr>
      <w:r>
        <w:rPr>
          <w:spacing w:val="-2"/>
          <w:w w:val="105"/>
          <w:sz w:val="22"/>
        </w:rPr>
        <w:t>Ensure its alignment with</w:t>
      </w:r>
      <w:r>
        <w:rPr>
          <w:spacing w:val="-5"/>
          <w:w w:val="105"/>
          <w:sz w:val="22"/>
        </w:rPr>
        <w:t> </w:t>
      </w:r>
      <w:r>
        <w:rPr>
          <w:spacing w:val="-2"/>
          <w:w w:val="105"/>
          <w:sz w:val="22"/>
        </w:rPr>
        <w:t>UNEP’s Medium-Term</w:t>
      </w:r>
      <w:r>
        <w:rPr>
          <w:spacing w:val="-4"/>
          <w:w w:val="105"/>
          <w:sz w:val="22"/>
        </w:rPr>
        <w:t> </w:t>
      </w:r>
      <w:r>
        <w:rPr>
          <w:spacing w:val="-2"/>
          <w:w w:val="105"/>
          <w:sz w:val="22"/>
        </w:rPr>
        <w:t>Strategy, Programme</w:t>
      </w:r>
      <w:r>
        <w:rPr>
          <w:spacing w:val="-5"/>
          <w:w w:val="105"/>
          <w:sz w:val="22"/>
        </w:rPr>
        <w:t> </w:t>
      </w:r>
      <w:r>
        <w:rPr>
          <w:spacing w:val="-2"/>
          <w:w w:val="105"/>
          <w:sz w:val="22"/>
        </w:rPr>
        <w:t>of Work, resolutions </w:t>
      </w:r>
      <w:r>
        <w:rPr>
          <w:w w:val="105"/>
          <w:sz w:val="22"/>
        </w:rPr>
        <w:t>and</w:t>
      </w:r>
      <w:r>
        <w:rPr>
          <w:w w:val="105"/>
          <w:sz w:val="22"/>
        </w:rPr>
        <w:t> decisions</w:t>
      </w:r>
      <w:r>
        <w:rPr>
          <w:w w:val="105"/>
          <w:sz w:val="22"/>
        </w:rPr>
        <w:t> of</w:t>
      </w:r>
      <w:r>
        <w:rPr>
          <w:w w:val="105"/>
          <w:sz w:val="22"/>
        </w:rPr>
        <w:t> the</w:t>
      </w:r>
      <w:r>
        <w:rPr>
          <w:w w:val="105"/>
          <w:sz w:val="22"/>
        </w:rPr>
        <w:t> United</w:t>
      </w:r>
      <w:r>
        <w:rPr>
          <w:w w:val="105"/>
          <w:sz w:val="22"/>
        </w:rPr>
        <w:t> Nations</w:t>
      </w:r>
      <w:r>
        <w:rPr>
          <w:w w:val="105"/>
          <w:sz w:val="22"/>
        </w:rPr>
        <w:t> Environment</w:t>
      </w:r>
      <w:r>
        <w:rPr>
          <w:w w:val="105"/>
          <w:sz w:val="22"/>
        </w:rPr>
        <w:t> Assembly,</w:t>
      </w:r>
      <w:r>
        <w:rPr>
          <w:w w:val="105"/>
          <w:sz w:val="22"/>
        </w:rPr>
        <w:t> and—where</w:t>
      </w:r>
      <w:r>
        <w:rPr>
          <w:w w:val="105"/>
          <w:sz w:val="22"/>
        </w:rPr>
        <w:t> relevant— international instruments, in particular Multilateral Environmental Agreements (MEAs).</w:t>
      </w:r>
    </w:p>
    <w:p>
      <w:pPr>
        <w:pStyle w:val="ListParagraph"/>
        <w:numPr>
          <w:ilvl w:val="0"/>
          <w:numId w:val="3"/>
        </w:numPr>
        <w:tabs>
          <w:tab w:pos="1079" w:val="left" w:leader="none"/>
        </w:tabs>
        <w:spacing w:line="240" w:lineRule="auto" w:before="267" w:after="0"/>
        <w:ind w:left="1079" w:right="0" w:hanging="224"/>
        <w:jc w:val="left"/>
        <w:rPr>
          <w:sz w:val="22"/>
        </w:rPr>
      </w:pPr>
      <w:r>
        <w:rPr>
          <w:w w:val="105"/>
          <w:sz w:val="22"/>
        </w:rPr>
        <w:t>Each</w:t>
      </w:r>
      <w:r>
        <w:rPr>
          <w:spacing w:val="-4"/>
          <w:w w:val="105"/>
          <w:sz w:val="22"/>
        </w:rPr>
        <w:t> </w:t>
      </w:r>
      <w:r>
        <w:rPr>
          <w:w w:val="105"/>
          <w:sz w:val="22"/>
        </w:rPr>
        <w:t>recommendation</w:t>
      </w:r>
      <w:r>
        <w:rPr>
          <w:spacing w:val="-6"/>
          <w:w w:val="105"/>
          <w:sz w:val="22"/>
        </w:rPr>
        <w:t> </w:t>
      </w:r>
      <w:r>
        <w:rPr>
          <w:w w:val="105"/>
          <w:sz w:val="22"/>
        </w:rPr>
        <w:t>presented by</w:t>
      </w:r>
      <w:r>
        <w:rPr>
          <w:spacing w:val="-3"/>
          <w:w w:val="105"/>
          <w:sz w:val="22"/>
        </w:rPr>
        <w:t> </w:t>
      </w:r>
      <w:r>
        <w:rPr>
          <w:w w:val="105"/>
          <w:sz w:val="22"/>
        </w:rPr>
        <w:t>a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proponent</w:t>
      </w:r>
      <w:r>
        <w:rPr>
          <w:spacing w:val="-2"/>
          <w:w w:val="105"/>
          <w:sz w:val="22"/>
        </w:rPr>
        <w:t> </w:t>
      </w:r>
      <w:r>
        <w:rPr>
          <w:w w:val="105"/>
          <w:sz w:val="22"/>
        </w:rPr>
        <w:t>should</w:t>
      </w:r>
      <w:r>
        <w:rPr>
          <w:spacing w:val="-1"/>
          <w:w w:val="105"/>
          <w:sz w:val="22"/>
        </w:rPr>
        <w:t> </w:t>
      </w:r>
      <w:r>
        <w:rPr>
          <w:w w:val="105"/>
          <w:sz w:val="22"/>
        </w:rPr>
        <w:t>be</w:t>
      </w:r>
      <w:r>
        <w:rPr>
          <w:spacing w:val="-3"/>
          <w:w w:val="105"/>
          <w:sz w:val="22"/>
        </w:rPr>
        <w:t> </w:t>
      </w:r>
      <w:r>
        <w:rPr>
          <w:w w:val="105"/>
          <w:sz w:val="22"/>
        </w:rPr>
        <w:t>complemented</w:t>
      </w:r>
      <w:r>
        <w:rPr>
          <w:spacing w:val="-1"/>
          <w:w w:val="105"/>
          <w:sz w:val="22"/>
        </w:rPr>
        <w:t> </w:t>
      </w:r>
      <w:r>
        <w:rPr>
          <w:spacing w:val="-5"/>
          <w:w w:val="105"/>
          <w:sz w:val="22"/>
        </w:rPr>
        <w:t>by:</w:t>
      </w:r>
    </w:p>
    <w:p>
      <w:pPr>
        <w:pStyle w:val="ListParagraph"/>
        <w:numPr>
          <w:ilvl w:val="1"/>
          <w:numId w:val="3"/>
        </w:numPr>
        <w:tabs>
          <w:tab w:pos="1483" w:val="left" w:leader="none"/>
        </w:tabs>
        <w:spacing w:line="240" w:lineRule="auto" w:before="202" w:after="0"/>
        <w:ind w:left="1148" w:right="1437" w:firstLine="0"/>
        <w:jc w:val="both"/>
        <w:rPr>
          <w:sz w:val="22"/>
        </w:rPr>
      </w:pPr>
      <w:r>
        <w:rPr>
          <w:w w:val="105"/>
          <w:sz w:val="22"/>
        </w:rPr>
        <w:t>A</w:t>
      </w:r>
      <w:r>
        <w:rPr>
          <w:w w:val="105"/>
          <w:sz w:val="22"/>
        </w:rPr>
        <w:t> citation</w:t>
      </w:r>
      <w:r>
        <w:rPr>
          <w:w w:val="105"/>
          <w:sz w:val="22"/>
        </w:rPr>
        <w:t> of</w:t>
      </w:r>
      <w:r>
        <w:rPr>
          <w:w w:val="105"/>
          <w:sz w:val="22"/>
        </w:rPr>
        <w:t> the</w:t>
      </w:r>
      <w:r>
        <w:rPr>
          <w:w w:val="105"/>
          <w:sz w:val="22"/>
        </w:rPr>
        <w:t> Committee’s</w:t>
      </w:r>
      <w:r>
        <w:rPr>
          <w:w w:val="105"/>
          <w:sz w:val="22"/>
        </w:rPr>
        <w:t> mandate</w:t>
      </w:r>
      <w:r>
        <w:rPr>
          <w:w w:val="105"/>
          <w:sz w:val="22"/>
        </w:rPr>
        <w:t> provision</w:t>
      </w:r>
      <w:r>
        <w:rPr>
          <w:w w:val="105"/>
          <w:sz w:val="22"/>
        </w:rPr>
        <w:t> to</w:t>
      </w:r>
      <w:r>
        <w:rPr>
          <w:w w:val="105"/>
          <w:sz w:val="22"/>
        </w:rPr>
        <w:t> which</w:t>
      </w:r>
      <w:r>
        <w:rPr>
          <w:w w:val="105"/>
          <w:sz w:val="22"/>
        </w:rPr>
        <w:t> the</w:t>
      </w:r>
      <w:r>
        <w:rPr>
          <w:w w:val="105"/>
          <w:sz w:val="22"/>
        </w:rPr>
        <w:t> draft</w:t>
      </w:r>
      <w:r>
        <w:rPr>
          <w:w w:val="105"/>
          <w:sz w:val="22"/>
        </w:rPr>
        <w:t> recommendation relates to, </w:t>
      </w:r>
      <w:r>
        <w:rPr>
          <w:b/>
          <w:w w:val="105"/>
          <w:sz w:val="22"/>
        </w:rPr>
        <w:t>using the template annexed to the present document </w:t>
      </w:r>
      <w:r>
        <w:rPr>
          <w:w w:val="105"/>
          <w:sz w:val="22"/>
        </w:rPr>
        <w:t>and indicating to which specific sub-paragraph(s) of the Governing Council (GC) decisions 19/32 and 27/2 the draft recommendation relates to; and</w:t>
      </w:r>
    </w:p>
    <w:p>
      <w:pPr>
        <w:pStyle w:val="BodyText"/>
        <w:spacing w:before="2"/>
      </w:pPr>
    </w:p>
    <w:p>
      <w:pPr>
        <w:pStyle w:val="ListParagraph"/>
        <w:numPr>
          <w:ilvl w:val="1"/>
          <w:numId w:val="3"/>
        </w:numPr>
        <w:tabs>
          <w:tab w:pos="1458" w:val="left" w:leader="none"/>
        </w:tabs>
        <w:spacing w:line="240" w:lineRule="auto" w:before="0" w:after="0"/>
        <w:ind w:left="1148" w:right="1436" w:firstLine="0"/>
        <w:jc w:val="both"/>
        <w:rPr>
          <w:sz w:val="22"/>
        </w:rPr>
      </w:pPr>
      <w:r>
        <w:rPr>
          <w:w w:val="105"/>
          <w:sz w:val="22"/>
        </w:rPr>
        <w:t>A short (3-5 lines) rationale behind the proposed recommendation, including a reference to relevant strategic priorities, including those contained in the Programme of Work and the Medium-Term</w:t>
      </w:r>
      <w:r>
        <w:rPr>
          <w:spacing w:val="-3"/>
          <w:w w:val="105"/>
          <w:sz w:val="22"/>
        </w:rPr>
        <w:t> </w:t>
      </w:r>
      <w:r>
        <w:rPr>
          <w:w w:val="105"/>
          <w:sz w:val="22"/>
        </w:rPr>
        <w:t>Strategy.</w:t>
      </w:r>
    </w:p>
    <w:p>
      <w:pPr>
        <w:pStyle w:val="BodyText"/>
        <w:spacing w:before="1"/>
      </w:pPr>
    </w:p>
    <w:p>
      <w:pPr>
        <w:spacing w:before="0"/>
        <w:ind w:left="1435" w:right="1008" w:firstLine="0"/>
        <w:jc w:val="center"/>
        <w:rPr>
          <w:sz w:val="22"/>
        </w:rPr>
      </w:pPr>
      <w:r>
        <w:rPr>
          <w:spacing w:val="-5"/>
          <w:sz w:val="22"/>
        </w:rPr>
        <w:t>***</w:t>
      </w:r>
    </w:p>
    <w:p>
      <w:pPr>
        <w:spacing w:after="0"/>
        <w:jc w:val="center"/>
        <w:rPr>
          <w:sz w:val="22"/>
        </w:rPr>
        <w:sectPr>
          <w:pgSz w:w="11910" w:h="16840"/>
          <w:pgMar w:header="0" w:footer="1094" w:top="760" w:bottom="1280" w:left="566" w:right="0"/>
        </w:sectPr>
      </w:pPr>
    </w:p>
    <w:p>
      <w:pPr>
        <w:spacing w:before="81"/>
        <w:ind w:left="427" w:right="1435" w:firstLine="0"/>
        <w:jc w:val="center"/>
        <w:rPr>
          <w:b/>
          <w:sz w:val="22"/>
        </w:rPr>
      </w:pPr>
      <w:r>
        <w:rPr>
          <w:b/>
          <w:spacing w:val="-2"/>
          <w:w w:val="110"/>
          <w:sz w:val="22"/>
        </w:rPr>
        <w:t>ANNEX</w:t>
      </w:r>
    </w:p>
    <w:p>
      <w:pPr>
        <w:spacing w:before="204"/>
        <w:ind w:left="898" w:right="1916" w:firstLine="0"/>
        <w:jc w:val="center"/>
        <w:rPr>
          <w:b/>
          <w:sz w:val="20"/>
        </w:rPr>
      </w:pPr>
      <w:r>
        <w:rPr>
          <w:b/>
          <w:w w:val="110"/>
          <w:sz w:val="20"/>
        </w:rPr>
        <w:t>Template</w:t>
      </w:r>
      <w:r>
        <w:rPr>
          <w:b/>
          <w:spacing w:val="-13"/>
          <w:w w:val="110"/>
          <w:sz w:val="20"/>
        </w:rPr>
        <w:t> </w:t>
      </w:r>
      <w:r>
        <w:rPr>
          <w:b/>
          <w:w w:val="110"/>
          <w:sz w:val="20"/>
        </w:rPr>
        <w:t>for</w:t>
      </w:r>
      <w:r>
        <w:rPr>
          <w:b/>
          <w:spacing w:val="-12"/>
          <w:w w:val="110"/>
          <w:sz w:val="20"/>
        </w:rPr>
        <w:t> </w:t>
      </w:r>
      <w:r>
        <w:rPr>
          <w:b/>
          <w:w w:val="110"/>
          <w:sz w:val="20"/>
        </w:rPr>
        <w:t>the</w:t>
      </w:r>
      <w:r>
        <w:rPr>
          <w:b/>
          <w:spacing w:val="-13"/>
          <w:w w:val="110"/>
          <w:sz w:val="20"/>
        </w:rPr>
        <w:t> </w:t>
      </w:r>
      <w:r>
        <w:rPr>
          <w:b/>
          <w:w w:val="110"/>
          <w:sz w:val="20"/>
        </w:rPr>
        <w:t>submission</w:t>
      </w:r>
      <w:r>
        <w:rPr>
          <w:b/>
          <w:spacing w:val="-12"/>
          <w:w w:val="110"/>
          <w:sz w:val="20"/>
        </w:rPr>
        <w:t> </w:t>
      </w:r>
      <w:r>
        <w:rPr>
          <w:b/>
          <w:w w:val="110"/>
          <w:sz w:val="20"/>
        </w:rPr>
        <w:t>of</w:t>
      </w:r>
      <w:r>
        <w:rPr>
          <w:b/>
          <w:spacing w:val="-13"/>
          <w:w w:val="110"/>
          <w:sz w:val="20"/>
        </w:rPr>
        <w:t> </w:t>
      </w:r>
      <w:r>
        <w:rPr>
          <w:b/>
          <w:w w:val="110"/>
          <w:sz w:val="20"/>
        </w:rPr>
        <w:t>draft</w:t>
      </w:r>
      <w:r>
        <w:rPr>
          <w:b/>
          <w:spacing w:val="-12"/>
          <w:w w:val="110"/>
          <w:sz w:val="20"/>
        </w:rPr>
        <w:t> </w:t>
      </w:r>
      <w:r>
        <w:rPr>
          <w:b/>
          <w:w w:val="110"/>
          <w:sz w:val="20"/>
        </w:rPr>
        <w:t>recommendations</w:t>
      </w:r>
      <w:r>
        <w:rPr>
          <w:b/>
          <w:spacing w:val="-13"/>
          <w:w w:val="110"/>
          <w:sz w:val="20"/>
        </w:rPr>
        <w:t> </w:t>
      </w:r>
      <w:r>
        <w:rPr>
          <w:b/>
          <w:w w:val="110"/>
          <w:sz w:val="20"/>
        </w:rPr>
        <w:t>proposed</w:t>
      </w:r>
      <w:r>
        <w:rPr>
          <w:b/>
          <w:spacing w:val="-12"/>
          <w:w w:val="110"/>
          <w:sz w:val="20"/>
        </w:rPr>
        <w:t> </w:t>
      </w:r>
      <w:r>
        <w:rPr>
          <w:b/>
          <w:w w:val="110"/>
          <w:sz w:val="20"/>
        </w:rPr>
        <w:t>by</w:t>
      </w:r>
      <w:r>
        <w:rPr>
          <w:b/>
          <w:spacing w:val="-12"/>
          <w:w w:val="110"/>
          <w:sz w:val="20"/>
        </w:rPr>
        <w:t> </w:t>
      </w:r>
      <w:r>
        <w:rPr>
          <w:b/>
          <w:w w:val="110"/>
          <w:sz w:val="20"/>
        </w:rPr>
        <w:t>members</w:t>
      </w:r>
      <w:r>
        <w:rPr>
          <w:b/>
          <w:spacing w:val="-13"/>
          <w:w w:val="110"/>
          <w:sz w:val="20"/>
        </w:rPr>
        <w:t> </w:t>
      </w:r>
      <w:r>
        <w:rPr>
          <w:b/>
          <w:w w:val="110"/>
          <w:sz w:val="20"/>
        </w:rPr>
        <w:t>of</w:t>
      </w:r>
      <w:r>
        <w:rPr>
          <w:b/>
          <w:spacing w:val="-12"/>
          <w:w w:val="110"/>
          <w:sz w:val="20"/>
        </w:rPr>
        <w:t> </w:t>
      </w:r>
      <w:r>
        <w:rPr>
          <w:b/>
          <w:w w:val="110"/>
          <w:sz w:val="20"/>
        </w:rPr>
        <w:t>the</w:t>
      </w:r>
      <w:r>
        <w:rPr>
          <w:b/>
          <w:spacing w:val="-13"/>
          <w:w w:val="110"/>
          <w:sz w:val="20"/>
        </w:rPr>
        <w:t> </w:t>
      </w:r>
      <w:r>
        <w:rPr>
          <w:b/>
          <w:w w:val="110"/>
          <w:sz w:val="20"/>
        </w:rPr>
        <w:t>CPR</w:t>
      </w:r>
      <w:r>
        <w:rPr>
          <w:b/>
          <w:spacing w:val="-12"/>
          <w:w w:val="110"/>
          <w:sz w:val="20"/>
        </w:rPr>
        <w:t> </w:t>
      </w:r>
      <w:r>
        <w:rPr>
          <w:b/>
          <w:w w:val="110"/>
          <w:sz w:val="20"/>
        </w:rPr>
        <w:t>at</w:t>
      </w:r>
      <w:r>
        <w:rPr>
          <w:b/>
          <w:spacing w:val="-13"/>
          <w:w w:val="110"/>
          <w:sz w:val="20"/>
        </w:rPr>
        <w:t> </w:t>
      </w:r>
      <w:r>
        <w:rPr>
          <w:b/>
          <w:w w:val="110"/>
          <w:sz w:val="20"/>
        </w:rPr>
        <w:t>its subcommittee</w:t>
      </w:r>
      <w:r>
        <w:rPr>
          <w:b/>
          <w:spacing w:val="-12"/>
          <w:w w:val="110"/>
          <w:sz w:val="20"/>
        </w:rPr>
        <w:t> </w:t>
      </w:r>
      <w:r>
        <w:rPr>
          <w:b/>
          <w:w w:val="110"/>
          <w:sz w:val="20"/>
        </w:rPr>
        <w:t>meetings</w:t>
      </w:r>
    </w:p>
    <w:p>
      <w:pPr>
        <w:pStyle w:val="BodyText"/>
        <w:spacing w:before="2"/>
        <w:rPr>
          <w:b/>
          <w:sz w:val="13"/>
        </w:rPr>
      </w:pPr>
    </w:p>
    <w:tbl>
      <w:tblPr>
        <w:tblW w:w="0" w:type="auto"/>
        <w:jc w:val="left"/>
        <w:tblInd w:w="14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52"/>
        <w:gridCol w:w="7089"/>
        <w:gridCol w:w="1419"/>
      </w:tblGrid>
      <w:tr>
        <w:trPr>
          <w:trHeight w:val="292" w:hRule="atLeast"/>
        </w:trPr>
        <w:tc>
          <w:tcPr>
            <w:tcW w:w="2552" w:type="dxa"/>
          </w:tcPr>
          <w:p>
            <w:pPr>
              <w:pStyle w:val="TableParagraph"/>
              <w:spacing w:line="265" w:lineRule="exact"/>
              <w:ind w:left="105"/>
              <w:rPr>
                <w:b/>
                <w:sz w:val="22"/>
              </w:rPr>
            </w:pPr>
            <w:r>
              <w:rPr>
                <w:b/>
                <w:color w:val="205E99"/>
                <w:spacing w:val="-2"/>
                <w:w w:val="110"/>
                <w:sz w:val="22"/>
              </w:rPr>
              <w:t>Delegation</w:t>
            </w:r>
          </w:p>
        </w:tc>
        <w:tc>
          <w:tcPr>
            <w:tcW w:w="8508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1074" w:hRule="atLeast"/>
        </w:trPr>
        <w:tc>
          <w:tcPr>
            <w:tcW w:w="2552" w:type="dxa"/>
          </w:tcPr>
          <w:p>
            <w:pPr>
              <w:pStyle w:val="TableParagraph"/>
              <w:ind w:left="105" w:right="94"/>
              <w:jc w:val="both"/>
              <w:rPr>
                <w:b/>
                <w:sz w:val="22"/>
              </w:rPr>
            </w:pPr>
            <w:r>
              <w:rPr>
                <w:b/>
                <w:color w:val="205E99"/>
                <w:w w:val="110"/>
                <w:sz w:val="22"/>
              </w:rPr>
              <w:t>Date</w:t>
            </w:r>
            <w:r>
              <w:rPr>
                <w:b/>
                <w:color w:val="205E99"/>
                <w:w w:val="110"/>
                <w:sz w:val="22"/>
              </w:rPr>
              <w:t> of</w:t>
            </w:r>
            <w:r>
              <w:rPr>
                <w:b/>
                <w:color w:val="205E99"/>
                <w:w w:val="110"/>
                <w:sz w:val="22"/>
              </w:rPr>
              <w:t> the</w:t>
            </w:r>
            <w:r>
              <w:rPr>
                <w:b/>
                <w:color w:val="205E99"/>
                <w:w w:val="110"/>
                <w:sz w:val="22"/>
              </w:rPr>
              <w:t> meeting</w:t>
            </w:r>
            <w:r>
              <w:rPr>
                <w:b/>
                <w:color w:val="205E99"/>
                <w:w w:val="110"/>
                <w:sz w:val="22"/>
              </w:rPr>
              <w:t> at which</w:t>
            </w:r>
            <w:r>
              <w:rPr>
                <w:b/>
                <w:color w:val="205E99"/>
                <w:w w:val="110"/>
                <w:sz w:val="22"/>
              </w:rPr>
              <w:t> the</w:t>
            </w:r>
            <w:r>
              <w:rPr>
                <w:b/>
                <w:color w:val="205E99"/>
                <w:w w:val="110"/>
                <w:sz w:val="22"/>
              </w:rPr>
              <w:t> draft recommendation</w:t>
            </w:r>
            <w:r>
              <w:rPr>
                <w:b/>
                <w:color w:val="205E99"/>
                <w:spacing w:val="38"/>
                <w:w w:val="110"/>
                <w:sz w:val="22"/>
              </w:rPr>
              <w:t>  </w:t>
            </w:r>
            <w:r>
              <w:rPr>
                <w:b/>
                <w:color w:val="205E99"/>
                <w:spacing w:val="-5"/>
                <w:w w:val="110"/>
                <w:sz w:val="22"/>
              </w:rPr>
              <w:t>was</w:t>
            </w:r>
          </w:p>
          <w:p>
            <w:pPr>
              <w:pStyle w:val="TableParagraph"/>
              <w:spacing w:line="250" w:lineRule="exact"/>
              <w:ind w:left="105"/>
              <w:rPr>
                <w:b/>
                <w:sz w:val="22"/>
              </w:rPr>
            </w:pPr>
            <w:r>
              <w:rPr>
                <w:b/>
                <w:color w:val="205E99"/>
                <w:spacing w:val="-2"/>
                <w:w w:val="110"/>
                <w:sz w:val="22"/>
              </w:rPr>
              <w:t>proposed</w:t>
            </w:r>
          </w:p>
        </w:tc>
        <w:tc>
          <w:tcPr>
            <w:tcW w:w="8508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1173" w:hRule="atLeast"/>
        </w:trPr>
        <w:tc>
          <w:tcPr>
            <w:tcW w:w="2552" w:type="dxa"/>
          </w:tcPr>
          <w:p>
            <w:pPr>
              <w:pStyle w:val="TableParagraph"/>
              <w:tabs>
                <w:tab w:pos="817" w:val="left" w:leader="none"/>
                <w:tab w:pos="1325" w:val="left" w:leader="none"/>
                <w:tab w:pos="1963" w:val="left" w:leader="none"/>
              </w:tabs>
              <w:ind w:left="105" w:right="97"/>
              <w:rPr>
                <w:b/>
                <w:sz w:val="22"/>
              </w:rPr>
            </w:pPr>
            <w:r>
              <w:rPr>
                <w:b/>
                <w:color w:val="205E99"/>
                <w:spacing w:val="-4"/>
                <w:w w:val="105"/>
                <w:sz w:val="22"/>
              </w:rPr>
              <w:t>Text</w:t>
            </w:r>
            <w:r>
              <w:rPr>
                <w:b/>
                <w:color w:val="205E99"/>
                <w:sz w:val="22"/>
              </w:rPr>
              <w:tab/>
            </w:r>
            <w:r>
              <w:rPr>
                <w:b/>
                <w:color w:val="205E99"/>
                <w:spacing w:val="-6"/>
                <w:w w:val="105"/>
                <w:sz w:val="22"/>
              </w:rPr>
              <w:t>of</w:t>
            </w:r>
            <w:r>
              <w:rPr>
                <w:b/>
                <w:color w:val="205E99"/>
                <w:sz w:val="22"/>
              </w:rPr>
              <w:tab/>
            </w:r>
            <w:r>
              <w:rPr>
                <w:b/>
                <w:color w:val="205E99"/>
                <w:spacing w:val="-4"/>
                <w:w w:val="105"/>
                <w:sz w:val="22"/>
              </w:rPr>
              <w:t>the</w:t>
            </w:r>
            <w:r>
              <w:rPr>
                <w:b/>
                <w:color w:val="205E99"/>
                <w:sz w:val="22"/>
              </w:rPr>
              <w:tab/>
            </w:r>
            <w:r>
              <w:rPr>
                <w:b/>
                <w:color w:val="205E99"/>
                <w:spacing w:val="-4"/>
                <w:w w:val="105"/>
                <w:sz w:val="22"/>
              </w:rPr>
              <w:t>draft </w:t>
            </w:r>
            <w:r>
              <w:rPr>
                <w:b/>
                <w:color w:val="205E99"/>
                <w:spacing w:val="-2"/>
                <w:w w:val="105"/>
                <w:sz w:val="22"/>
              </w:rPr>
              <w:t>recommendation</w:t>
            </w:r>
          </w:p>
        </w:tc>
        <w:tc>
          <w:tcPr>
            <w:tcW w:w="8508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977" w:hRule="atLeast"/>
        </w:trPr>
        <w:tc>
          <w:tcPr>
            <w:tcW w:w="2552" w:type="dxa"/>
            <w:vMerge w:val="restart"/>
          </w:tcPr>
          <w:p>
            <w:pPr>
              <w:pStyle w:val="TableParagraph"/>
              <w:ind w:left="105"/>
              <w:rPr>
                <w:b/>
                <w:position w:val="8"/>
                <w:sz w:val="13"/>
              </w:rPr>
            </w:pPr>
            <w:r>
              <w:rPr>
                <w:b/>
                <w:color w:val="205E99"/>
                <w:w w:val="110"/>
                <w:sz w:val="22"/>
              </w:rPr>
              <w:t>Relation</w:t>
            </w:r>
            <w:r>
              <w:rPr>
                <w:b/>
                <w:color w:val="205E99"/>
                <w:spacing w:val="80"/>
                <w:w w:val="110"/>
                <w:sz w:val="22"/>
              </w:rPr>
              <w:t> </w:t>
            </w:r>
            <w:r>
              <w:rPr>
                <w:b/>
                <w:color w:val="205E99"/>
                <w:w w:val="110"/>
                <w:sz w:val="22"/>
              </w:rPr>
              <w:t>to</w:t>
            </w:r>
            <w:r>
              <w:rPr>
                <w:b/>
                <w:color w:val="205E99"/>
                <w:spacing w:val="80"/>
                <w:w w:val="110"/>
                <w:sz w:val="22"/>
              </w:rPr>
              <w:t> </w:t>
            </w:r>
            <w:r>
              <w:rPr>
                <w:b/>
                <w:color w:val="205E99"/>
                <w:w w:val="110"/>
                <w:sz w:val="22"/>
              </w:rPr>
              <w:t>the</w:t>
            </w:r>
            <w:r>
              <w:rPr>
                <w:b/>
                <w:color w:val="205E99"/>
                <w:spacing w:val="80"/>
                <w:w w:val="110"/>
                <w:sz w:val="22"/>
              </w:rPr>
              <w:t> </w:t>
            </w:r>
            <w:r>
              <w:rPr>
                <w:b/>
                <w:color w:val="205E99"/>
                <w:w w:val="110"/>
                <w:sz w:val="22"/>
              </w:rPr>
              <w:t>CPR </w:t>
            </w:r>
            <w:r>
              <w:rPr>
                <w:b/>
                <w:color w:val="205E99"/>
                <w:spacing w:val="-2"/>
                <w:w w:val="110"/>
                <w:sz w:val="22"/>
              </w:rPr>
              <w:t>mandate</w:t>
            </w:r>
            <w:hyperlink w:history="true" w:anchor="_bookmark0">
              <w:r>
                <w:rPr>
                  <w:b/>
                  <w:color w:val="205E99"/>
                  <w:spacing w:val="-2"/>
                  <w:w w:val="110"/>
                  <w:position w:val="8"/>
                  <w:sz w:val="13"/>
                </w:rPr>
                <w:t>1</w:t>
              </w:r>
            </w:hyperlink>
          </w:p>
        </w:tc>
        <w:tc>
          <w:tcPr>
            <w:tcW w:w="7089" w:type="dxa"/>
          </w:tcPr>
          <w:p>
            <w:pPr>
              <w:pStyle w:val="TableParagraph"/>
              <w:spacing w:line="243" w:lineRule="exact"/>
              <w:ind w:left="2"/>
              <w:jc w:val="center"/>
              <w:rPr>
                <w:sz w:val="20"/>
              </w:rPr>
            </w:pPr>
            <w:r>
              <w:rPr>
                <w:sz w:val="20"/>
              </w:rPr>
              <w:t>Mandate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of</w:t>
            </w:r>
            <w:r>
              <w:rPr>
                <w:spacing w:val="2"/>
                <w:sz w:val="20"/>
              </w:rPr>
              <w:t> </w:t>
            </w:r>
            <w:r>
              <w:rPr>
                <w:sz w:val="20"/>
              </w:rPr>
              <w:t>the</w:t>
            </w:r>
            <w:r>
              <w:rPr>
                <w:spacing w:val="2"/>
                <w:sz w:val="20"/>
              </w:rPr>
              <w:t> </w:t>
            </w:r>
            <w:r>
              <w:rPr>
                <w:spacing w:val="-5"/>
                <w:sz w:val="20"/>
              </w:rPr>
              <w:t>CPR</w:t>
            </w:r>
          </w:p>
        </w:tc>
        <w:tc>
          <w:tcPr>
            <w:tcW w:w="1419" w:type="dxa"/>
          </w:tcPr>
          <w:p>
            <w:pPr>
              <w:pStyle w:val="TableParagraph"/>
              <w:ind w:left="424" w:hanging="240"/>
              <w:rPr>
                <w:b/>
                <w:i/>
                <w:sz w:val="20"/>
              </w:rPr>
            </w:pPr>
            <w:r>
              <w:rPr>
                <w:b/>
                <w:i/>
                <w:spacing w:val="-4"/>
                <w:w w:val="115"/>
                <w:sz w:val="20"/>
              </w:rPr>
              <w:t>(please</w:t>
            </w:r>
            <w:r>
              <w:rPr>
                <w:b/>
                <w:i/>
                <w:spacing w:val="-11"/>
                <w:w w:val="115"/>
                <w:sz w:val="20"/>
              </w:rPr>
              <w:t> </w:t>
            </w:r>
            <w:r>
              <w:rPr>
                <w:b/>
                <w:i/>
                <w:spacing w:val="-4"/>
                <w:w w:val="115"/>
                <w:sz w:val="20"/>
              </w:rPr>
              <w:t>tick</w:t>
            </w:r>
            <w:r>
              <w:rPr>
                <w:b/>
                <w:i/>
                <w:spacing w:val="-4"/>
                <w:w w:val="115"/>
                <w:sz w:val="20"/>
              </w:rPr>
              <w:t> </w:t>
            </w:r>
            <w:r>
              <w:rPr>
                <w:b/>
                <w:i/>
                <w:w w:val="115"/>
                <w:sz w:val="20"/>
              </w:rPr>
              <w:t>“X”</w:t>
            </w:r>
            <w:r>
              <w:rPr>
                <w:b/>
                <w:i/>
                <w:spacing w:val="-22"/>
                <w:w w:val="115"/>
                <w:sz w:val="20"/>
              </w:rPr>
              <w:t> </w:t>
            </w:r>
            <w:r>
              <w:rPr>
                <w:b/>
                <w:i/>
                <w:w w:val="115"/>
                <w:sz w:val="20"/>
              </w:rPr>
              <w:t>as</w:t>
            </w:r>
          </w:p>
          <w:p>
            <w:pPr>
              <w:pStyle w:val="TableParagraph"/>
              <w:spacing w:line="244" w:lineRule="exact"/>
              <w:ind w:left="145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w w:val="105"/>
                <w:sz w:val="20"/>
              </w:rPr>
              <w:t>appropriate)</w:t>
            </w:r>
          </w:p>
        </w:tc>
      </w:tr>
      <w:tr>
        <w:trPr>
          <w:trHeight w:val="731" w:hRule="atLeast"/>
        </w:trPr>
        <w:tc>
          <w:tcPr>
            <w:tcW w:w="255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9" w:type="dxa"/>
          </w:tcPr>
          <w:p>
            <w:pPr>
              <w:pStyle w:val="TableParagraph"/>
              <w:rPr>
                <w:sz w:val="20"/>
              </w:rPr>
            </w:pPr>
            <w:r>
              <w:rPr>
                <w:w w:val="105"/>
                <w:sz w:val="20"/>
              </w:rPr>
              <w:t>1.</w:t>
            </w:r>
            <w:r>
              <w:rPr>
                <w:spacing w:val="3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Within</w:t>
            </w:r>
            <w:r>
              <w:rPr>
                <w:spacing w:val="3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2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policy</w:t>
            </w:r>
            <w:r>
              <w:rPr>
                <w:spacing w:val="3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2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budgetary</w:t>
            </w:r>
            <w:r>
              <w:rPr>
                <w:spacing w:val="3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framework</w:t>
            </w:r>
            <w:r>
              <w:rPr>
                <w:spacing w:val="2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provided</w:t>
            </w:r>
            <w:r>
              <w:rPr>
                <w:spacing w:val="3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by</w:t>
            </w:r>
            <w:r>
              <w:rPr>
                <w:spacing w:val="2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UNEA,</w:t>
            </w:r>
            <w:r>
              <w:rPr>
                <w:spacing w:val="3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3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review, monitor</w:t>
            </w:r>
            <w:r>
              <w:rPr>
                <w:spacing w:val="2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2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assess</w:t>
            </w:r>
            <w:r>
              <w:rPr>
                <w:spacing w:val="2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2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implementation</w:t>
            </w:r>
            <w:r>
              <w:rPr>
                <w:spacing w:val="2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2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UNEA</w:t>
            </w:r>
            <w:r>
              <w:rPr>
                <w:spacing w:val="2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decisions</w:t>
            </w:r>
            <w:r>
              <w:rPr>
                <w:spacing w:val="24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on</w:t>
            </w:r>
            <w:r>
              <w:rPr>
                <w:spacing w:val="26"/>
                <w:w w:val="105"/>
                <w:sz w:val="20"/>
              </w:rPr>
              <w:t> </w:t>
            </w:r>
            <w:r>
              <w:rPr>
                <w:spacing w:val="-2"/>
                <w:w w:val="105"/>
                <w:sz w:val="20"/>
              </w:rPr>
              <w:t>administrative,</w:t>
            </w:r>
          </w:p>
          <w:p>
            <w:pPr>
              <w:pStyle w:val="TableParagraph"/>
              <w:spacing w:line="224" w:lineRule="exact"/>
              <w:rPr>
                <w:b/>
                <w:i/>
                <w:sz w:val="20"/>
              </w:rPr>
            </w:pPr>
            <w:r>
              <w:rPr>
                <w:sz w:val="20"/>
              </w:rPr>
              <w:t>budgetary</w:t>
            </w:r>
            <w:r>
              <w:rPr>
                <w:spacing w:val="35"/>
                <w:sz w:val="20"/>
              </w:rPr>
              <w:t> </w:t>
            </w:r>
            <w:r>
              <w:rPr>
                <w:sz w:val="20"/>
              </w:rPr>
              <w:t>and</w:t>
            </w:r>
            <w:r>
              <w:rPr>
                <w:spacing w:val="35"/>
                <w:sz w:val="20"/>
              </w:rPr>
              <w:t> </w:t>
            </w:r>
            <w:r>
              <w:rPr>
                <w:sz w:val="20"/>
              </w:rPr>
              <w:t>programme</w:t>
            </w:r>
            <w:r>
              <w:rPr>
                <w:spacing w:val="34"/>
                <w:sz w:val="20"/>
              </w:rPr>
              <w:t> </w:t>
            </w:r>
            <w:r>
              <w:rPr>
                <w:sz w:val="20"/>
              </w:rPr>
              <w:t>matters.</w:t>
            </w:r>
            <w:r>
              <w:rPr>
                <w:spacing w:val="35"/>
                <w:sz w:val="20"/>
              </w:rPr>
              <w:t> </w:t>
            </w:r>
            <w:r>
              <w:rPr>
                <w:b/>
                <w:i/>
                <w:sz w:val="20"/>
              </w:rPr>
              <w:t>GC</w:t>
            </w:r>
            <w:r>
              <w:rPr>
                <w:b/>
                <w:i/>
                <w:spacing w:val="33"/>
                <w:sz w:val="20"/>
              </w:rPr>
              <w:t> </w:t>
            </w:r>
            <w:r>
              <w:rPr>
                <w:b/>
                <w:i/>
                <w:sz w:val="20"/>
              </w:rPr>
              <w:t>Decision</w:t>
            </w:r>
            <w:r>
              <w:rPr>
                <w:b/>
                <w:i/>
                <w:spacing w:val="34"/>
                <w:sz w:val="20"/>
              </w:rPr>
              <w:t> </w:t>
            </w:r>
            <w:r>
              <w:rPr>
                <w:b/>
                <w:i/>
                <w:sz w:val="20"/>
              </w:rPr>
              <w:t>19/32,</w:t>
            </w:r>
            <w:r>
              <w:rPr>
                <w:b/>
                <w:i/>
                <w:spacing w:val="37"/>
                <w:sz w:val="20"/>
              </w:rPr>
              <w:t> </w:t>
            </w:r>
            <w:r>
              <w:rPr>
                <w:b/>
                <w:i/>
                <w:sz w:val="20"/>
              </w:rPr>
              <w:t>subparagraph</w:t>
            </w:r>
            <w:r>
              <w:rPr>
                <w:b/>
                <w:i/>
                <w:spacing w:val="37"/>
                <w:sz w:val="20"/>
              </w:rPr>
              <w:t> </w:t>
            </w:r>
            <w:r>
              <w:rPr>
                <w:b/>
                <w:i/>
                <w:sz w:val="20"/>
              </w:rPr>
              <w:t>7</w:t>
            </w:r>
            <w:r>
              <w:rPr>
                <w:b/>
                <w:i/>
                <w:spacing w:val="34"/>
                <w:sz w:val="20"/>
              </w:rPr>
              <w:t> </w:t>
            </w:r>
            <w:r>
              <w:rPr>
                <w:b/>
                <w:i/>
                <w:spacing w:val="-5"/>
                <w:sz w:val="20"/>
              </w:rPr>
              <w:t>(a)</w:t>
            </w:r>
          </w:p>
        </w:tc>
        <w:tc>
          <w:tcPr>
            <w:tcW w:w="141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731" w:hRule="atLeast"/>
        </w:trPr>
        <w:tc>
          <w:tcPr>
            <w:tcW w:w="255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9" w:type="dxa"/>
          </w:tcPr>
          <w:p>
            <w:pPr>
              <w:pStyle w:val="TableParagraph"/>
              <w:rPr>
                <w:b/>
                <w:i/>
                <w:sz w:val="20"/>
              </w:rPr>
            </w:pPr>
            <w:r>
              <w:rPr>
                <w:sz w:val="20"/>
              </w:rPr>
              <w:t>2. Review the draft programme of work and budget during their preparation by the </w:t>
            </w:r>
            <w:r>
              <w:rPr>
                <w:w w:val="110"/>
                <w:sz w:val="20"/>
              </w:rPr>
              <w:t>Secretariat.</w:t>
            </w:r>
            <w:r>
              <w:rPr>
                <w:spacing w:val="22"/>
                <w:w w:val="110"/>
                <w:sz w:val="20"/>
              </w:rPr>
              <w:t> </w:t>
            </w:r>
            <w:r>
              <w:rPr>
                <w:b/>
                <w:i/>
                <w:w w:val="110"/>
                <w:sz w:val="20"/>
              </w:rPr>
              <w:t>GC</w:t>
            </w:r>
            <w:r>
              <w:rPr>
                <w:b/>
                <w:i/>
                <w:spacing w:val="20"/>
                <w:w w:val="110"/>
                <w:sz w:val="20"/>
              </w:rPr>
              <w:t> </w:t>
            </w:r>
            <w:r>
              <w:rPr>
                <w:b/>
                <w:i/>
                <w:w w:val="110"/>
                <w:sz w:val="20"/>
              </w:rPr>
              <w:t>Decision</w:t>
            </w:r>
            <w:r>
              <w:rPr>
                <w:b/>
                <w:i/>
                <w:spacing w:val="20"/>
                <w:w w:val="110"/>
                <w:sz w:val="20"/>
              </w:rPr>
              <w:t> </w:t>
            </w:r>
            <w:r>
              <w:rPr>
                <w:b/>
                <w:i/>
                <w:w w:val="110"/>
                <w:sz w:val="20"/>
              </w:rPr>
              <w:t>19/32,</w:t>
            </w:r>
            <w:r>
              <w:rPr>
                <w:b/>
                <w:i/>
                <w:spacing w:val="20"/>
                <w:w w:val="110"/>
                <w:sz w:val="20"/>
              </w:rPr>
              <w:t> </w:t>
            </w:r>
            <w:r>
              <w:rPr>
                <w:b/>
                <w:i/>
                <w:w w:val="110"/>
                <w:sz w:val="20"/>
              </w:rPr>
              <w:t>subparagraph</w:t>
            </w:r>
            <w:r>
              <w:rPr>
                <w:b/>
                <w:i/>
                <w:spacing w:val="20"/>
                <w:w w:val="110"/>
                <w:sz w:val="20"/>
              </w:rPr>
              <w:t> </w:t>
            </w:r>
            <w:r>
              <w:rPr>
                <w:b/>
                <w:i/>
                <w:w w:val="110"/>
                <w:sz w:val="20"/>
              </w:rPr>
              <w:t>7</w:t>
            </w:r>
            <w:r>
              <w:rPr>
                <w:b/>
                <w:i/>
                <w:spacing w:val="22"/>
                <w:w w:val="110"/>
                <w:sz w:val="20"/>
              </w:rPr>
              <w:t> </w:t>
            </w:r>
            <w:r>
              <w:rPr>
                <w:b/>
                <w:i/>
                <w:w w:val="110"/>
                <w:sz w:val="20"/>
              </w:rPr>
              <w:t>(b)</w:t>
            </w:r>
            <w:r>
              <w:rPr>
                <w:b/>
                <w:i/>
                <w:spacing w:val="25"/>
                <w:w w:val="110"/>
                <w:sz w:val="20"/>
              </w:rPr>
              <w:t> </w:t>
            </w:r>
            <w:r>
              <w:rPr>
                <w:b/>
                <w:i/>
                <w:w w:val="110"/>
                <w:sz w:val="20"/>
              </w:rPr>
              <w:t>and</w:t>
            </w:r>
            <w:r>
              <w:rPr>
                <w:b/>
                <w:i/>
                <w:spacing w:val="21"/>
                <w:w w:val="110"/>
                <w:sz w:val="20"/>
              </w:rPr>
              <w:t> </w:t>
            </w:r>
            <w:r>
              <w:rPr>
                <w:b/>
                <w:i/>
                <w:w w:val="110"/>
                <w:sz w:val="20"/>
              </w:rPr>
              <w:t>GC</w:t>
            </w:r>
            <w:r>
              <w:rPr>
                <w:b/>
                <w:i/>
                <w:spacing w:val="19"/>
                <w:w w:val="110"/>
                <w:sz w:val="20"/>
              </w:rPr>
              <w:t> </w:t>
            </w:r>
            <w:r>
              <w:rPr>
                <w:b/>
                <w:i/>
                <w:w w:val="110"/>
                <w:sz w:val="20"/>
              </w:rPr>
              <w:t>decision</w:t>
            </w:r>
            <w:r>
              <w:rPr>
                <w:b/>
                <w:i/>
                <w:spacing w:val="20"/>
                <w:w w:val="110"/>
                <w:sz w:val="20"/>
              </w:rPr>
              <w:t> </w:t>
            </w:r>
            <w:r>
              <w:rPr>
                <w:b/>
                <w:i/>
                <w:spacing w:val="-2"/>
                <w:w w:val="110"/>
                <w:sz w:val="20"/>
              </w:rPr>
              <w:t>27/2,</w:t>
            </w:r>
          </w:p>
          <w:p>
            <w:pPr>
              <w:pStyle w:val="TableParagraph"/>
              <w:spacing w:line="224" w:lineRule="exact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w w:val="105"/>
                <w:sz w:val="20"/>
              </w:rPr>
              <w:t>paragraph</w:t>
            </w:r>
            <w:r>
              <w:rPr>
                <w:b/>
                <w:i/>
                <w:spacing w:val="1"/>
                <w:w w:val="105"/>
                <w:sz w:val="20"/>
              </w:rPr>
              <w:t> </w:t>
            </w:r>
            <w:r>
              <w:rPr>
                <w:b/>
                <w:i/>
                <w:spacing w:val="-5"/>
                <w:w w:val="105"/>
                <w:sz w:val="20"/>
              </w:rPr>
              <w:t>11</w:t>
            </w:r>
          </w:p>
        </w:tc>
        <w:tc>
          <w:tcPr>
            <w:tcW w:w="141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978" w:hRule="atLeast"/>
        </w:trPr>
        <w:tc>
          <w:tcPr>
            <w:tcW w:w="255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9" w:type="dxa"/>
          </w:tcPr>
          <w:p>
            <w:pPr>
              <w:pStyle w:val="TableParagraph"/>
              <w:ind w:right="98"/>
              <w:jc w:val="both"/>
              <w:rPr>
                <w:b/>
                <w:i/>
                <w:sz w:val="20"/>
              </w:rPr>
            </w:pPr>
            <w:r>
              <w:rPr>
                <w:w w:val="105"/>
                <w:sz w:val="20"/>
              </w:rPr>
              <w:t>3.</w:t>
            </w:r>
            <w:r>
              <w:rPr>
                <w:w w:val="105"/>
                <w:sz w:val="20"/>
              </w:rPr>
              <w:t> Review</w:t>
            </w:r>
            <w:r>
              <w:rPr>
                <w:w w:val="105"/>
                <w:sz w:val="20"/>
              </w:rPr>
              <w:t> reports</w:t>
            </w:r>
            <w:r>
              <w:rPr>
                <w:w w:val="105"/>
                <w:sz w:val="20"/>
              </w:rPr>
              <w:t> requested</w:t>
            </w:r>
            <w:r>
              <w:rPr>
                <w:w w:val="105"/>
                <w:sz w:val="20"/>
              </w:rPr>
              <w:t> of</w:t>
            </w:r>
            <w:r>
              <w:rPr>
                <w:w w:val="105"/>
                <w:sz w:val="20"/>
              </w:rPr>
              <w:t> the</w:t>
            </w:r>
            <w:r>
              <w:rPr>
                <w:w w:val="105"/>
                <w:sz w:val="20"/>
              </w:rPr>
              <w:t> Secretariat</w:t>
            </w:r>
            <w:r>
              <w:rPr>
                <w:w w:val="105"/>
                <w:sz w:val="20"/>
              </w:rPr>
              <w:t> by</w:t>
            </w:r>
            <w:r>
              <w:rPr>
                <w:w w:val="105"/>
                <w:sz w:val="20"/>
              </w:rPr>
              <w:t> UNEA</w:t>
            </w:r>
            <w:r>
              <w:rPr>
                <w:w w:val="105"/>
                <w:sz w:val="20"/>
              </w:rPr>
              <w:t> on</w:t>
            </w:r>
            <w:r>
              <w:rPr>
                <w:w w:val="105"/>
                <w:sz w:val="20"/>
              </w:rPr>
              <w:t> the</w:t>
            </w:r>
            <w:r>
              <w:rPr>
                <w:w w:val="105"/>
                <w:sz w:val="20"/>
              </w:rPr>
              <w:t> effectiveness, efficiency and transparency of the functions and work of the Secretariat and to make</w:t>
            </w:r>
            <w:r>
              <w:rPr>
                <w:spacing w:val="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recommendations</w:t>
            </w:r>
            <w:r>
              <w:rPr>
                <w:spacing w:val="7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thereon</w:t>
            </w:r>
            <w:r>
              <w:rPr>
                <w:spacing w:val="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UNEA.</w:t>
            </w:r>
            <w:r>
              <w:rPr>
                <w:spacing w:val="7"/>
                <w:w w:val="105"/>
                <w:sz w:val="20"/>
              </w:rPr>
              <w:t> </w:t>
            </w:r>
            <w:r>
              <w:rPr>
                <w:b/>
                <w:i/>
                <w:w w:val="105"/>
                <w:sz w:val="20"/>
              </w:rPr>
              <w:t>GC</w:t>
            </w:r>
            <w:r>
              <w:rPr>
                <w:b/>
                <w:i/>
                <w:spacing w:val="6"/>
                <w:w w:val="105"/>
                <w:sz w:val="20"/>
              </w:rPr>
              <w:t> </w:t>
            </w:r>
            <w:r>
              <w:rPr>
                <w:b/>
                <w:i/>
                <w:w w:val="105"/>
                <w:sz w:val="20"/>
              </w:rPr>
              <w:t>Decision</w:t>
            </w:r>
            <w:r>
              <w:rPr>
                <w:b/>
                <w:i/>
                <w:spacing w:val="9"/>
                <w:w w:val="105"/>
                <w:sz w:val="20"/>
              </w:rPr>
              <w:t> </w:t>
            </w:r>
            <w:r>
              <w:rPr>
                <w:b/>
                <w:i/>
                <w:w w:val="105"/>
                <w:sz w:val="20"/>
              </w:rPr>
              <w:t>19/32,</w:t>
            </w:r>
            <w:r>
              <w:rPr>
                <w:b/>
                <w:i/>
                <w:spacing w:val="13"/>
                <w:w w:val="105"/>
                <w:sz w:val="20"/>
              </w:rPr>
              <w:t> </w:t>
            </w:r>
            <w:r>
              <w:rPr>
                <w:b/>
                <w:i/>
                <w:w w:val="105"/>
                <w:sz w:val="20"/>
              </w:rPr>
              <w:t>subparagraph</w:t>
            </w:r>
            <w:r>
              <w:rPr>
                <w:b/>
                <w:i/>
                <w:spacing w:val="8"/>
                <w:w w:val="105"/>
                <w:sz w:val="20"/>
              </w:rPr>
              <w:t> </w:t>
            </w:r>
            <w:r>
              <w:rPr>
                <w:b/>
                <w:i/>
                <w:spacing w:val="-10"/>
                <w:w w:val="105"/>
                <w:sz w:val="20"/>
              </w:rPr>
              <w:t>7</w:t>
            </w:r>
          </w:p>
          <w:p>
            <w:pPr>
              <w:pStyle w:val="TableParagraph"/>
              <w:spacing w:line="225" w:lineRule="exact" w:before="1"/>
              <w:rPr>
                <w:b/>
                <w:i/>
                <w:sz w:val="20"/>
              </w:rPr>
            </w:pPr>
            <w:r>
              <w:rPr>
                <w:b/>
                <w:i/>
                <w:spacing w:val="-5"/>
                <w:w w:val="110"/>
                <w:sz w:val="20"/>
              </w:rPr>
              <w:t>(c)</w:t>
            </w:r>
          </w:p>
        </w:tc>
        <w:tc>
          <w:tcPr>
            <w:tcW w:w="141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731" w:hRule="atLeast"/>
        </w:trPr>
        <w:tc>
          <w:tcPr>
            <w:tcW w:w="255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9" w:type="dxa"/>
          </w:tcPr>
          <w:p>
            <w:pPr>
              <w:pStyle w:val="TableParagraph"/>
              <w:rPr>
                <w:b/>
                <w:i/>
                <w:sz w:val="20"/>
              </w:rPr>
            </w:pPr>
            <w:r>
              <w:rPr>
                <w:w w:val="105"/>
                <w:sz w:val="20"/>
              </w:rPr>
              <w:t>4. Prepare draft decisions for consideration by UNEA based on inputs from the Secretariat.</w:t>
            </w:r>
            <w:r>
              <w:rPr>
                <w:spacing w:val="79"/>
                <w:w w:val="150"/>
                <w:sz w:val="20"/>
              </w:rPr>
              <w:t> </w:t>
            </w:r>
            <w:r>
              <w:rPr>
                <w:b/>
                <w:i/>
                <w:w w:val="105"/>
                <w:sz w:val="20"/>
              </w:rPr>
              <w:t>GC</w:t>
            </w:r>
            <w:r>
              <w:rPr>
                <w:b/>
                <w:i/>
                <w:spacing w:val="76"/>
                <w:w w:val="150"/>
                <w:sz w:val="20"/>
              </w:rPr>
              <w:t> </w:t>
            </w:r>
            <w:r>
              <w:rPr>
                <w:b/>
                <w:i/>
                <w:w w:val="105"/>
                <w:sz w:val="20"/>
              </w:rPr>
              <w:t>decision</w:t>
            </w:r>
            <w:r>
              <w:rPr>
                <w:b/>
                <w:i/>
                <w:spacing w:val="27"/>
                <w:w w:val="105"/>
                <w:sz w:val="20"/>
              </w:rPr>
              <w:t>  </w:t>
            </w:r>
            <w:r>
              <w:rPr>
                <w:b/>
                <w:i/>
                <w:w w:val="105"/>
                <w:sz w:val="20"/>
              </w:rPr>
              <w:t>19/32</w:t>
            </w:r>
            <w:r>
              <w:rPr>
                <w:b/>
                <w:i/>
                <w:spacing w:val="27"/>
                <w:w w:val="105"/>
                <w:sz w:val="20"/>
              </w:rPr>
              <w:t>  </w:t>
            </w:r>
            <w:r>
              <w:rPr>
                <w:b/>
                <w:i/>
                <w:w w:val="105"/>
                <w:sz w:val="20"/>
              </w:rPr>
              <w:t>subparagraph</w:t>
            </w:r>
            <w:r>
              <w:rPr>
                <w:b/>
                <w:i/>
                <w:spacing w:val="78"/>
                <w:w w:val="150"/>
                <w:sz w:val="20"/>
              </w:rPr>
              <w:t> </w:t>
            </w:r>
            <w:r>
              <w:rPr>
                <w:b/>
                <w:i/>
                <w:w w:val="105"/>
                <w:sz w:val="20"/>
              </w:rPr>
              <w:t>7</w:t>
            </w:r>
            <w:r>
              <w:rPr>
                <w:b/>
                <w:i/>
                <w:spacing w:val="79"/>
                <w:w w:val="150"/>
                <w:sz w:val="20"/>
              </w:rPr>
              <w:t> </w:t>
            </w:r>
            <w:r>
              <w:rPr>
                <w:b/>
                <w:i/>
                <w:w w:val="105"/>
                <w:sz w:val="20"/>
              </w:rPr>
              <w:t>(d);</w:t>
            </w:r>
            <w:r>
              <w:rPr>
                <w:b/>
                <w:i/>
                <w:spacing w:val="75"/>
                <w:w w:val="150"/>
                <w:sz w:val="20"/>
              </w:rPr>
              <w:t> </w:t>
            </w:r>
            <w:r>
              <w:rPr>
                <w:b/>
                <w:i/>
                <w:w w:val="105"/>
                <w:sz w:val="20"/>
              </w:rPr>
              <w:t>GC</w:t>
            </w:r>
            <w:r>
              <w:rPr>
                <w:b/>
                <w:i/>
                <w:spacing w:val="76"/>
                <w:w w:val="150"/>
                <w:sz w:val="20"/>
              </w:rPr>
              <w:t> </w:t>
            </w:r>
            <w:r>
              <w:rPr>
                <w:b/>
                <w:i/>
                <w:w w:val="105"/>
                <w:sz w:val="20"/>
              </w:rPr>
              <w:t>decision</w:t>
            </w:r>
            <w:r>
              <w:rPr>
                <w:b/>
                <w:i/>
                <w:spacing w:val="79"/>
                <w:w w:val="150"/>
                <w:sz w:val="20"/>
              </w:rPr>
              <w:t> </w:t>
            </w:r>
            <w:r>
              <w:rPr>
                <w:b/>
                <w:i/>
                <w:spacing w:val="-2"/>
                <w:w w:val="105"/>
                <w:sz w:val="20"/>
              </w:rPr>
              <w:t>27/2,</w:t>
            </w:r>
          </w:p>
          <w:p>
            <w:pPr>
              <w:pStyle w:val="TableParagraph"/>
              <w:spacing w:line="225" w:lineRule="exact"/>
              <w:rPr>
                <w:b/>
                <w:i/>
                <w:sz w:val="20"/>
              </w:rPr>
            </w:pPr>
            <w:r>
              <w:rPr>
                <w:b/>
                <w:i/>
                <w:w w:val="105"/>
                <w:sz w:val="20"/>
              </w:rPr>
              <w:t>subparagraph</w:t>
            </w:r>
            <w:r>
              <w:rPr>
                <w:b/>
                <w:i/>
                <w:spacing w:val="3"/>
                <w:w w:val="105"/>
                <w:sz w:val="20"/>
              </w:rPr>
              <w:t> </w:t>
            </w:r>
            <w:r>
              <w:rPr>
                <w:b/>
                <w:i/>
                <w:w w:val="105"/>
                <w:sz w:val="20"/>
              </w:rPr>
              <w:t>9 </w:t>
            </w:r>
            <w:r>
              <w:rPr>
                <w:b/>
                <w:i/>
                <w:spacing w:val="-5"/>
                <w:w w:val="105"/>
                <w:sz w:val="20"/>
              </w:rPr>
              <w:t>(c)</w:t>
            </w:r>
          </w:p>
        </w:tc>
        <w:tc>
          <w:tcPr>
            <w:tcW w:w="141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611" w:hRule="atLeast"/>
        </w:trPr>
        <w:tc>
          <w:tcPr>
            <w:tcW w:w="255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9" w:type="dxa"/>
          </w:tcPr>
          <w:p>
            <w:pPr>
              <w:pStyle w:val="TableParagraph"/>
              <w:rPr>
                <w:b/>
                <w:i/>
                <w:sz w:val="20"/>
              </w:rPr>
            </w:pPr>
            <w:r>
              <w:rPr>
                <w:w w:val="105"/>
                <w:sz w:val="20"/>
              </w:rPr>
              <w:t>5.</w:t>
            </w:r>
            <w:r>
              <w:rPr>
                <w:spacing w:val="3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Contribute</w:t>
            </w:r>
            <w:r>
              <w:rPr>
                <w:spacing w:val="3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3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3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preparation</w:t>
            </w:r>
            <w:r>
              <w:rPr>
                <w:spacing w:val="3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3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36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agenda</w:t>
            </w:r>
            <w:r>
              <w:rPr>
                <w:spacing w:val="35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3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UNEA.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b/>
                <w:i/>
                <w:w w:val="105"/>
                <w:sz w:val="20"/>
              </w:rPr>
              <w:t>GC</w:t>
            </w:r>
            <w:r>
              <w:rPr>
                <w:b/>
                <w:i/>
                <w:spacing w:val="35"/>
                <w:w w:val="105"/>
                <w:sz w:val="20"/>
              </w:rPr>
              <w:t> </w:t>
            </w:r>
            <w:r>
              <w:rPr>
                <w:b/>
                <w:i/>
                <w:w w:val="105"/>
                <w:sz w:val="20"/>
              </w:rPr>
              <w:t>Decision</w:t>
            </w:r>
            <w:r>
              <w:rPr>
                <w:b/>
                <w:i/>
                <w:spacing w:val="35"/>
                <w:w w:val="105"/>
                <w:sz w:val="20"/>
              </w:rPr>
              <w:t> </w:t>
            </w:r>
            <w:r>
              <w:rPr>
                <w:b/>
                <w:i/>
                <w:w w:val="105"/>
                <w:sz w:val="20"/>
              </w:rPr>
              <w:t>27/2,</w:t>
            </w:r>
            <w:r>
              <w:rPr>
                <w:b/>
                <w:i/>
                <w:w w:val="105"/>
                <w:sz w:val="20"/>
              </w:rPr>
              <w:t> subparagraph 9 (a)</w:t>
            </w:r>
          </w:p>
        </w:tc>
        <w:tc>
          <w:tcPr>
            <w:tcW w:w="141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611" w:hRule="atLeast"/>
        </w:trPr>
        <w:tc>
          <w:tcPr>
            <w:tcW w:w="255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9" w:type="dxa"/>
          </w:tcPr>
          <w:p>
            <w:pPr>
              <w:pStyle w:val="TableParagraph"/>
              <w:rPr>
                <w:b/>
                <w:i/>
                <w:sz w:val="20"/>
              </w:rPr>
            </w:pPr>
            <w:r>
              <w:rPr>
                <w:w w:val="110"/>
                <w:sz w:val="20"/>
              </w:rPr>
              <w:t>6.</w:t>
            </w:r>
            <w:r>
              <w:rPr>
                <w:w w:val="110"/>
                <w:sz w:val="20"/>
              </w:rPr>
              <w:t> Provide</w:t>
            </w:r>
            <w:r>
              <w:rPr>
                <w:w w:val="110"/>
                <w:sz w:val="20"/>
              </w:rPr>
              <w:t> advice</w:t>
            </w:r>
            <w:r>
              <w:rPr>
                <w:w w:val="110"/>
                <w:sz w:val="20"/>
              </w:rPr>
              <w:t> to</w:t>
            </w:r>
            <w:r>
              <w:rPr>
                <w:w w:val="110"/>
                <w:sz w:val="20"/>
              </w:rPr>
              <w:t> its</w:t>
            </w:r>
            <w:r>
              <w:rPr>
                <w:w w:val="110"/>
                <w:sz w:val="20"/>
              </w:rPr>
              <w:t> governing</w:t>
            </w:r>
            <w:r>
              <w:rPr>
                <w:w w:val="110"/>
                <w:sz w:val="20"/>
              </w:rPr>
              <w:t> body</w:t>
            </w:r>
            <w:r>
              <w:rPr>
                <w:w w:val="110"/>
                <w:sz w:val="20"/>
              </w:rPr>
              <w:t> on</w:t>
            </w:r>
            <w:r>
              <w:rPr>
                <w:w w:val="110"/>
                <w:sz w:val="20"/>
              </w:rPr>
              <w:t> policy</w:t>
            </w:r>
            <w:r>
              <w:rPr>
                <w:w w:val="110"/>
                <w:sz w:val="20"/>
              </w:rPr>
              <w:t> matters.</w:t>
            </w:r>
            <w:r>
              <w:rPr>
                <w:spacing w:val="11"/>
                <w:w w:val="110"/>
                <w:sz w:val="20"/>
              </w:rPr>
              <w:t> </w:t>
            </w:r>
            <w:r>
              <w:rPr>
                <w:b/>
                <w:i/>
                <w:w w:val="110"/>
                <w:sz w:val="20"/>
              </w:rPr>
              <w:t>GC</w:t>
            </w:r>
            <w:r>
              <w:rPr>
                <w:b/>
                <w:i/>
                <w:w w:val="110"/>
                <w:sz w:val="20"/>
              </w:rPr>
              <w:t> Decision</w:t>
            </w:r>
            <w:r>
              <w:rPr>
                <w:b/>
                <w:i/>
                <w:w w:val="110"/>
                <w:sz w:val="20"/>
              </w:rPr>
              <w:t> 27/2,</w:t>
            </w:r>
            <w:r>
              <w:rPr>
                <w:b/>
                <w:i/>
                <w:w w:val="110"/>
                <w:sz w:val="20"/>
              </w:rPr>
              <w:t> subparagraph 9 (b)</w:t>
            </w:r>
          </w:p>
        </w:tc>
        <w:tc>
          <w:tcPr>
            <w:tcW w:w="141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611" w:hRule="atLeast"/>
        </w:trPr>
        <w:tc>
          <w:tcPr>
            <w:tcW w:w="255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9" w:type="dxa"/>
          </w:tcPr>
          <w:p>
            <w:pPr>
              <w:pStyle w:val="TableParagraph"/>
              <w:rPr>
                <w:b/>
                <w:i/>
                <w:sz w:val="20"/>
              </w:rPr>
            </w:pPr>
            <w:r>
              <w:rPr>
                <w:w w:val="110"/>
                <w:sz w:val="20"/>
              </w:rPr>
              <w:t>7.</w:t>
            </w:r>
            <w:r>
              <w:rPr>
                <w:spacing w:val="40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Convene</w:t>
            </w:r>
            <w:r>
              <w:rPr>
                <w:spacing w:val="40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thematic</w:t>
            </w:r>
            <w:r>
              <w:rPr>
                <w:spacing w:val="40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and/or</w:t>
            </w:r>
            <w:r>
              <w:rPr>
                <w:spacing w:val="40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programmatic</w:t>
            </w:r>
            <w:r>
              <w:rPr>
                <w:spacing w:val="40"/>
                <w:w w:val="110"/>
                <w:sz w:val="20"/>
              </w:rPr>
              <w:t> </w:t>
            </w:r>
            <w:r>
              <w:rPr>
                <w:w w:val="110"/>
                <w:sz w:val="20"/>
              </w:rPr>
              <w:t>debates.</w:t>
            </w:r>
            <w:r>
              <w:rPr>
                <w:spacing w:val="40"/>
                <w:w w:val="110"/>
                <w:sz w:val="20"/>
              </w:rPr>
              <w:t> </w:t>
            </w:r>
            <w:r>
              <w:rPr>
                <w:b/>
                <w:i/>
                <w:w w:val="110"/>
                <w:sz w:val="20"/>
              </w:rPr>
              <w:t>GC</w:t>
            </w:r>
            <w:r>
              <w:rPr>
                <w:b/>
                <w:i/>
                <w:spacing w:val="40"/>
                <w:w w:val="110"/>
                <w:sz w:val="20"/>
              </w:rPr>
              <w:t> </w:t>
            </w:r>
            <w:r>
              <w:rPr>
                <w:b/>
                <w:i/>
                <w:w w:val="110"/>
                <w:sz w:val="20"/>
              </w:rPr>
              <w:t>Decision</w:t>
            </w:r>
            <w:r>
              <w:rPr>
                <w:b/>
                <w:i/>
                <w:spacing w:val="40"/>
                <w:w w:val="110"/>
                <w:sz w:val="20"/>
              </w:rPr>
              <w:t> </w:t>
            </w:r>
            <w:r>
              <w:rPr>
                <w:b/>
                <w:i/>
                <w:w w:val="110"/>
                <w:sz w:val="20"/>
              </w:rPr>
              <w:t>27/2,</w:t>
            </w:r>
            <w:r>
              <w:rPr>
                <w:b/>
                <w:i/>
                <w:w w:val="110"/>
                <w:sz w:val="20"/>
              </w:rPr>
              <w:t> subparagraph 9 (d)</w:t>
            </w:r>
          </w:p>
        </w:tc>
        <w:tc>
          <w:tcPr>
            <w:tcW w:w="141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733" w:hRule="atLeast"/>
        </w:trPr>
        <w:tc>
          <w:tcPr>
            <w:tcW w:w="255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9" w:type="dxa"/>
          </w:tcPr>
          <w:p>
            <w:pPr>
              <w:pStyle w:val="TableParagraph"/>
              <w:ind w:right="98"/>
              <w:rPr>
                <w:b/>
                <w:i/>
                <w:sz w:val="20"/>
              </w:rPr>
            </w:pPr>
            <w:r>
              <w:rPr>
                <w:w w:val="105"/>
                <w:sz w:val="20"/>
              </w:rPr>
              <w:t>8.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Oversee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implementation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accountability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by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the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Secretariat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4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the medium-term</w:t>
            </w:r>
            <w:r>
              <w:rPr>
                <w:spacing w:val="1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strategy</w:t>
            </w:r>
            <w:r>
              <w:rPr>
                <w:spacing w:val="1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1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programme</w:t>
            </w:r>
            <w:r>
              <w:rPr>
                <w:spacing w:val="1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of</w:t>
            </w:r>
            <w:r>
              <w:rPr>
                <w:spacing w:val="11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work</w:t>
            </w:r>
            <w:r>
              <w:rPr>
                <w:spacing w:val="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13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budget.</w:t>
            </w:r>
            <w:r>
              <w:rPr>
                <w:spacing w:val="11"/>
                <w:w w:val="105"/>
                <w:sz w:val="20"/>
              </w:rPr>
              <w:t> </w:t>
            </w:r>
            <w:r>
              <w:rPr>
                <w:b/>
                <w:i/>
                <w:w w:val="105"/>
                <w:sz w:val="20"/>
              </w:rPr>
              <w:t>GC</w:t>
            </w:r>
            <w:r>
              <w:rPr>
                <w:b/>
                <w:i/>
                <w:spacing w:val="10"/>
                <w:w w:val="105"/>
                <w:sz w:val="20"/>
              </w:rPr>
              <w:t> </w:t>
            </w:r>
            <w:r>
              <w:rPr>
                <w:b/>
                <w:i/>
                <w:w w:val="105"/>
                <w:sz w:val="20"/>
              </w:rPr>
              <w:t>Decision</w:t>
            </w:r>
            <w:r>
              <w:rPr>
                <w:b/>
                <w:i/>
                <w:spacing w:val="11"/>
                <w:w w:val="105"/>
                <w:sz w:val="20"/>
              </w:rPr>
              <w:t> </w:t>
            </w:r>
            <w:r>
              <w:rPr>
                <w:b/>
                <w:i/>
                <w:spacing w:val="-2"/>
                <w:w w:val="105"/>
                <w:sz w:val="20"/>
              </w:rPr>
              <w:t>27/2,</w:t>
            </w:r>
          </w:p>
          <w:p>
            <w:pPr>
              <w:pStyle w:val="TableParagraph"/>
              <w:spacing w:line="225" w:lineRule="exact"/>
              <w:rPr>
                <w:b/>
                <w:i/>
                <w:sz w:val="20"/>
              </w:rPr>
            </w:pPr>
            <w:r>
              <w:rPr>
                <w:b/>
                <w:i/>
                <w:spacing w:val="-2"/>
                <w:w w:val="105"/>
                <w:sz w:val="20"/>
              </w:rPr>
              <w:t>paragraph</w:t>
            </w:r>
            <w:r>
              <w:rPr>
                <w:b/>
                <w:i/>
                <w:spacing w:val="1"/>
                <w:w w:val="105"/>
                <w:sz w:val="20"/>
              </w:rPr>
              <w:t> </w:t>
            </w:r>
            <w:r>
              <w:rPr>
                <w:b/>
                <w:i/>
                <w:spacing w:val="-5"/>
                <w:w w:val="105"/>
                <w:sz w:val="20"/>
              </w:rPr>
              <w:t>11</w:t>
            </w:r>
          </w:p>
        </w:tc>
        <w:tc>
          <w:tcPr>
            <w:tcW w:w="141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731" w:hRule="atLeast"/>
        </w:trPr>
        <w:tc>
          <w:tcPr>
            <w:tcW w:w="2552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7089" w:type="dxa"/>
          </w:tcPr>
          <w:p>
            <w:pPr>
              <w:pStyle w:val="TableParagraph"/>
              <w:rPr>
                <w:b/>
                <w:i/>
                <w:sz w:val="20"/>
              </w:rPr>
            </w:pPr>
            <w:r>
              <w:rPr>
                <w:w w:val="105"/>
                <w:sz w:val="20"/>
              </w:rPr>
              <w:t>9. Consider the frequency, schedule and programmatic focus of its meetings to enhance</w:t>
            </w:r>
            <w:r>
              <w:rPr>
                <w:spacing w:val="-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its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efficiency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effectiveness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and</w:t>
            </w:r>
            <w:r>
              <w:rPr>
                <w:spacing w:val="-8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to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improve</w:t>
            </w:r>
            <w:r>
              <w:rPr>
                <w:spacing w:val="-9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its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working</w:t>
            </w:r>
            <w:r>
              <w:rPr>
                <w:spacing w:val="-10"/>
                <w:w w:val="105"/>
                <w:sz w:val="20"/>
              </w:rPr>
              <w:t> </w:t>
            </w:r>
            <w:r>
              <w:rPr>
                <w:w w:val="105"/>
                <w:sz w:val="20"/>
              </w:rPr>
              <w:t>methods.</w:t>
            </w:r>
            <w:r>
              <w:rPr>
                <w:spacing w:val="-2"/>
                <w:w w:val="105"/>
                <w:sz w:val="20"/>
              </w:rPr>
              <w:t> </w:t>
            </w:r>
            <w:r>
              <w:rPr>
                <w:b/>
                <w:i/>
                <w:spacing w:val="-5"/>
                <w:w w:val="105"/>
                <w:sz w:val="20"/>
              </w:rPr>
              <w:t>GC</w:t>
            </w:r>
          </w:p>
          <w:p>
            <w:pPr>
              <w:pStyle w:val="TableParagraph"/>
              <w:spacing w:line="224" w:lineRule="exact"/>
              <w:rPr>
                <w:b/>
                <w:i/>
                <w:sz w:val="20"/>
              </w:rPr>
            </w:pPr>
            <w:r>
              <w:rPr>
                <w:b/>
                <w:i/>
                <w:w w:val="105"/>
                <w:sz w:val="20"/>
              </w:rPr>
              <w:t>Decision</w:t>
            </w:r>
            <w:r>
              <w:rPr>
                <w:b/>
                <w:i/>
                <w:spacing w:val="6"/>
                <w:w w:val="105"/>
                <w:sz w:val="20"/>
              </w:rPr>
              <w:t> </w:t>
            </w:r>
            <w:r>
              <w:rPr>
                <w:b/>
                <w:i/>
                <w:w w:val="105"/>
                <w:sz w:val="20"/>
              </w:rPr>
              <w:t>27/2,</w:t>
            </w:r>
            <w:r>
              <w:rPr>
                <w:b/>
                <w:i/>
                <w:spacing w:val="7"/>
                <w:w w:val="105"/>
                <w:sz w:val="20"/>
              </w:rPr>
              <w:t> </w:t>
            </w:r>
            <w:r>
              <w:rPr>
                <w:b/>
                <w:i/>
                <w:w w:val="105"/>
                <w:sz w:val="20"/>
              </w:rPr>
              <w:t>paragraph</w:t>
            </w:r>
            <w:r>
              <w:rPr>
                <w:b/>
                <w:i/>
                <w:spacing w:val="6"/>
                <w:w w:val="105"/>
                <w:sz w:val="20"/>
              </w:rPr>
              <w:t> </w:t>
            </w:r>
            <w:r>
              <w:rPr>
                <w:b/>
                <w:i/>
                <w:spacing w:val="-5"/>
                <w:w w:val="105"/>
                <w:sz w:val="20"/>
              </w:rPr>
              <w:t>12</w:t>
            </w:r>
          </w:p>
        </w:tc>
        <w:tc>
          <w:tcPr>
            <w:tcW w:w="1419" w:type="dxa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  <w:tr>
        <w:trPr>
          <w:trHeight w:val="1075" w:hRule="atLeast"/>
        </w:trPr>
        <w:tc>
          <w:tcPr>
            <w:tcW w:w="2552" w:type="dxa"/>
          </w:tcPr>
          <w:p>
            <w:pPr>
              <w:pStyle w:val="TableParagraph"/>
              <w:ind w:left="105" w:right="94"/>
              <w:jc w:val="both"/>
              <w:rPr>
                <w:b/>
                <w:sz w:val="22"/>
              </w:rPr>
            </w:pPr>
            <w:r>
              <w:rPr>
                <w:b/>
                <w:color w:val="205E99"/>
                <w:w w:val="110"/>
                <w:sz w:val="22"/>
              </w:rPr>
              <w:t>Short</w:t>
            </w:r>
            <w:r>
              <w:rPr>
                <w:b/>
                <w:color w:val="205E99"/>
                <w:w w:val="110"/>
                <w:sz w:val="22"/>
              </w:rPr>
              <w:t> (3-5</w:t>
            </w:r>
            <w:r>
              <w:rPr>
                <w:b/>
                <w:color w:val="205E99"/>
                <w:w w:val="110"/>
                <w:sz w:val="22"/>
              </w:rPr>
              <w:t> lines) rationale</w:t>
            </w:r>
            <w:r>
              <w:rPr>
                <w:b/>
                <w:color w:val="205E99"/>
                <w:w w:val="110"/>
                <w:sz w:val="22"/>
              </w:rPr>
              <w:t> behind</w:t>
            </w:r>
            <w:r>
              <w:rPr>
                <w:b/>
                <w:color w:val="205E99"/>
                <w:w w:val="110"/>
                <w:sz w:val="22"/>
              </w:rPr>
              <w:t> the </w:t>
            </w:r>
            <w:r>
              <w:rPr>
                <w:b/>
                <w:color w:val="205E99"/>
                <w:spacing w:val="-2"/>
                <w:w w:val="110"/>
                <w:sz w:val="22"/>
              </w:rPr>
              <w:t>proposed</w:t>
            </w:r>
          </w:p>
          <w:p>
            <w:pPr>
              <w:pStyle w:val="TableParagraph"/>
              <w:spacing w:line="252" w:lineRule="exact"/>
              <w:ind w:left="105"/>
              <w:rPr>
                <w:b/>
                <w:sz w:val="22"/>
              </w:rPr>
            </w:pPr>
            <w:r>
              <w:rPr>
                <w:b/>
                <w:color w:val="205E99"/>
                <w:spacing w:val="-2"/>
                <w:w w:val="110"/>
                <w:sz w:val="22"/>
              </w:rPr>
              <w:t>recommendation</w:t>
            </w:r>
          </w:p>
        </w:tc>
        <w:tc>
          <w:tcPr>
            <w:tcW w:w="8508" w:type="dxa"/>
            <w:gridSpan w:val="2"/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</w:tr>
    </w:tbl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56"/>
        <w:rPr>
          <w:b/>
          <w:sz w:val="20"/>
        </w:rPr>
      </w:pPr>
      <w:r>
        <w:rPr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630936</wp:posOffset>
                </wp:positionH>
                <wp:positionV relativeFrom="paragraph">
                  <wp:posOffset>269441</wp:posOffset>
                </wp:positionV>
                <wp:extent cx="1829435" cy="7620"/>
                <wp:effectExtent l="0" t="0" r="0" b="0"/>
                <wp:wrapTopAndBottom/>
                <wp:docPr id="4" name="Graphic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Graphic 4"/>
                      <wps:cNvSpPr/>
                      <wps:spPr>
                        <a:xfrm>
                          <a:off x="0" y="0"/>
                          <a:ext cx="182943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7620">
                              <a:moveTo>
                                <a:pt x="1829435" y="0"/>
                              </a:moveTo>
                              <a:lnTo>
                                <a:pt x="0" y="0"/>
                              </a:lnTo>
                              <a:lnTo>
                                <a:pt x="0" y="7620"/>
                              </a:lnTo>
                              <a:lnTo>
                                <a:pt x="1829435" y="7620"/>
                              </a:lnTo>
                              <a:lnTo>
                                <a:pt x="182943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49.68pt;margin-top:21.215897pt;width:144.050pt;height:.60004pt;mso-position-horizontal-relative:page;mso-position-vertical-relative:paragraph;z-index:-15727616;mso-wrap-distance-left:0;mso-wrap-distance-right:0" id="docshape4" filled="true" fillcolor="#000000" stroked="false">
                <v:fill type="solid"/>
                <w10:wrap type="topAndBottom"/>
              </v:rect>
            </w:pict>
          </mc:Fallback>
        </mc:AlternateContent>
      </w:r>
    </w:p>
    <w:p>
      <w:pPr>
        <w:spacing w:line="252" w:lineRule="auto" w:before="154"/>
        <w:ind w:left="427" w:right="1431" w:firstLine="0"/>
        <w:jc w:val="both"/>
        <w:rPr>
          <w:i/>
          <w:sz w:val="16"/>
        </w:rPr>
      </w:pPr>
      <w:bookmarkStart w:name="_bookmark0" w:id="1"/>
      <w:bookmarkEnd w:id="1"/>
      <w:r>
        <w:rPr/>
      </w:r>
      <w:r>
        <w:rPr>
          <w:w w:val="105"/>
          <w:position w:val="8"/>
          <w:sz w:val="14"/>
        </w:rPr>
        <w:t>1</w:t>
      </w:r>
      <w:r>
        <w:rPr>
          <w:spacing w:val="24"/>
          <w:w w:val="105"/>
          <w:position w:val="8"/>
          <w:sz w:val="14"/>
        </w:rPr>
        <w:t> </w:t>
      </w:r>
      <w:r>
        <w:rPr>
          <w:i/>
          <w:w w:val="105"/>
          <w:sz w:val="16"/>
        </w:rPr>
        <w:t>This</w:t>
      </w:r>
      <w:r>
        <w:rPr>
          <w:i/>
          <w:spacing w:val="-1"/>
          <w:w w:val="105"/>
          <w:sz w:val="16"/>
        </w:rPr>
        <w:t> </w:t>
      </w:r>
      <w:r>
        <w:rPr>
          <w:i/>
          <w:w w:val="105"/>
          <w:sz w:val="16"/>
        </w:rPr>
        <w:t>checklist</w:t>
      </w:r>
      <w:r>
        <w:rPr>
          <w:i/>
          <w:spacing w:val="-3"/>
          <w:w w:val="105"/>
          <w:sz w:val="16"/>
        </w:rPr>
        <w:t> </w:t>
      </w:r>
      <w:r>
        <w:rPr>
          <w:i/>
          <w:w w:val="105"/>
          <w:sz w:val="16"/>
        </w:rPr>
        <w:t>summarizes</w:t>
      </w:r>
      <w:r>
        <w:rPr>
          <w:i/>
          <w:spacing w:val="-1"/>
          <w:w w:val="105"/>
          <w:sz w:val="16"/>
        </w:rPr>
        <w:t> </w:t>
      </w:r>
      <w:r>
        <w:rPr>
          <w:i/>
          <w:w w:val="105"/>
          <w:sz w:val="16"/>
        </w:rPr>
        <w:t>the mandate of</w:t>
      </w:r>
      <w:r>
        <w:rPr>
          <w:i/>
          <w:spacing w:val="-4"/>
          <w:w w:val="105"/>
          <w:sz w:val="16"/>
        </w:rPr>
        <w:t> </w:t>
      </w:r>
      <w:r>
        <w:rPr>
          <w:i/>
          <w:w w:val="105"/>
          <w:sz w:val="16"/>
        </w:rPr>
        <w:t>the CPR to</w:t>
      </w:r>
      <w:r>
        <w:rPr>
          <w:i/>
          <w:spacing w:val="-3"/>
          <w:w w:val="105"/>
          <w:sz w:val="16"/>
        </w:rPr>
        <w:t> </w:t>
      </w:r>
      <w:r>
        <w:rPr>
          <w:i/>
          <w:w w:val="105"/>
          <w:sz w:val="16"/>
        </w:rPr>
        <w:t>take</w:t>
      </w:r>
      <w:r>
        <w:rPr>
          <w:i/>
          <w:spacing w:val="-1"/>
          <w:w w:val="105"/>
          <w:sz w:val="16"/>
        </w:rPr>
        <w:t> </w:t>
      </w:r>
      <w:r>
        <w:rPr>
          <w:i/>
          <w:w w:val="105"/>
          <w:sz w:val="16"/>
        </w:rPr>
        <w:t>decisions within</w:t>
      </w:r>
      <w:r>
        <w:rPr>
          <w:i/>
          <w:spacing w:val="-3"/>
          <w:w w:val="105"/>
          <w:sz w:val="16"/>
        </w:rPr>
        <w:t> </w:t>
      </w:r>
      <w:r>
        <w:rPr>
          <w:i/>
          <w:w w:val="105"/>
          <w:sz w:val="16"/>
        </w:rPr>
        <w:t>the framework established</w:t>
      </w:r>
      <w:r>
        <w:rPr>
          <w:i/>
          <w:spacing w:val="-1"/>
          <w:w w:val="105"/>
          <w:sz w:val="16"/>
        </w:rPr>
        <w:t> </w:t>
      </w:r>
      <w:r>
        <w:rPr>
          <w:i/>
          <w:w w:val="105"/>
          <w:sz w:val="16"/>
        </w:rPr>
        <w:t>by the</w:t>
      </w:r>
      <w:r>
        <w:rPr>
          <w:i/>
          <w:spacing w:val="-1"/>
          <w:w w:val="105"/>
          <w:sz w:val="16"/>
        </w:rPr>
        <w:t> </w:t>
      </w:r>
      <w:r>
        <w:rPr>
          <w:i/>
          <w:w w:val="105"/>
          <w:sz w:val="16"/>
        </w:rPr>
        <w:t>United Nations Environment</w:t>
      </w:r>
      <w:r>
        <w:rPr>
          <w:i/>
          <w:spacing w:val="40"/>
          <w:w w:val="105"/>
          <w:sz w:val="16"/>
        </w:rPr>
        <w:t> </w:t>
      </w:r>
      <w:r>
        <w:rPr>
          <w:i/>
          <w:w w:val="105"/>
          <w:sz w:val="16"/>
        </w:rPr>
        <w:t>Assembly (UNEA) and its predecessor, the Governing Council (GC or</w:t>
      </w:r>
      <w:r>
        <w:rPr>
          <w:i/>
          <w:spacing w:val="-4"/>
          <w:w w:val="105"/>
          <w:sz w:val="16"/>
        </w:rPr>
        <w:t> </w:t>
      </w:r>
      <w:r>
        <w:rPr>
          <w:i/>
          <w:w w:val="105"/>
          <w:sz w:val="16"/>
        </w:rPr>
        <w:t>“the Council”). It has been developed taking into account the </w:t>
      </w:r>
      <w:hyperlink r:id="rId13">
        <w:r>
          <w:rPr>
            <w:i/>
            <w:color w:val="467885"/>
            <w:w w:val="105"/>
            <w:sz w:val="16"/>
            <w:u w:val="single" w:color="467885"/>
          </w:rPr>
          <w:t>note on</w:t>
        </w:r>
      </w:hyperlink>
      <w:r>
        <w:rPr>
          <w:i/>
          <w:color w:val="467885"/>
          <w:spacing w:val="40"/>
          <w:w w:val="107"/>
          <w:sz w:val="16"/>
          <w:u w:val="none"/>
        </w:rPr>
        <w:t> </w:t>
      </w:r>
      <w:hyperlink r:id="rId13">
        <w:r>
          <w:rPr>
            <w:i/>
            <w:color w:val="467885"/>
            <w:w w:val="105"/>
            <w:sz w:val="16"/>
            <w:u w:val="single" w:color="467885"/>
          </w:rPr>
          <w:t>the mandate of the CPR dated 16 September 2024</w:t>
        </w:r>
      </w:hyperlink>
      <w:r>
        <w:rPr>
          <w:i/>
          <w:color w:val="467885"/>
          <w:w w:val="105"/>
          <w:sz w:val="16"/>
          <w:u w:val="none"/>
        </w:rPr>
        <w:t> </w:t>
      </w:r>
      <w:r>
        <w:rPr>
          <w:i/>
          <w:w w:val="105"/>
          <w:sz w:val="16"/>
          <w:u w:val="none"/>
        </w:rPr>
        <w:t>prepared by the Secretariat.</w:t>
      </w:r>
    </w:p>
    <w:sectPr>
      <w:pgSz w:w="11910" w:h="16840"/>
      <w:pgMar w:header="0" w:footer="1094" w:top="1220" w:bottom="1280" w:left="566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Roboto">
    <w:altName w:val="Roboto"/>
    <w:charset w:val="0"/>
    <w:family w:val="auto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9296">
              <wp:simplePos x="0" y="0"/>
              <wp:positionH relativeFrom="page">
                <wp:posOffset>3560698</wp:posOffset>
              </wp:positionH>
              <wp:positionV relativeFrom="page">
                <wp:posOffset>9858100</wp:posOffset>
              </wp:positionV>
              <wp:extent cx="170815" cy="211454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70815" cy="211454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7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w w:val="105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w w:val="105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w w:val="105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w w:val="105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w w:val="105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280.369995pt;margin-top:776.228394pt;width:13.45pt;height:16.650pt;mso-position-horizontal-relative:page;mso-position-vertical-relative:page;z-index:-15837184" type="#_x0000_t202" id="docshape1" filled="false" stroked="false">
              <v:textbox inset="0,0,0,0">
                <w:txbxContent>
                  <w:p>
                    <w:pPr>
                      <w:spacing w:before="17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w w:val="105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w w:val="105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w w:val="105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w w:val="105"/>
                        <w:sz w:val="24"/>
                      </w:rPr>
                      <w:t>1</w:t>
                    </w:r>
                    <w:r>
                      <w:rPr>
                        <w:spacing w:val="-10"/>
                        <w:w w:val="105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8"/>
      <w:numFmt w:val="decimal"/>
      <w:lvlText w:val="%1."/>
      <w:lvlJc w:val="left"/>
      <w:pPr>
        <w:ind w:left="1080" w:hanging="226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8"/>
        <w:sz w:val="22"/>
        <w:szCs w:val="22"/>
        <w:lang w:val="en-US" w:eastAsia="en-US" w:bidi="ar-SA"/>
      </w:rPr>
    </w:lvl>
    <w:lvl w:ilvl="1">
      <w:start w:val="1"/>
      <w:numFmt w:val="lowerLetter"/>
      <w:lvlText w:val="(%2)"/>
      <w:lvlJc w:val="left"/>
      <w:pPr>
        <w:ind w:left="1148" w:hanging="336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3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73" w:hanging="336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406" w:hanging="336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40" w:hanging="336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673" w:hanging="336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806" w:hanging="336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940" w:hanging="336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073" w:hanging="336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6"/>
      <w:numFmt w:val="decimal"/>
      <w:lvlText w:val="%1."/>
      <w:lvlJc w:val="left"/>
      <w:pPr>
        <w:ind w:left="1148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8"/>
        <w:sz w:val="22"/>
        <w:szCs w:val="22"/>
        <w:lang w:val="en-US" w:eastAsia="en-US" w:bidi="ar-SA"/>
      </w:rPr>
    </w:lvl>
    <w:lvl w:ilvl="1">
      <w:start w:val="1"/>
      <w:numFmt w:val="lowerLetter"/>
      <w:lvlText w:val="(%2)"/>
      <w:lvlJc w:val="left"/>
      <w:pPr>
        <w:ind w:left="1508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0"/>
        <w:w w:val="103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593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86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78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873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96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06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153" w:hanging="3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1"/>
      <w:numFmt w:val="upperLetter"/>
      <w:lvlText w:val="%1."/>
      <w:lvlJc w:val="left"/>
      <w:pPr>
        <w:ind w:left="1148" w:hanging="360"/>
        <w:jc w:val="left"/>
      </w:pPr>
      <w:rPr>
        <w:rFonts w:hint="default"/>
        <w:spacing w:val="0"/>
        <w:w w:val="105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1148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1"/>
        <w:w w:val="108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3180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4200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220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4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7260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9300" w:hanging="36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2"/>
      <w:szCs w:val="22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47" w:hanging="359"/>
      <w:outlineLvl w:val="1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1148" w:hanging="360"/>
      <w:jc w:val="both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Relationship Id="rId6" Type="http://schemas.openxmlformats.org/officeDocument/2006/relationships/hyperlink" Target="https://wedocs.unep.org/bitstream/handle/20.500.11822/37280/FINAL%20AGREEMENT%20-%20Process%20for%20review%20by%20the%20CPR.pdf?sequence=1&amp;isAllowed=y" TargetMode="External"/><Relationship Id="rId7" Type="http://schemas.openxmlformats.org/officeDocument/2006/relationships/hyperlink" Target="https://wedocs.unep.org/bitstream/handle/20.500.11822/39959/Decision%20-%204.%20English.pdf?sequence=1&amp;isAllowed=y" TargetMode="External"/><Relationship Id="rId8" Type="http://schemas.openxmlformats.org/officeDocument/2006/relationships/hyperlink" Target="https://wedocs.unep.org/bitstream/handle/20.500.11822/41041/Chairs%20Summary%209th%20CPR%20annual%20subcommittee%20.pdf?sequence=1&amp;isAllowed=y" TargetMode="External"/><Relationship Id="rId9" Type="http://schemas.openxmlformats.org/officeDocument/2006/relationships/hyperlink" Target="https://www.unep.org/events/annual-subcommittee-cpr/9th-annual-subcommittee-meeting-committee-permanent-representatives" TargetMode="External"/><Relationship Id="rId10" Type="http://schemas.openxmlformats.org/officeDocument/2006/relationships/hyperlink" Target="https://wedocs.unep.org/bitstream/handle/20.500.11822/45437/para41j.pdf" TargetMode="External"/><Relationship Id="rId11" Type="http://schemas.openxmlformats.org/officeDocument/2006/relationships/hyperlink" Target="https://www.unep.org/events/cpr-meetings/resumed-162nd-meeting-committee-permanent-representatives" TargetMode="External"/><Relationship Id="rId12" Type="http://schemas.openxmlformats.org/officeDocument/2006/relationships/hyperlink" Target="https://wedocs.unep.org/bitstream/handle/20.500.11822/46834/unep_cpr_168_2.pdf?sequence=1&amp;isAllowed=y" TargetMode="External"/><Relationship Id="rId13" Type="http://schemas.openxmlformats.org/officeDocument/2006/relationships/hyperlink" Target="https://wedocs.unep.org/bitstream/handle/20.500.11822/46353/Legal-Note-CPR-Mandate24September2024.pdf?sequence=1&amp;isAllowed=y" TargetMode="External"/><Relationship Id="rId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Marie-Pia Tixier</dc:creator>
  <dcterms:created xsi:type="dcterms:W3CDTF">2025-09-02T08:15:16Z</dcterms:created>
  <dcterms:modified xsi:type="dcterms:W3CDTF">2025-09-02T08:15:16Z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2025-05-20T00:00:00Z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2025-09-02T00:00:00Z</vt:filetime>
  </property>
  <property fmtid="{D5CDD505-2E9C-101B-9397-08002B2CF9AE}" pid="5" name="Producer">
    <vt:lpwstr>Microsoft® Word for Microsoft 365</vt:lpwstr>
  </property>
</Properties>
</file>