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7BCC5E" w14:textId="77777777" w:rsidR="007825B9" w:rsidRPr="00D02132" w:rsidRDefault="00033B63" w:rsidP="00816572">
      <w:pPr>
        <w:spacing w:before="360" w:after="240" w:line="276" w:lineRule="auto"/>
        <w:rPr>
          <w:rFonts w:ascii="Roboto" w:eastAsia="Times New Roman" w:hAnsi="Roboto"/>
          <w:b/>
          <w:bCs/>
          <w:sz w:val="22"/>
          <w:szCs w:val="22"/>
          <w:lang w:eastAsia="es-ES"/>
        </w:rPr>
      </w:pPr>
      <w:bookmarkStart w:id="0" w:name="_GoBack"/>
      <w:bookmarkEnd w:id="0"/>
      <w:r w:rsidRPr="00D02132">
        <w:rPr>
          <w:rFonts w:ascii="Roboto" w:hAnsi="Roboto"/>
          <w:noProof/>
          <w:lang w:val="en-US" w:eastAsia="en-US"/>
        </w:rPr>
        <w:drawing>
          <wp:anchor distT="0" distB="0" distL="114300" distR="114300" simplePos="0" relativeHeight="251659264" behindDoc="0" locked="0" layoutInCell="1" allowOverlap="1" wp14:anchorId="7978B032" wp14:editId="34D8DA7F">
            <wp:simplePos x="0" y="0"/>
            <wp:positionH relativeFrom="column">
              <wp:posOffset>-506095</wp:posOffset>
            </wp:positionH>
            <wp:positionV relativeFrom="paragraph">
              <wp:posOffset>0</wp:posOffset>
            </wp:positionV>
            <wp:extent cx="1396365" cy="133223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6365" cy="1332230"/>
                    </a:xfrm>
                    <a:prstGeom prst="rect">
                      <a:avLst/>
                    </a:prstGeom>
                    <a:noFill/>
                    <a:ln>
                      <a:noFill/>
                    </a:ln>
                  </pic:spPr>
                </pic:pic>
              </a:graphicData>
            </a:graphic>
          </wp:anchor>
        </w:drawing>
      </w:r>
    </w:p>
    <w:p w14:paraId="175C0938" w14:textId="77777777" w:rsidR="007825B9" w:rsidRPr="00D02132" w:rsidRDefault="007825B9" w:rsidP="00816572">
      <w:pPr>
        <w:spacing w:before="360" w:after="240" w:line="276" w:lineRule="auto"/>
        <w:rPr>
          <w:rFonts w:ascii="Roboto" w:eastAsia="Times New Roman" w:hAnsi="Roboto"/>
          <w:b/>
          <w:bCs/>
          <w:sz w:val="22"/>
          <w:szCs w:val="22"/>
          <w:lang w:eastAsia="es-ES"/>
        </w:rPr>
      </w:pPr>
    </w:p>
    <w:p w14:paraId="40DA5F5E" w14:textId="77777777" w:rsidR="007825B9" w:rsidRPr="00D02132" w:rsidRDefault="007825B9" w:rsidP="00816572">
      <w:pPr>
        <w:spacing w:before="360" w:after="240" w:line="276" w:lineRule="auto"/>
        <w:rPr>
          <w:rFonts w:ascii="Roboto" w:eastAsia="Times New Roman" w:hAnsi="Roboto"/>
          <w:b/>
          <w:bCs/>
          <w:sz w:val="22"/>
          <w:szCs w:val="22"/>
          <w:lang w:eastAsia="es-ES"/>
        </w:rPr>
      </w:pPr>
    </w:p>
    <w:tbl>
      <w:tblPr>
        <w:tblW w:w="10893" w:type="dxa"/>
        <w:tblInd w:w="-885" w:type="dxa"/>
        <w:tblLayout w:type="fixed"/>
        <w:tblLook w:val="0000" w:firstRow="0" w:lastRow="0" w:firstColumn="0" w:lastColumn="0" w:noHBand="0" w:noVBand="0"/>
      </w:tblPr>
      <w:tblGrid>
        <w:gridCol w:w="2610"/>
        <w:gridCol w:w="4503"/>
        <w:gridCol w:w="3690"/>
        <w:gridCol w:w="90"/>
      </w:tblGrid>
      <w:tr w:rsidR="005D7035" w:rsidRPr="00D02132" w14:paraId="7C2DC298" w14:textId="77777777" w:rsidTr="00611891">
        <w:trPr>
          <w:cantSplit/>
        </w:trPr>
        <w:tc>
          <w:tcPr>
            <w:tcW w:w="2610" w:type="dxa"/>
            <w:tcBorders>
              <w:bottom w:val="thinThickSmallGap" w:sz="24" w:space="0" w:color="auto"/>
            </w:tcBorders>
          </w:tcPr>
          <w:p w14:paraId="14897191" w14:textId="77777777" w:rsidR="005D7035" w:rsidRPr="00D02132" w:rsidRDefault="005D7035" w:rsidP="00816572">
            <w:pPr>
              <w:tabs>
                <w:tab w:val="center" w:pos="4419"/>
                <w:tab w:val="right" w:pos="8838"/>
              </w:tabs>
              <w:spacing w:line="276" w:lineRule="auto"/>
              <w:rPr>
                <w:rFonts w:ascii="Roboto" w:eastAsia="Times New Roman" w:hAnsi="Roboto"/>
                <w:lang w:eastAsia="es-ES"/>
              </w:rPr>
            </w:pPr>
          </w:p>
        </w:tc>
        <w:tc>
          <w:tcPr>
            <w:tcW w:w="8283" w:type="dxa"/>
            <w:gridSpan w:val="3"/>
            <w:tcBorders>
              <w:bottom w:val="thinThickSmallGap" w:sz="24" w:space="0" w:color="auto"/>
            </w:tcBorders>
          </w:tcPr>
          <w:p w14:paraId="77D68809" w14:textId="77777777" w:rsidR="005D7035" w:rsidRPr="00D02132" w:rsidRDefault="005D7035" w:rsidP="00816572">
            <w:pPr>
              <w:tabs>
                <w:tab w:val="center" w:pos="4419"/>
                <w:tab w:val="right" w:pos="8838"/>
              </w:tabs>
              <w:spacing w:after="120" w:line="276" w:lineRule="auto"/>
              <w:rPr>
                <w:rFonts w:ascii="Roboto" w:eastAsia="Times New Roman" w:hAnsi="Roboto"/>
                <w:lang w:eastAsia="es-ES"/>
              </w:rPr>
            </w:pPr>
          </w:p>
        </w:tc>
      </w:tr>
      <w:tr w:rsidR="005D7035" w:rsidRPr="00D02132" w14:paraId="32FBF1A9" w14:textId="77777777" w:rsidTr="00083276">
        <w:trPr>
          <w:gridAfter w:val="1"/>
          <w:wAfter w:w="90" w:type="dxa"/>
          <w:trHeight w:val="26"/>
        </w:trPr>
        <w:tc>
          <w:tcPr>
            <w:tcW w:w="7113" w:type="dxa"/>
            <w:gridSpan w:val="2"/>
          </w:tcPr>
          <w:p w14:paraId="028F2ED8" w14:textId="77777777" w:rsidR="005D7035" w:rsidRPr="00D02132" w:rsidRDefault="005D7035" w:rsidP="00816572">
            <w:pPr>
              <w:spacing w:line="276" w:lineRule="auto"/>
              <w:rPr>
                <w:rFonts w:ascii="Roboto" w:eastAsia="Times New Roman" w:hAnsi="Roboto"/>
                <w:b/>
                <w:lang w:eastAsia="es-ES"/>
              </w:rPr>
            </w:pPr>
          </w:p>
        </w:tc>
        <w:tc>
          <w:tcPr>
            <w:tcW w:w="3690" w:type="dxa"/>
          </w:tcPr>
          <w:p w14:paraId="4A04BE0E" w14:textId="77777777" w:rsidR="005D7035" w:rsidRPr="00D02132" w:rsidRDefault="005D7035" w:rsidP="00816572">
            <w:pPr>
              <w:spacing w:line="276" w:lineRule="auto"/>
              <w:rPr>
                <w:rFonts w:ascii="Roboto" w:eastAsia="Times New Roman" w:hAnsi="Roboto"/>
                <w:b/>
                <w:lang w:eastAsia="es-ES"/>
              </w:rPr>
            </w:pPr>
          </w:p>
        </w:tc>
      </w:tr>
      <w:tr w:rsidR="00611891" w:rsidRPr="00D02132" w14:paraId="0D8DE39A" w14:textId="77777777" w:rsidTr="005D7035">
        <w:trPr>
          <w:gridAfter w:val="1"/>
          <w:wAfter w:w="90" w:type="dxa"/>
          <w:trHeight w:val="80"/>
        </w:trPr>
        <w:tc>
          <w:tcPr>
            <w:tcW w:w="7113" w:type="dxa"/>
            <w:gridSpan w:val="2"/>
          </w:tcPr>
          <w:p w14:paraId="790950DB" w14:textId="77777777" w:rsidR="00611891" w:rsidRPr="00D02132" w:rsidRDefault="00611891" w:rsidP="00611891">
            <w:pPr>
              <w:spacing w:line="256" w:lineRule="auto"/>
              <w:rPr>
                <w:rFonts w:ascii="Roboto" w:eastAsia="Times New Roman" w:hAnsi="Roboto"/>
                <w:b/>
                <w:sz w:val="18"/>
                <w:szCs w:val="18"/>
                <w:lang w:eastAsia="es-ES"/>
              </w:rPr>
            </w:pPr>
            <w:r w:rsidRPr="00D02132">
              <w:rPr>
                <w:rFonts w:ascii="Roboto" w:eastAsia="Times New Roman" w:hAnsi="Roboto"/>
                <w:b/>
                <w:sz w:val="18"/>
                <w:szCs w:val="18"/>
                <w:lang w:eastAsia="es-ES"/>
              </w:rPr>
              <w:t xml:space="preserve">XXI Reunión del Foro de Ministros de </w:t>
            </w:r>
          </w:p>
          <w:p w14:paraId="756FD8FE" w14:textId="77777777" w:rsidR="00611891" w:rsidRPr="00D02132" w:rsidRDefault="00611891" w:rsidP="00611891">
            <w:pPr>
              <w:spacing w:line="256" w:lineRule="auto"/>
              <w:rPr>
                <w:rFonts w:ascii="Roboto" w:eastAsia="Times New Roman" w:hAnsi="Roboto"/>
                <w:b/>
                <w:sz w:val="18"/>
                <w:szCs w:val="18"/>
                <w:lang w:eastAsia="es-ES"/>
              </w:rPr>
            </w:pPr>
            <w:r w:rsidRPr="00D02132">
              <w:rPr>
                <w:rFonts w:ascii="Roboto" w:eastAsia="Times New Roman" w:hAnsi="Roboto"/>
                <w:b/>
                <w:sz w:val="18"/>
                <w:szCs w:val="18"/>
                <w:lang w:eastAsia="es-ES"/>
              </w:rPr>
              <w:t>Medio Ambiente de América Latina y el Caribe</w:t>
            </w:r>
          </w:p>
          <w:p w14:paraId="5EE476CB" w14:textId="77777777" w:rsidR="00611891" w:rsidRPr="00D02132" w:rsidRDefault="00611891" w:rsidP="00611891">
            <w:pPr>
              <w:spacing w:line="256" w:lineRule="auto"/>
              <w:rPr>
                <w:rFonts w:ascii="Roboto" w:eastAsia="Times New Roman" w:hAnsi="Roboto"/>
                <w:sz w:val="18"/>
                <w:szCs w:val="18"/>
                <w:lang w:eastAsia="es-ES"/>
              </w:rPr>
            </w:pPr>
            <w:r w:rsidRPr="00D02132">
              <w:rPr>
                <w:rFonts w:ascii="Roboto" w:eastAsia="Times New Roman" w:hAnsi="Roboto"/>
                <w:sz w:val="18"/>
                <w:szCs w:val="18"/>
                <w:lang w:eastAsia="es-ES"/>
              </w:rPr>
              <w:t>Buenos Aires, Argentina</w:t>
            </w:r>
          </w:p>
          <w:p w14:paraId="7DAE2096" w14:textId="77777777" w:rsidR="00611891" w:rsidRPr="00D02132" w:rsidRDefault="00611891" w:rsidP="00611891">
            <w:pPr>
              <w:spacing w:line="256" w:lineRule="auto"/>
              <w:rPr>
                <w:rFonts w:ascii="Roboto" w:eastAsia="Times New Roman" w:hAnsi="Roboto"/>
                <w:sz w:val="18"/>
                <w:szCs w:val="18"/>
                <w:lang w:eastAsia="es-ES"/>
              </w:rPr>
            </w:pPr>
          </w:p>
          <w:p w14:paraId="1C250857" w14:textId="77777777" w:rsidR="00611891" w:rsidRPr="00D02132" w:rsidRDefault="00611891" w:rsidP="00611891">
            <w:pPr>
              <w:spacing w:line="256" w:lineRule="auto"/>
              <w:rPr>
                <w:rFonts w:ascii="Roboto" w:eastAsia="Times New Roman" w:hAnsi="Roboto"/>
                <w:b/>
                <w:sz w:val="18"/>
                <w:szCs w:val="18"/>
                <w:lang w:eastAsia="es-ES"/>
              </w:rPr>
            </w:pPr>
            <w:r w:rsidRPr="00D02132">
              <w:rPr>
                <w:rFonts w:ascii="Roboto" w:eastAsia="Times New Roman" w:hAnsi="Roboto"/>
                <w:sz w:val="18"/>
                <w:szCs w:val="18"/>
                <w:lang w:eastAsia="es-ES"/>
              </w:rPr>
              <w:t>A. Reunión de Expertos de Alto Nivel</w:t>
            </w:r>
            <w:r w:rsidRPr="00D02132">
              <w:rPr>
                <w:rFonts w:ascii="Roboto" w:eastAsia="Times New Roman" w:hAnsi="Roboto"/>
                <w:sz w:val="18"/>
                <w:szCs w:val="18"/>
                <w:lang w:eastAsia="es-ES"/>
              </w:rPr>
              <w:br/>
              <w:t>9 - 10 de octubre de 2018</w:t>
            </w:r>
          </w:p>
        </w:tc>
        <w:tc>
          <w:tcPr>
            <w:tcW w:w="3690" w:type="dxa"/>
          </w:tcPr>
          <w:p w14:paraId="2F1C5529" w14:textId="77777777" w:rsidR="00611891" w:rsidRPr="00D02132" w:rsidRDefault="00611891" w:rsidP="00611891">
            <w:pPr>
              <w:spacing w:line="256" w:lineRule="auto"/>
              <w:rPr>
                <w:rFonts w:ascii="Roboto" w:eastAsia="Times New Roman" w:hAnsi="Roboto"/>
                <w:b/>
                <w:bCs/>
                <w:sz w:val="18"/>
                <w:szCs w:val="18"/>
                <w:lang w:eastAsia="es-ES"/>
              </w:rPr>
            </w:pPr>
            <w:r w:rsidRPr="00D02132">
              <w:rPr>
                <w:rFonts w:ascii="Roboto" w:eastAsia="Times New Roman" w:hAnsi="Roboto"/>
                <w:b/>
                <w:bCs/>
                <w:sz w:val="18"/>
                <w:szCs w:val="18"/>
                <w:lang w:eastAsia="es-ES"/>
              </w:rPr>
              <w:t>Distribución:</w:t>
            </w:r>
            <w:r w:rsidRPr="00D02132">
              <w:rPr>
                <w:rFonts w:ascii="Roboto" w:eastAsia="Times New Roman" w:hAnsi="Roboto"/>
                <w:b/>
                <w:bCs/>
                <w:sz w:val="18"/>
                <w:szCs w:val="18"/>
                <w:lang w:eastAsia="es-ES"/>
              </w:rPr>
              <w:br/>
            </w:r>
            <w:r w:rsidRPr="00D02132">
              <w:rPr>
                <w:rFonts w:ascii="Roboto" w:eastAsia="Times New Roman" w:hAnsi="Roboto"/>
                <w:sz w:val="18"/>
                <w:szCs w:val="18"/>
                <w:lang w:eastAsia="es-ES"/>
              </w:rPr>
              <w:t>Limitada</w:t>
            </w:r>
            <w:r w:rsidRPr="00D02132">
              <w:rPr>
                <w:rFonts w:ascii="Roboto" w:eastAsia="Times New Roman" w:hAnsi="Roboto"/>
                <w:sz w:val="18"/>
                <w:szCs w:val="18"/>
                <w:lang w:eastAsia="es-ES"/>
              </w:rPr>
              <w:br/>
            </w:r>
          </w:p>
          <w:p w14:paraId="6CFBE32E" w14:textId="77777777" w:rsidR="00611891" w:rsidRPr="00D02132" w:rsidRDefault="00611891" w:rsidP="00611891">
            <w:pPr>
              <w:spacing w:line="256" w:lineRule="auto"/>
              <w:rPr>
                <w:rFonts w:ascii="Roboto" w:eastAsia="Times New Roman" w:hAnsi="Roboto"/>
                <w:sz w:val="18"/>
                <w:szCs w:val="18"/>
                <w:lang w:eastAsia="es-ES"/>
              </w:rPr>
            </w:pPr>
            <w:r w:rsidRPr="00D02132">
              <w:rPr>
                <w:rFonts w:ascii="Roboto" w:eastAsia="Times New Roman" w:hAnsi="Roboto"/>
                <w:b/>
                <w:bCs/>
                <w:sz w:val="18"/>
                <w:szCs w:val="18"/>
                <w:lang w:eastAsia="es-ES"/>
              </w:rPr>
              <w:t>UNEP/LAC-IGWG.XXI/3</w:t>
            </w:r>
            <w:r w:rsidRPr="00D02132">
              <w:rPr>
                <w:rFonts w:ascii="Roboto" w:eastAsia="Times New Roman" w:hAnsi="Roboto"/>
                <w:b/>
                <w:bCs/>
                <w:sz w:val="18"/>
                <w:szCs w:val="18"/>
                <w:lang w:eastAsia="es-ES"/>
              </w:rPr>
              <w:br/>
            </w:r>
          </w:p>
          <w:p w14:paraId="16473B06" w14:textId="52A5829B" w:rsidR="00611891" w:rsidRPr="00D02132" w:rsidRDefault="00057B58" w:rsidP="00611891">
            <w:pPr>
              <w:spacing w:line="256" w:lineRule="auto"/>
              <w:rPr>
                <w:rFonts w:ascii="Roboto" w:eastAsia="Times New Roman" w:hAnsi="Roboto"/>
                <w:sz w:val="18"/>
                <w:szCs w:val="18"/>
                <w:lang w:eastAsia="es-ES"/>
              </w:rPr>
            </w:pPr>
            <w:r>
              <w:rPr>
                <w:rFonts w:ascii="Roboto" w:eastAsia="Times New Roman" w:hAnsi="Roboto"/>
                <w:sz w:val="18"/>
                <w:szCs w:val="18"/>
                <w:lang w:eastAsia="es-ES"/>
              </w:rPr>
              <w:t>4</w:t>
            </w:r>
            <w:r w:rsidR="0041371B">
              <w:rPr>
                <w:rFonts w:ascii="Roboto" w:eastAsia="Times New Roman" w:hAnsi="Roboto"/>
                <w:sz w:val="18"/>
                <w:szCs w:val="18"/>
                <w:lang w:eastAsia="es-ES"/>
              </w:rPr>
              <w:t xml:space="preserve"> de septiembre</w:t>
            </w:r>
            <w:r w:rsidR="00611891" w:rsidRPr="00D02132">
              <w:rPr>
                <w:rFonts w:ascii="Roboto" w:eastAsia="Times New Roman" w:hAnsi="Roboto"/>
                <w:sz w:val="18"/>
                <w:szCs w:val="18"/>
                <w:lang w:eastAsia="es-ES"/>
              </w:rPr>
              <w:t xml:space="preserve"> de 2018</w:t>
            </w:r>
          </w:p>
          <w:p w14:paraId="45B00A74" w14:textId="77777777" w:rsidR="00611891" w:rsidRPr="00D02132" w:rsidRDefault="00611891" w:rsidP="00611891">
            <w:pPr>
              <w:spacing w:line="256" w:lineRule="auto"/>
              <w:rPr>
                <w:rFonts w:ascii="Roboto" w:eastAsia="Times New Roman" w:hAnsi="Roboto"/>
                <w:sz w:val="18"/>
                <w:szCs w:val="18"/>
                <w:lang w:eastAsia="es-ES"/>
              </w:rPr>
            </w:pPr>
            <w:r w:rsidRPr="00D02132">
              <w:rPr>
                <w:rFonts w:ascii="Roboto" w:eastAsia="Times New Roman" w:hAnsi="Roboto"/>
                <w:b/>
                <w:bCs/>
                <w:sz w:val="18"/>
                <w:szCs w:val="18"/>
                <w:lang w:eastAsia="es-ES"/>
              </w:rPr>
              <w:t>Original:</w:t>
            </w:r>
            <w:r w:rsidRPr="00D02132">
              <w:rPr>
                <w:rFonts w:ascii="Roboto" w:eastAsia="Times New Roman" w:hAnsi="Roboto"/>
                <w:sz w:val="18"/>
                <w:szCs w:val="18"/>
                <w:lang w:eastAsia="es-ES"/>
              </w:rPr>
              <w:t xml:space="preserve"> Español</w:t>
            </w:r>
          </w:p>
        </w:tc>
      </w:tr>
    </w:tbl>
    <w:p w14:paraId="17614E29" w14:textId="77777777" w:rsidR="005D7035" w:rsidRPr="00D02132" w:rsidRDefault="005D7035" w:rsidP="00816572">
      <w:pPr>
        <w:spacing w:line="276" w:lineRule="auto"/>
        <w:rPr>
          <w:rFonts w:ascii="Roboto" w:eastAsia="Times New Roman" w:hAnsi="Roboto"/>
          <w:b/>
          <w:bCs/>
          <w:sz w:val="22"/>
          <w:szCs w:val="22"/>
          <w:lang w:eastAsia="es-ES"/>
        </w:rPr>
      </w:pPr>
    </w:p>
    <w:p w14:paraId="0B002BC0" w14:textId="77777777" w:rsidR="005D7035" w:rsidRPr="00D02132" w:rsidRDefault="005D7035" w:rsidP="00816572">
      <w:pPr>
        <w:spacing w:line="276" w:lineRule="auto"/>
        <w:rPr>
          <w:rFonts w:ascii="Roboto" w:eastAsia="Times New Roman" w:hAnsi="Roboto"/>
          <w:b/>
          <w:bCs/>
          <w:sz w:val="22"/>
          <w:szCs w:val="22"/>
          <w:lang w:eastAsia="es-ES"/>
        </w:rPr>
      </w:pPr>
    </w:p>
    <w:p w14:paraId="209B28B6" w14:textId="77777777" w:rsidR="005D7035" w:rsidRPr="00D02132" w:rsidRDefault="005D7035" w:rsidP="00816572">
      <w:pPr>
        <w:spacing w:line="276" w:lineRule="auto"/>
        <w:rPr>
          <w:rFonts w:ascii="Roboto" w:eastAsia="Times New Roman" w:hAnsi="Roboto"/>
          <w:b/>
          <w:bCs/>
          <w:sz w:val="22"/>
          <w:szCs w:val="22"/>
          <w:lang w:eastAsia="es-ES"/>
        </w:rPr>
      </w:pPr>
    </w:p>
    <w:p w14:paraId="6A46645B" w14:textId="57BE4E29" w:rsidR="001C31F0" w:rsidRPr="00D02132" w:rsidRDefault="007825B9" w:rsidP="004F6F14">
      <w:pPr>
        <w:spacing w:line="276" w:lineRule="auto"/>
        <w:rPr>
          <w:rFonts w:ascii="Roboto" w:hAnsi="Roboto"/>
          <w:b/>
          <w:sz w:val="22"/>
          <w:szCs w:val="22"/>
        </w:rPr>
      </w:pPr>
      <w:r w:rsidRPr="00D02132">
        <w:rPr>
          <w:rFonts w:ascii="Roboto" w:eastAsia="Times New Roman" w:hAnsi="Roboto"/>
          <w:b/>
          <w:bCs/>
          <w:sz w:val="32"/>
          <w:szCs w:val="32"/>
          <w:lang w:eastAsia="es-ES"/>
        </w:rPr>
        <w:t xml:space="preserve">Síntesis del avance en la implementación de las </w:t>
      </w:r>
      <w:r w:rsidR="00263237" w:rsidRPr="00D02132">
        <w:rPr>
          <w:rFonts w:ascii="Roboto" w:eastAsia="Times New Roman" w:hAnsi="Roboto"/>
          <w:b/>
          <w:bCs/>
          <w:sz w:val="32"/>
          <w:szCs w:val="32"/>
          <w:lang w:eastAsia="es-ES"/>
        </w:rPr>
        <w:t xml:space="preserve">decisiones </w:t>
      </w:r>
      <w:r w:rsidR="00F737B3" w:rsidRPr="00D02132">
        <w:rPr>
          <w:rFonts w:ascii="Roboto" w:eastAsia="Times New Roman" w:hAnsi="Roboto"/>
          <w:b/>
          <w:bCs/>
          <w:sz w:val="32"/>
          <w:szCs w:val="32"/>
          <w:lang w:eastAsia="es-ES"/>
        </w:rPr>
        <w:t>d</w:t>
      </w:r>
      <w:r w:rsidRPr="00D02132">
        <w:rPr>
          <w:rFonts w:ascii="Roboto" w:eastAsia="Times New Roman" w:hAnsi="Roboto"/>
          <w:b/>
          <w:bCs/>
          <w:sz w:val="32"/>
          <w:szCs w:val="32"/>
          <w:lang w:eastAsia="es-ES"/>
        </w:rPr>
        <w:t>e</w:t>
      </w:r>
      <w:r w:rsidR="00263237" w:rsidRPr="00D02132">
        <w:rPr>
          <w:rFonts w:ascii="Roboto" w:eastAsia="Times New Roman" w:hAnsi="Roboto"/>
          <w:b/>
          <w:bCs/>
          <w:sz w:val="32"/>
          <w:szCs w:val="32"/>
          <w:lang w:eastAsia="es-ES"/>
        </w:rPr>
        <w:t xml:space="preserve"> </w:t>
      </w:r>
      <w:r w:rsidRPr="00D02132">
        <w:rPr>
          <w:rFonts w:ascii="Roboto" w:eastAsia="Times New Roman" w:hAnsi="Roboto"/>
          <w:b/>
          <w:bCs/>
          <w:sz w:val="32"/>
          <w:szCs w:val="32"/>
          <w:lang w:eastAsia="es-ES"/>
        </w:rPr>
        <w:t>l</w:t>
      </w:r>
      <w:r w:rsidR="00263237" w:rsidRPr="00D02132">
        <w:rPr>
          <w:rFonts w:ascii="Roboto" w:eastAsia="Times New Roman" w:hAnsi="Roboto"/>
          <w:b/>
          <w:bCs/>
          <w:sz w:val="32"/>
          <w:szCs w:val="32"/>
          <w:lang w:eastAsia="es-ES"/>
        </w:rPr>
        <w:t>a XX Reunión del</w:t>
      </w:r>
      <w:r w:rsidRPr="00D02132">
        <w:rPr>
          <w:rFonts w:ascii="Roboto" w:eastAsia="Times New Roman" w:hAnsi="Roboto"/>
          <w:b/>
          <w:bCs/>
          <w:sz w:val="32"/>
          <w:szCs w:val="32"/>
          <w:lang w:eastAsia="es-ES"/>
        </w:rPr>
        <w:t xml:space="preserve"> Foro de Ministros de Medio Ambiente de</w:t>
      </w:r>
      <w:r w:rsidR="004F6F14" w:rsidRPr="00D02132">
        <w:rPr>
          <w:rFonts w:ascii="Roboto" w:eastAsia="Times New Roman" w:hAnsi="Roboto"/>
          <w:b/>
          <w:bCs/>
          <w:sz w:val="32"/>
          <w:szCs w:val="32"/>
          <w:lang w:eastAsia="es-ES"/>
        </w:rPr>
        <w:t xml:space="preserve"> </w:t>
      </w:r>
      <w:r w:rsidRPr="00D02132">
        <w:rPr>
          <w:rFonts w:ascii="Roboto" w:eastAsia="Times New Roman" w:hAnsi="Roboto"/>
          <w:b/>
          <w:bCs/>
          <w:sz w:val="32"/>
          <w:szCs w:val="32"/>
          <w:lang w:eastAsia="es-ES"/>
        </w:rPr>
        <w:t>América Latina y el Caribe</w:t>
      </w:r>
      <w:r w:rsidRPr="00D02132">
        <w:rPr>
          <w:rFonts w:ascii="Roboto" w:eastAsia="Times New Roman" w:hAnsi="Roboto"/>
          <w:b/>
          <w:bCs/>
          <w:sz w:val="22"/>
          <w:szCs w:val="22"/>
          <w:lang w:eastAsia="es-ES"/>
        </w:rPr>
        <w:t xml:space="preserve"> </w:t>
      </w:r>
      <w:r w:rsidR="001C31F0" w:rsidRPr="00D02132">
        <w:rPr>
          <w:rFonts w:ascii="Roboto" w:hAnsi="Roboto"/>
          <w:b/>
          <w:sz w:val="22"/>
          <w:szCs w:val="22"/>
        </w:rPr>
        <w:br w:type="page"/>
      </w:r>
    </w:p>
    <w:p w14:paraId="2984F16B" w14:textId="77777777" w:rsidR="003461EE" w:rsidRPr="00D02132" w:rsidRDefault="003461EE" w:rsidP="00816572">
      <w:pPr>
        <w:spacing w:line="276" w:lineRule="auto"/>
        <w:rPr>
          <w:rFonts w:ascii="Roboto" w:eastAsia="Times New Roman" w:hAnsi="Roboto" w:cs="Tahoma"/>
          <w:b/>
          <w:bCs/>
          <w:sz w:val="22"/>
          <w:szCs w:val="22"/>
        </w:rPr>
      </w:pPr>
    </w:p>
    <w:p w14:paraId="6C2E6119" w14:textId="77777777" w:rsidR="003461EE" w:rsidRPr="00D02132" w:rsidRDefault="003461EE" w:rsidP="00816572">
      <w:pPr>
        <w:spacing w:line="276" w:lineRule="auto"/>
        <w:jc w:val="center"/>
        <w:rPr>
          <w:rFonts w:ascii="Roboto" w:eastAsia="Times New Roman" w:hAnsi="Roboto" w:cs="Tahoma"/>
          <w:b/>
          <w:bCs/>
          <w:sz w:val="32"/>
          <w:szCs w:val="22"/>
        </w:rPr>
      </w:pPr>
      <w:r w:rsidRPr="00D02132">
        <w:rPr>
          <w:rFonts w:ascii="Roboto" w:hAnsi="Roboto"/>
          <w:b/>
          <w:sz w:val="32"/>
          <w:szCs w:val="22"/>
        </w:rPr>
        <w:t xml:space="preserve">Decisión 1 - </w:t>
      </w:r>
      <w:r w:rsidRPr="00D02132">
        <w:rPr>
          <w:rFonts w:ascii="Roboto" w:hAnsi="Roboto" w:cs="Arial"/>
          <w:b/>
          <w:sz w:val="32"/>
          <w:szCs w:val="22"/>
        </w:rPr>
        <w:t>Iniciativa Latinoamericana y Caribeña para el Desarrollo Sostenible: Caminado juntos hacia un futuro sostenible</w:t>
      </w:r>
    </w:p>
    <w:p w14:paraId="4A4FE402" w14:textId="77777777" w:rsidR="005B3A76" w:rsidRPr="00D02132" w:rsidRDefault="005B3A76" w:rsidP="00816572">
      <w:pPr>
        <w:spacing w:line="276" w:lineRule="auto"/>
        <w:rPr>
          <w:rFonts w:ascii="Roboto" w:eastAsia="Times New Roman" w:hAnsi="Roboto" w:cs="Tahoma"/>
          <w:b/>
          <w:bCs/>
          <w:sz w:val="22"/>
          <w:szCs w:val="22"/>
        </w:rPr>
      </w:pPr>
    </w:p>
    <w:p w14:paraId="75EAF82A" w14:textId="77777777" w:rsidR="00611891" w:rsidRPr="00D02132" w:rsidRDefault="00611891" w:rsidP="00611891">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Durante la XX Reunión del Foro de Ministros de Medio Ambiente de América Latina y el Caribe, los países de la región aprobaron la actualización del documento actualizado de la Iniciativa Latinoamericana y Caribeña para el Desarrollo Sostenible: Caminado juntos hacia un futuro sostenible a través de esta decisión.</w:t>
      </w:r>
    </w:p>
    <w:p w14:paraId="523F627C" w14:textId="77777777" w:rsidR="003461EE" w:rsidRPr="00D02132" w:rsidRDefault="003461EE" w:rsidP="00816572">
      <w:pPr>
        <w:spacing w:line="276" w:lineRule="auto"/>
        <w:rPr>
          <w:rFonts w:ascii="Roboto" w:eastAsia="Times New Roman" w:hAnsi="Roboto" w:cs="Tahoma"/>
          <w:b/>
          <w:bCs/>
          <w:sz w:val="22"/>
          <w:szCs w:val="22"/>
        </w:rPr>
      </w:pPr>
    </w:p>
    <w:p w14:paraId="64B2195E" w14:textId="77777777" w:rsidR="003461EE" w:rsidRPr="00D02132" w:rsidRDefault="003461EE" w:rsidP="00816572">
      <w:pPr>
        <w:spacing w:line="276" w:lineRule="auto"/>
        <w:jc w:val="center"/>
        <w:rPr>
          <w:rFonts w:ascii="Roboto" w:eastAsia="Times New Roman" w:hAnsi="Roboto" w:cs="Tahoma"/>
          <w:b/>
          <w:bCs/>
          <w:sz w:val="32"/>
          <w:szCs w:val="32"/>
        </w:rPr>
      </w:pPr>
      <w:r w:rsidRPr="00D02132">
        <w:rPr>
          <w:rFonts w:ascii="Roboto" w:eastAsia="Times New Roman" w:hAnsi="Roboto" w:cs="Tahoma"/>
          <w:b/>
          <w:bCs/>
          <w:sz w:val="32"/>
          <w:szCs w:val="32"/>
        </w:rPr>
        <w:t xml:space="preserve">Decisión 2 - Indicadores </w:t>
      </w:r>
      <w:r w:rsidR="00E66C9E" w:rsidRPr="00D02132">
        <w:rPr>
          <w:rFonts w:ascii="Roboto" w:eastAsia="Times New Roman" w:hAnsi="Roboto" w:cs="Tahoma"/>
          <w:b/>
          <w:bCs/>
          <w:sz w:val="32"/>
          <w:szCs w:val="32"/>
        </w:rPr>
        <w:t xml:space="preserve">de la </w:t>
      </w:r>
      <w:r w:rsidR="009F3E31" w:rsidRPr="00D02132">
        <w:rPr>
          <w:rFonts w:ascii="Roboto" w:hAnsi="Roboto" w:cs="Arial"/>
          <w:b/>
          <w:sz w:val="32"/>
          <w:szCs w:val="32"/>
        </w:rPr>
        <w:t>Iniciativa Latinoamericana y Caribeña para el Desarrollo Sostenible</w:t>
      </w:r>
      <w:r w:rsidR="009F3E31" w:rsidRPr="00D02132">
        <w:rPr>
          <w:rFonts w:ascii="Roboto" w:eastAsia="Times New Roman" w:hAnsi="Roboto" w:cs="Tahoma"/>
          <w:b/>
          <w:bCs/>
          <w:sz w:val="32"/>
          <w:szCs w:val="32"/>
        </w:rPr>
        <w:t xml:space="preserve"> (</w:t>
      </w:r>
      <w:r w:rsidRPr="00D02132">
        <w:rPr>
          <w:rFonts w:ascii="Roboto" w:eastAsia="Times New Roman" w:hAnsi="Roboto" w:cs="Tahoma"/>
          <w:b/>
          <w:bCs/>
          <w:sz w:val="32"/>
          <w:szCs w:val="32"/>
        </w:rPr>
        <w:t>ILAC</w:t>
      </w:r>
      <w:r w:rsidR="009F3E31" w:rsidRPr="00D02132">
        <w:rPr>
          <w:rFonts w:ascii="Roboto" w:eastAsia="Times New Roman" w:hAnsi="Roboto" w:cs="Tahoma"/>
          <w:b/>
          <w:bCs/>
          <w:sz w:val="32"/>
          <w:szCs w:val="32"/>
        </w:rPr>
        <w:t>)</w:t>
      </w:r>
    </w:p>
    <w:p w14:paraId="1F8421B0" w14:textId="77777777" w:rsidR="003461EE" w:rsidRPr="00D02132" w:rsidRDefault="003461EE" w:rsidP="00816572">
      <w:pPr>
        <w:spacing w:line="276" w:lineRule="auto"/>
        <w:rPr>
          <w:rFonts w:ascii="Roboto" w:eastAsia="Times New Roman" w:hAnsi="Roboto" w:cs="Tahoma"/>
          <w:bCs/>
          <w:sz w:val="22"/>
          <w:szCs w:val="22"/>
        </w:rPr>
      </w:pPr>
    </w:p>
    <w:p w14:paraId="2B0D1E0D" w14:textId="6183F500" w:rsidR="00EA5AE2" w:rsidRPr="00D02132" w:rsidRDefault="00EA5AE2" w:rsidP="00322AF3">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De manera general se considera que la implementación de la Decisión 2 sobre Indicadores ILAC ha avanzado satisfactoriamente. Entre los principales avances está la definición de hojas metodológicas para dos conjuntos base de indicadores para América Latina y el Caribe, el desarrollo de eventos técnicos en la región, el potenciamiento del Grupo de Trabajo en Indicadores Ambientales para ambas sub-regiones y la producción y diseminación de material de creación y fortalecimiento de capacidades tanto a los miembros de los grupos de trabajo como a otras partes interesadas</w:t>
      </w:r>
      <w:r w:rsidR="00385572" w:rsidRPr="00D02132">
        <w:rPr>
          <w:rFonts w:ascii="Roboto" w:hAnsi="Roboto"/>
          <w:sz w:val="22"/>
          <w:szCs w:val="22"/>
          <w:lang w:val="es-PA"/>
        </w:rPr>
        <w:t>.</w:t>
      </w:r>
    </w:p>
    <w:p w14:paraId="3146ACA5" w14:textId="3ADDFED4" w:rsidR="00EA5AE2" w:rsidRPr="00D02132" w:rsidRDefault="00EA5AE2" w:rsidP="00322AF3">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El Grupo de Trabajo </w:t>
      </w:r>
      <w:r w:rsidR="00B6672B">
        <w:rPr>
          <w:rFonts w:ascii="Roboto" w:hAnsi="Roboto"/>
          <w:sz w:val="22"/>
          <w:szCs w:val="22"/>
          <w:lang w:val="es-PA"/>
        </w:rPr>
        <w:t>de</w:t>
      </w:r>
      <w:r w:rsidRPr="00D02132">
        <w:rPr>
          <w:rFonts w:ascii="Roboto" w:hAnsi="Roboto"/>
          <w:sz w:val="22"/>
          <w:szCs w:val="22"/>
          <w:lang w:val="es-PA"/>
        </w:rPr>
        <w:t xml:space="preserve"> Indicadores Ambientales está trabajando en la propuesta de nuevas formas de visualización de los indicadores ambientales para promover el uso de indicadores como componente crítico en la interfaz ciencia-política y en la formulación de políticas públicas basada en evidencias. El objetivo es asegurar que dicha información sirva de base para las discusiones del Foro de Ministros y otras instancias de diálogo político regional y global.</w:t>
      </w:r>
    </w:p>
    <w:p w14:paraId="7F59FA33" w14:textId="13EE6DFF" w:rsidR="00EA5AE2" w:rsidRDefault="00EA5AE2" w:rsidP="00E10BB1">
      <w:pPr>
        <w:spacing w:line="276" w:lineRule="auto"/>
        <w:outlineLvl w:val="0"/>
        <w:rPr>
          <w:rFonts w:ascii="Roboto" w:hAnsi="Roboto"/>
          <w:b/>
          <w:color w:val="548DD4" w:themeColor="text2" w:themeTint="99"/>
          <w:sz w:val="22"/>
          <w:szCs w:val="22"/>
        </w:rPr>
      </w:pPr>
      <w:r w:rsidRPr="00D02132">
        <w:rPr>
          <w:rFonts w:ascii="Roboto" w:hAnsi="Roboto"/>
          <w:b/>
          <w:color w:val="548DD4" w:themeColor="text2" w:themeTint="99"/>
          <w:sz w:val="22"/>
          <w:szCs w:val="22"/>
        </w:rPr>
        <w:t xml:space="preserve">Avances – Actividades realizadas y resultados obtenidos </w:t>
      </w:r>
    </w:p>
    <w:p w14:paraId="3CFE7BFF" w14:textId="77777777" w:rsidR="00371479" w:rsidRPr="00D02132" w:rsidRDefault="00371479" w:rsidP="00EA5AE2">
      <w:pPr>
        <w:spacing w:line="276" w:lineRule="auto"/>
        <w:rPr>
          <w:rFonts w:ascii="Roboto" w:hAnsi="Roboto"/>
          <w:b/>
          <w:color w:val="548DD4" w:themeColor="text2" w:themeTint="99"/>
          <w:sz w:val="22"/>
          <w:szCs w:val="22"/>
        </w:rPr>
      </w:pPr>
    </w:p>
    <w:p w14:paraId="39E06293" w14:textId="4E42966E" w:rsidR="00EA5AE2" w:rsidRPr="00D02132" w:rsidRDefault="00EA5AE2" w:rsidP="00322AF3">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Los países de la región desarrollaron una propuesta de dos conjuntos de indicadores ambientales multipropósito, con 23 indicadores para América Latina y 13 para el Caribe. Los indicadores seleccionados son relevantes para las sub-regiones y sus países, en su mayoría ya están disponibles o en proceso de implementación, incluyen algunos de los indicadores priorizados por el Consejo de Expertos sobre Consumo y Producción Sostenible, y responden a objetivos de la nueva ILAC, a la Agenda 2030 para </w:t>
      </w:r>
      <w:r w:rsidR="00385572" w:rsidRPr="00D02132">
        <w:rPr>
          <w:rFonts w:ascii="Roboto" w:hAnsi="Roboto"/>
          <w:sz w:val="22"/>
          <w:szCs w:val="22"/>
          <w:lang w:val="es-PA"/>
        </w:rPr>
        <w:t xml:space="preserve">los Objetivos de </w:t>
      </w:r>
      <w:r w:rsidRPr="00D02132">
        <w:rPr>
          <w:rFonts w:ascii="Roboto" w:hAnsi="Roboto"/>
          <w:sz w:val="22"/>
          <w:szCs w:val="22"/>
          <w:lang w:val="es-PA"/>
        </w:rPr>
        <w:t>Desarrollo Sostenible (ODS) y a otros acuerdos multilaterales ambient</w:t>
      </w:r>
      <w:r w:rsidR="00B6672B">
        <w:rPr>
          <w:rFonts w:ascii="Roboto" w:hAnsi="Roboto"/>
          <w:sz w:val="22"/>
          <w:szCs w:val="22"/>
          <w:lang w:val="es-PA"/>
        </w:rPr>
        <w:t>ales</w:t>
      </w:r>
      <w:r w:rsidRPr="00D02132">
        <w:rPr>
          <w:rFonts w:ascii="Roboto" w:hAnsi="Roboto"/>
          <w:sz w:val="22"/>
          <w:szCs w:val="22"/>
          <w:lang w:val="es-PA"/>
        </w:rPr>
        <w:t xml:space="preserve">. Estos dos conjuntos se seleccionaron durante las Reuniones Técnicas de los Grupos de Trabajo en Indicadores Ambientales para América Latina (Brasilia, </w:t>
      </w:r>
      <w:r w:rsidR="00F41789" w:rsidRPr="00D02132">
        <w:rPr>
          <w:rFonts w:ascii="Roboto" w:hAnsi="Roboto"/>
          <w:sz w:val="22"/>
          <w:szCs w:val="22"/>
          <w:lang w:val="es-PA"/>
        </w:rPr>
        <w:t>diciembre</w:t>
      </w:r>
      <w:r w:rsidRPr="00D02132">
        <w:rPr>
          <w:rFonts w:ascii="Roboto" w:hAnsi="Roboto"/>
          <w:sz w:val="22"/>
          <w:szCs w:val="22"/>
          <w:lang w:val="es-PA"/>
        </w:rPr>
        <w:t xml:space="preserve"> de 2016) y para el Caribe (Puerto España, </w:t>
      </w:r>
      <w:r w:rsidR="00F41789" w:rsidRPr="00D02132">
        <w:rPr>
          <w:rFonts w:ascii="Roboto" w:hAnsi="Roboto"/>
          <w:sz w:val="22"/>
          <w:szCs w:val="22"/>
          <w:lang w:val="es-PA"/>
        </w:rPr>
        <w:t>o</w:t>
      </w:r>
      <w:r w:rsidRPr="00D02132">
        <w:rPr>
          <w:rFonts w:ascii="Roboto" w:hAnsi="Roboto"/>
          <w:sz w:val="22"/>
          <w:szCs w:val="22"/>
          <w:lang w:val="es-PA"/>
        </w:rPr>
        <w:t xml:space="preserve">ctubre de 2017), ambas desarrolladas en el marco del proyecto de </w:t>
      </w:r>
      <w:r w:rsidR="00F41789" w:rsidRPr="00D02132">
        <w:rPr>
          <w:rFonts w:ascii="Roboto" w:hAnsi="Roboto"/>
          <w:sz w:val="22"/>
          <w:szCs w:val="22"/>
          <w:lang w:val="es-PA"/>
        </w:rPr>
        <w:t>c</w:t>
      </w:r>
      <w:r w:rsidRPr="00D02132">
        <w:rPr>
          <w:rFonts w:ascii="Roboto" w:hAnsi="Roboto"/>
          <w:sz w:val="22"/>
          <w:szCs w:val="22"/>
          <w:lang w:val="es-PA"/>
        </w:rPr>
        <w:t>ooperación Sur-Sur y creación de capacidades para el proceso</w:t>
      </w:r>
      <w:r w:rsidR="00385572" w:rsidRPr="00D02132">
        <w:rPr>
          <w:rFonts w:ascii="Roboto" w:hAnsi="Roboto"/>
          <w:sz w:val="22"/>
          <w:szCs w:val="22"/>
          <w:lang w:val="es-PA"/>
        </w:rPr>
        <w:t xml:space="preserve"> de preparación de las Perspectivas de Medio Ambiente Global </w:t>
      </w:r>
      <w:r w:rsidR="00F41789" w:rsidRPr="00D02132">
        <w:rPr>
          <w:rFonts w:ascii="Roboto" w:hAnsi="Roboto"/>
          <w:sz w:val="22"/>
          <w:szCs w:val="22"/>
          <w:lang w:val="es-PA"/>
        </w:rPr>
        <w:t>–</w:t>
      </w:r>
      <w:r w:rsidRPr="00D02132">
        <w:rPr>
          <w:rFonts w:ascii="Roboto" w:hAnsi="Roboto"/>
          <w:sz w:val="22"/>
          <w:szCs w:val="22"/>
          <w:lang w:val="es-PA"/>
        </w:rPr>
        <w:t xml:space="preserve"> GEO</w:t>
      </w:r>
      <w:r w:rsidR="00F41789" w:rsidRPr="00D02132">
        <w:rPr>
          <w:rFonts w:ascii="Roboto" w:hAnsi="Roboto"/>
          <w:sz w:val="22"/>
          <w:szCs w:val="22"/>
          <w:lang w:val="es-PA"/>
        </w:rPr>
        <w:t xml:space="preserve"> </w:t>
      </w:r>
      <w:r w:rsidRPr="00D02132">
        <w:rPr>
          <w:rFonts w:ascii="Roboto" w:hAnsi="Roboto"/>
          <w:sz w:val="22"/>
          <w:szCs w:val="22"/>
          <w:lang w:val="es-PA"/>
        </w:rPr>
        <w:t xml:space="preserve">6 en América Latina y el Caribe. </w:t>
      </w:r>
    </w:p>
    <w:p w14:paraId="7032788B" w14:textId="1F56986A" w:rsidR="00EA5AE2" w:rsidRPr="00D02132" w:rsidRDefault="00EA5AE2" w:rsidP="00322AF3">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lastRenderedPageBreak/>
        <w:t xml:space="preserve">Los indicadores fueron desarrollados por los miembros de los Grupos de Trabajo </w:t>
      </w:r>
      <w:r w:rsidR="00B6672B">
        <w:rPr>
          <w:rFonts w:ascii="Roboto" w:hAnsi="Roboto"/>
          <w:sz w:val="22"/>
          <w:szCs w:val="22"/>
          <w:lang w:val="es-PA"/>
        </w:rPr>
        <w:t>de</w:t>
      </w:r>
      <w:r w:rsidRPr="00D02132">
        <w:rPr>
          <w:rFonts w:ascii="Roboto" w:hAnsi="Roboto"/>
          <w:sz w:val="22"/>
          <w:szCs w:val="22"/>
          <w:lang w:val="es-PA"/>
        </w:rPr>
        <w:t xml:space="preserve"> Indicadores Ambientales de cada subregión y sus equipos técnicos hasta </w:t>
      </w:r>
      <w:r w:rsidR="00385572" w:rsidRPr="00D02132">
        <w:rPr>
          <w:rFonts w:ascii="Roboto" w:hAnsi="Roboto"/>
          <w:sz w:val="22"/>
          <w:szCs w:val="22"/>
          <w:lang w:val="es-PA"/>
        </w:rPr>
        <w:t>mayo</w:t>
      </w:r>
      <w:r w:rsidRPr="00D02132">
        <w:rPr>
          <w:rFonts w:ascii="Roboto" w:hAnsi="Roboto"/>
          <w:sz w:val="22"/>
          <w:szCs w:val="22"/>
          <w:lang w:val="es-PA"/>
        </w:rPr>
        <w:t xml:space="preserve"> de 2018, generando un total de 26 hojas metodológicas consensuadas, de las cuales 11 son ODS y 5 son proxy para indicadores ODS. De estos 26 indicadores, 13 son exclusivamente para América Latina, 3 son exclusivamente para el Caribe y 10 son indicadores comunes entre ambas subregiones. La diferencia en el número de indicadores se debe a las capacidades y prioridades diferentes en ambas subregiones, en línea con la Decisión 2.3 del Foro de Ministros.</w:t>
      </w:r>
      <w:r w:rsidR="00F41789" w:rsidRPr="00D02132">
        <w:rPr>
          <w:rFonts w:ascii="Roboto" w:hAnsi="Roboto"/>
          <w:sz w:val="22"/>
          <w:szCs w:val="22"/>
          <w:lang w:val="es-PA"/>
        </w:rPr>
        <w:t xml:space="preserve"> </w:t>
      </w:r>
      <w:r w:rsidRPr="00D02132">
        <w:rPr>
          <w:rFonts w:ascii="Roboto" w:hAnsi="Roboto"/>
          <w:sz w:val="22"/>
          <w:szCs w:val="22"/>
          <w:lang w:val="es-PA"/>
        </w:rPr>
        <w:t xml:space="preserve">Estos conjuntos de indicadores y sus hojas metodológicas se pueden encontrar en el documento “Hacia una nueva forma de comunicar el estado del ambiente en América Latina y el Caribe: Reporte de los indicadores ILAC priorizados para América Latina y el Caribe Periodo 2017 – 2021”. </w:t>
      </w:r>
    </w:p>
    <w:p w14:paraId="5B474FDA" w14:textId="1299DD40" w:rsidR="00EA5AE2" w:rsidRPr="00D02132" w:rsidRDefault="00EA5AE2" w:rsidP="00322AF3">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Los 26 indicadores están actualmente en proceso de implementación y reporte por los países. </w:t>
      </w:r>
      <w:r w:rsidR="00B6672B">
        <w:rPr>
          <w:rFonts w:ascii="Roboto" w:hAnsi="Roboto"/>
          <w:sz w:val="22"/>
          <w:szCs w:val="22"/>
          <w:lang w:val="es-PA"/>
        </w:rPr>
        <w:t>Además del</w:t>
      </w:r>
      <w:r w:rsidRPr="00D02132">
        <w:rPr>
          <w:rFonts w:ascii="Roboto" w:hAnsi="Roboto"/>
          <w:sz w:val="22"/>
          <w:szCs w:val="22"/>
          <w:lang w:val="es-PA"/>
        </w:rPr>
        <w:t xml:space="preserve"> reporte del valor de los indicadores, los países se encuentran en proceso de desarrollar una nueva forma gráfica de expresar los resultados de los indicadores multipropósito trabajados que apoye de forma más eficiente la toma de decisiones y la producción de políticas públicas. </w:t>
      </w:r>
    </w:p>
    <w:p w14:paraId="59CF32A3" w14:textId="73AC4331" w:rsidR="00EA5AE2" w:rsidRPr="00D02132" w:rsidRDefault="00EA5AE2" w:rsidP="00322AF3">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En el tema de creación de capacidades y oportunidades de cooperación, y para responder a los retos y oportunidades que presentan los países en la medición de indicadores, el proyecto de Cooperación Sur-Sur y creación de capacidades para el proceso GEO6 en América Latina y el Caribe ha realizado cuatro eventos subregionales (dos en América Latina y dos en el Caribe) donde los participantes: asistieron a charlas técnicas sobre el reporte de los nuevos conjuntos de indicadores, trabajaron en las hojas metodológicas, establecieron contactos con otros expertos de la región e incluso de su país, definieron nuevos formatos de reporte y aprendieron sobre nuevas tecnologías para el seguimiento de indicadores y colección de datos, por ejemplo a través de percepción remota e imágenes satelitales. Uno de estos eventos fue co-organizado con </w:t>
      </w:r>
      <w:r w:rsidR="00AA3A84" w:rsidRPr="00D02132">
        <w:rPr>
          <w:rFonts w:ascii="Roboto" w:hAnsi="Roboto"/>
          <w:sz w:val="22"/>
          <w:szCs w:val="22"/>
          <w:lang w:val="es-PA"/>
        </w:rPr>
        <w:t>la Comisión Económica para América Latina (</w:t>
      </w:r>
      <w:r w:rsidRPr="00D02132">
        <w:rPr>
          <w:rFonts w:ascii="Roboto" w:hAnsi="Roboto"/>
          <w:sz w:val="22"/>
          <w:szCs w:val="22"/>
          <w:lang w:val="es-PA"/>
        </w:rPr>
        <w:t>CEPAL</w:t>
      </w:r>
      <w:r w:rsidR="00AA3A84" w:rsidRPr="00D02132">
        <w:rPr>
          <w:rFonts w:ascii="Roboto" w:hAnsi="Roboto"/>
          <w:sz w:val="22"/>
          <w:szCs w:val="22"/>
          <w:lang w:val="es-PA"/>
        </w:rPr>
        <w:t>)</w:t>
      </w:r>
      <w:r w:rsidRPr="00D02132">
        <w:rPr>
          <w:rFonts w:ascii="Roboto" w:hAnsi="Roboto"/>
          <w:sz w:val="22"/>
          <w:szCs w:val="22"/>
          <w:lang w:val="es-PA"/>
        </w:rPr>
        <w:t xml:space="preserve">, y en todos fueron invitados expertos de otras agencias de </w:t>
      </w:r>
      <w:r w:rsidR="00B6672B">
        <w:rPr>
          <w:rFonts w:ascii="Roboto" w:hAnsi="Roboto"/>
          <w:sz w:val="22"/>
          <w:szCs w:val="22"/>
          <w:lang w:val="es-PA"/>
        </w:rPr>
        <w:t>la Organización de las Naciones Unidas (</w:t>
      </w:r>
      <w:r w:rsidRPr="00D02132">
        <w:rPr>
          <w:rFonts w:ascii="Roboto" w:hAnsi="Roboto"/>
          <w:sz w:val="22"/>
          <w:szCs w:val="22"/>
          <w:lang w:val="es-PA"/>
        </w:rPr>
        <w:t>ONU</w:t>
      </w:r>
      <w:r w:rsidR="00B6672B">
        <w:rPr>
          <w:rFonts w:ascii="Roboto" w:hAnsi="Roboto"/>
          <w:sz w:val="22"/>
          <w:szCs w:val="22"/>
          <w:lang w:val="es-PA"/>
        </w:rPr>
        <w:t>)</w:t>
      </w:r>
      <w:r w:rsidRPr="00D02132">
        <w:rPr>
          <w:rFonts w:ascii="Roboto" w:hAnsi="Roboto"/>
          <w:sz w:val="22"/>
          <w:szCs w:val="22"/>
          <w:lang w:val="es-PA"/>
        </w:rPr>
        <w:t>, otras organizaciones internacionales y expertos nacionales de la región, promoviendo la comunicación interinstitucional y la cooperación Sur-Sur.</w:t>
      </w:r>
      <w:r w:rsidRPr="00D02132">
        <w:rPr>
          <w:rFonts w:ascii="Roboto" w:hAnsi="Roboto"/>
          <w:sz w:val="22"/>
          <w:szCs w:val="22"/>
          <w:lang w:val="es-PA"/>
        </w:rPr>
        <w:br/>
        <w:t>Resaltamos de estos eventos la conformación de un Grupo de Trabajo en Indicadores Ambientales de ILAC para el Caribe, para abordar los retos específicos de esa sub-región, y el fortalecimiento y expansión del Grupo de Trabajo para América Latina que ya existía..</w:t>
      </w:r>
    </w:p>
    <w:p w14:paraId="7CD68C40" w14:textId="329AA3EA" w:rsidR="00EA5AE2" w:rsidRPr="00D02132" w:rsidRDefault="00EA5AE2" w:rsidP="00322AF3">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También se produjo un “Repositorio de Recursos de Aprendizaje” con vínculos a material en línea para el aprendizaje sobre indicadores ambientales (con énfasis en los que forman parte del conjunto de indicadores multipropósito de ILAC). Se han realizado, 3 webinars y una serie de webinars totalizando 8 charlas técnicas con experiencias de la región, lo que ha promovido la cooperación Sur-Sur y ha resaltado los esfuerzos de gobiernos más avanzados en estas materias. Los webinars se encuentran disponibles en la red para la comunidad de estadísticas de América Latina y el Caribe. Adicionalmente, se ha diseminado la existencia de otros 6 cursos técnicos (5 en línea, 1 presencial) que se han realizado en la región en este periodo, incluido un curso del Sistema Mundial de Monitoreo Medio Ambiental (GEMS Water) traducido al español a solicitud del </w:t>
      </w:r>
      <w:r w:rsidRPr="00D02132">
        <w:rPr>
          <w:rFonts w:ascii="Roboto" w:hAnsi="Roboto"/>
          <w:sz w:val="22"/>
          <w:szCs w:val="22"/>
          <w:lang w:val="es-PA"/>
        </w:rPr>
        <w:lastRenderedPageBreak/>
        <w:t xml:space="preserve">Secretariado de ILAC. Todos estos esfuerzos, más las charlas técnicas en los eventos, han sido aprovechados por los expertos regionales para aumentar las capacidades en sus equipos y acelerar la adopción de indicadores. </w:t>
      </w:r>
    </w:p>
    <w:p w14:paraId="4DCF68D0" w14:textId="79F48CD2" w:rsidR="00EA5AE2" w:rsidRPr="00D02132" w:rsidRDefault="00EA5AE2" w:rsidP="00322AF3">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Se logró confirmar puntos focales de 24 de los 33 países de la región y se está trabajando con otros 7 países a través de un contacto fijo, quedando solo dos países fuera del alcance de las actividades del proyecto. Esto representa un aumento de 82% en el involucramiento de países en las actividades de los Grupos de Trabajo</w:t>
      </w:r>
      <w:r w:rsidR="00893DBC" w:rsidRPr="00D02132">
        <w:rPr>
          <w:rFonts w:ascii="Roboto" w:hAnsi="Roboto"/>
          <w:sz w:val="22"/>
          <w:szCs w:val="22"/>
          <w:lang w:val="es-PA"/>
        </w:rPr>
        <w:t xml:space="preserve">. </w:t>
      </w:r>
      <w:r w:rsidRPr="00D02132">
        <w:rPr>
          <w:rFonts w:ascii="Roboto" w:hAnsi="Roboto"/>
          <w:sz w:val="22"/>
          <w:szCs w:val="22"/>
          <w:lang w:val="es-PA"/>
        </w:rPr>
        <w:t>Adicionalmente, se ha construido una lista de más de 120 personas interesadas en indicadores ambientales de toda la región que reciben regularmente informaciones del Secretariado e invitaciones a cursos técnicos.</w:t>
      </w:r>
    </w:p>
    <w:p w14:paraId="40CC4EDD" w14:textId="77777777" w:rsidR="00371479" w:rsidRDefault="00371479" w:rsidP="00EA5AE2">
      <w:pPr>
        <w:spacing w:line="276" w:lineRule="auto"/>
        <w:rPr>
          <w:rFonts w:ascii="Roboto" w:hAnsi="Roboto"/>
          <w:b/>
          <w:color w:val="548DD4" w:themeColor="text2" w:themeTint="99"/>
          <w:sz w:val="22"/>
          <w:szCs w:val="22"/>
        </w:rPr>
      </w:pPr>
    </w:p>
    <w:p w14:paraId="28F4CD41" w14:textId="78FA45F4" w:rsidR="00EA5AE2" w:rsidRDefault="00EA5AE2" w:rsidP="00E10BB1">
      <w:pPr>
        <w:spacing w:line="276" w:lineRule="auto"/>
        <w:outlineLvl w:val="0"/>
        <w:rPr>
          <w:rFonts w:ascii="Roboto" w:hAnsi="Roboto"/>
          <w:b/>
          <w:color w:val="548DD4" w:themeColor="text2" w:themeTint="99"/>
          <w:sz w:val="22"/>
          <w:szCs w:val="22"/>
        </w:rPr>
      </w:pPr>
      <w:r w:rsidRPr="00D02132">
        <w:rPr>
          <w:rFonts w:ascii="Roboto" w:hAnsi="Roboto"/>
          <w:b/>
          <w:color w:val="548DD4" w:themeColor="text2" w:themeTint="99"/>
          <w:sz w:val="22"/>
          <w:szCs w:val="22"/>
        </w:rPr>
        <w:t>Actividades a futuro</w:t>
      </w:r>
    </w:p>
    <w:p w14:paraId="345AA165" w14:textId="77777777" w:rsidR="00371479" w:rsidRDefault="00371479" w:rsidP="00EA5AE2">
      <w:pPr>
        <w:spacing w:line="276" w:lineRule="auto"/>
        <w:rPr>
          <w:rFonts w:ascii="Roboto" w:hAnsi="Roboto"/>
          <w:b/>
          <w:color w:val="548DD4" w:themeColor="text2" w:themeTint="99"/>
          <w:sz w:val="22"/>
          <w:szCs w:val="22"/>
        </w:rPr>
      </w:pPr>
    </w:p>
    <w:p w14:paraId="5272FA59" w14:textId="718F1E3F" w:rsidR="00322AF3" w:rsidRPr="00D02132" w:rsidRDefault="00611891" w:rsidP="00322AF3">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El Grupo de Trabajo de Indicadores Ambientales </w:t>
      </w:r>
      <w:r w:rsidR="00322AF3" w:rsidRPr="00D02132">
        <w:rPr>
          <w:rFonts w:ascii="Roboto" w:hAnsi="Roboto"/>
          <w:sz w:val="22"/>
          <w:szCs w:val="22"/>
          <w:lang w:val="es-PA"/>
        </w:rPr>
        <w:t>continuará</w:t>
      </w:r>
      <w:r w:rsidRPr="00D02132">
        <w:rPr>
          <w:rFonts w:ascii="Roboto" w:hAnsi="Roboto"/>
          <w:sz w:val="22"/>
          <w:szCs w:val="22"/>
          <w:lang w:val="es-PA"/>
        </w:rPr>
        <w:t xml:space="preserve"> su trabajo de </w:t>
      </w:r>
      <w:r w:rsidR="00322AF3" w:rsidRPr="00D02132">
        <w:rPr>
          <w:rFonts w:ascii="Roboto" w:hAnsi="Roboto"/>
          <w:sz w:val="22"/>
          <w:szCs w:val="22"/>
          <w:lang w:val="es-PA"/>
        </w:rPr>
        <w:t>revisión</w:t>
      </w:r>
      <w:r w:rsidRPr="00D02132">
        <w:rPr>
          <w:rFonts w:ascii="Roboto" w:hAnsi="Roboto"/>
          <w:sz w:val="22"/>
          <w:szCs w:val="22"/>
          <w:lang w:val="es-PA"/>
        </w:rPr>
        <w:t xml:space="preserve"> y </w:t>
      </w:r>
      <w:r w:rsidR="00322AF3" w:rsidRPr="00D02132">
        <w:rPr>
          <w:rFonts w:ascii="Roboto" w:hAnsi="Roboto"/>
          <w:sz w:val="22"/>
          <w:szCs w:val="22"/>
          <w:lang w:val="es-PA"/>
        </w:rPr>
        <w:t>adopción</w:t>
      </w:r>
      <w:r w:rsidRPr="00D02132">
        <w:rPr>
          <w:rFonts w:ascii="Roboto" w:hAnsi="Roboto"/>
          <w:sz w:val="22"/>
          <w:szCs w:val="22"/>
          <w:lang w:val="es-PA"/>
        </w:rPr>
        <w:t xml:space="preserve"> de hojas </w:t>
      </w:r>
      <w:r w:rsidR="00322AF3" w:rsidRPr="00D02132">
        <w:rPr>
          <w:rFonts w:ascii="Roboto" w:hAnsi="Roboto"/>
          <w:sz w:val="22"/>
          <w:szCs w:val="22"/>
          <w:lang w:val="es-PA"/>
        </w:rPr>
        <w:t>metodológicas</w:t>
      </w:r>
      <w:r w:rsidRPr="00D02132">
        <w:rPr>
          <w:rFonts w:ascii="Roboto" w:hAnsi="Roboto"/>
          <w:sz w:val="22"/>
          <w:szCs w:val="22"/>
          <w:lang w:val="es-PA"/>
        </w:rPr>
        <w:t xml:space="preserve"> para</w:t>
      </w:r>
      <w:r w:rsidR="00322AF3" w:rsidRPr="00D02132">
        <w:rPr>
          <w:rFonts w:ascii="Roboto" w:hAnsi="Roboto"/>
          <w:sz w:val="22"/>
          <w:szCs w:val="22"/>
          <w:lang w:val="es-PA"/>
        </w:rPr>
        <w:t xml:space="preserve"> una producción y publicación sistemática de indicadores regionales y nacionales. La Secretaría brindará apoyo y cooperación al Grupo de Trabajo con otras contrapartes externas para la organización de cursos de entrenamiento y desarrollo y diseminación del material de entrenamiento incluyendo documentos y manuales técnicos relevantes. </w:t>
      </w:r>
    </w:p>
    <w:p w14:paraId="1FFB09F7" w14:textId="37D2FD9B" w:rsidR="00322AF3" w:rsidRPr="00D02132" w:rsidRDefault="00322AF3" w:rsidP="004D6DD7">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La Secretaría está en contacto con el Banco de Desarrollo de América Latina (CAF) para realizar una consultoría dirigida a la producción de un borrador de un informe bienal sobre el estado y las tendencias del medio ambiente en América Latina y el Caribe basado en los indicadores ILAC y ODS. Tal informe permitirá de una manera sintética y de fácil acceso, rastrear el progreso regional y evaluar el desempeño ambiental hacia la implementación de la Agenda 2030 para el Desarrollo Sostenible, ILAC, </w:t>
      </w:r>
      <w:r w:rsidR="002D426E" w:rsidRPr="00D02132">
        <w:rPr>
          <w:rFonts w:ascii="Roboto" w:hAnsi="Roboto"/>
          <w:sz w:val="22"/>
          <w:szCs w:val="22"/>
          <w:lang w:val="es-PA"/>
        </w:rPr>
        <w:t>la Senda de Samoa (</w:t>
      </w:r>
      <w:r w:rsidRPr="00D02132">
        <w:rPr>
          <w:rFonts w:ascii="Roboto" w:hAnsi="Roboto"/>
          <w:sz w:val="22"/>
          <w:szCs w:val="22"/>
          <w:lang w:val="es-PA"/>
        </w:rPr>
        <w:t>Samoa Pathway</w:t>
      </w:r>
      <w:r w:rsidR="002D426E" w:rsidRPr="00D02132">
        <w:rPr>
          <w:rFonts w:ascii="Roboto" w:hAnsi="Roboto"/>
          <w:sz w:val="22"/>
          <w:szCs w:val="22"/>
          <w:lang w:val="es-PA"/>
        </w:rPr>
        <w:t>)</w:t>
      </w:r>
      <w:r w:rsidRPr="00D02132">
        <w:rPr>
          <w:rFonts w:ascii="Roboto" w:hAnsi="Roboto"/>
          <w:sz w:val="22"/>
          <w:szCs w:val="22"/>
          <w:lang w:val="es-PA"/>
        </w:rPr>
        <w:t xml:space="preserve">, </w:t>
      </w:r>
      <w:r w:rsidR="004D6DD7" w:rsidRPr="00D02132">
        <w:rPr>
          <w:rFonts w:ascii="Roboto" w:hAnsi="Roboto"/>
          <w:sz w:val="22"/>
          <w:szCs w:val="22"/>
          <w:lang w:val="es-PA"/>
        </w:rPr>
        <w:t xml:space="preserve">Marco de </w:t>
      </w:r>
      <w:r w:rsidRPr="00D02132">
        <w:rPr>
          <w:rFonts w:ascii="Roboto" w:hAnsi="Roboto"/>
          <w:sz w:val="22"/>
          <w:szCs w:val="22"/>
          <w:lang w:val="es-PA"/>
        </w:rPr>
        <w:t xml:space="preserve">Sendai, el Acuerdo de París y otros </w:t>
      </w:r>
      <w:r w:rsidR="002D426E" w:rsidRPr="00D02132">
        <w:rPr>
          <w:rFonts w:ascii="Roboto" w:hAnsi="Roboto"/>
          <w:sz w:val="22"/>
          <w:szCs w:val="22"/>
          <w:lang w:val="es-PA"/>
        </w:rPr>
        <w:t>acuerdos multilaterales ambientales</w:t>
      </w:r>
      <w:r w:rsidRPr="00D02132">
        <w:rPr>
          <w:rFonts w:ascii="Roboto" w:hAnsi="Roboto"/>
          <w:sz w:val="22"/>
          <w:szCs w:val="22"/>
          <w:lang w:val="es-PA"/>
        </w:rPr>
        <w:t xml:space="preserve"> y agendas relevantes.</w:t>
      </w:r>
    </w:p>
    <w:p w14:paraId="7CBA1634" w14:textId="77777777" w:rsidR="00322AF3" w:rsidRPr="00D02132" w:rsidRDefault="00322AF3" w:rsidP="004D6DD7">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La Secretaría ha establecido contactos con instituciones científicas pertinentes para aprovechar los conocimientos, las infraestructuras de datos y la capacidad de computación existentes en la región y en todo el mundo para producir perspectivas y escenarios coherentes de cambios futuros en variables e indicadores ambientales clave del ecosistema bajo el cambio climático y otros </w:t>
      </w:r>
      <w:r w:rsidR="002D426E" w:rsidRPr="00D02132">
        <w:rPr>
          <w:rFonts w:ascii="Roboto" w:hAnsi="Roboto"/>
          <w:sz w:val="22"/>
          <w:szCs w:val="22"/>
          <w:lang w:val="es-PA"/>
        </w:rPr>
        <w:t>factores de cambio</w:t>
      </w:r>
      <w:r w:rsidRPr="00D02132">
        <w:rPr>
          <w:rFonts w:ascii="Roboto" w:hAnsi="Roboto"/>
          <w:sz w:val="22"/>
          <w:szCs w:val="22"/>
          <w:lang w:val="es-PA"/>
        </w:rPr>
        <w:t xml:space="preserve">. Estos productos podrían representar una gama de condiciones futuras del entorno, igualmente coherentes en América Latina y el Caribe, que den cuenta de los impulsores del cambio, como el cambio en el uso de la tierra, la demografía, la globalización y los cambios en los mercados y las inversiones, junto con las presiones originadas en sectores económicos clave para </w:t>
      </w:r>
      <w:r w:rsidR="002D426E" w:rsidRPr="00D02132">
        <w:rPr>
          <w:rFonts w:ascii="Roboto" w:hAnsi="Roboto"/>
          <w:sz w:val="22"/>
          <w:szCs w:val="22"/>
          <w:lang w:val="es-PA"/>
        </w:rPr>
        <w:t>la región</w:t>
      </w:r>
      <w:r w:rsidRPr="00D02132">
        <w:rPr>
          <w:rFonts w:ascii="Roboto" w:hAnsi="Roboto"/>
          <w:sz w:val="22"/>
          <w:szCs w:val="22"/>
          <w:lang w:val="es-PA"/>
        </w:rPr>
        <w:t xml:space="preserve"> como </w:t>
      </w:r>
      <w:r w:rsidR="002D426E" w:rsidRPr="00D02132">
        <w:rPr>
          <w:rFonts w:ascii="Roboto" w:hAnsi="Roboto"/>
          <w:sz w:val="22"/>
          <w:szCs w:val="22"/>
          <w:lang w:val="es-PA"/>
        </w:rPr>
        <w:t xml:space="preserve">la </w:t>
      </w:r>
      <w:r w:rsidRPr="00D02132">
        <w:rPr>
          <w:rFonts w:ascii="Roboto" w:hAnsi="Roboto"/>
          <w:sz w:val="22"/>
          <w:szCs w:val="22"/>
          <w:lang w:val="es-PA"/>
        </w:rPr>
        <w:t>agricultura, extractivos y turismo.</w:t>
      </w:r>
    </w:p>
    <w:p w14:paraId="09F2C20E" w14:textId="77777777" w:rsidR="003461EE" w:rsidRPr="00D02132" w:rsidRDefault="00322AF3" w:rsidP="00322AF3">
      <w:pPr>
        <w:pStyle w:val="ListParagraph"/>
        <w:numPr>
          <w:ilvl w:val="0"/>
          <w:numId w:val="4"/>
        </w:numPr>
        <w:spacing w:line="276" w:lineRule="auto"/>
        <w:ind w:left="0" w:firstLine="0"/>
        <w:rPr>
          <w:rFonts w:ascii="Roboto" w:hAnsi="Roboto" w:cs="Tahoma"/>
          <w:bCs/>
          <w:sz w:val="22"/>
          <w:szCs w:val="22"/>
          <w:lang w:val="es-PA"/>
        </w:rPr>
      </w:pPr>
      <w:r w:rsidRPr="00D02132">
        <w:rPr>
          <w:rFonts w:ascii="Roboto" w:hAnsi="Roboto"/>
          <w:sz w:val="22"/>
          <w:szCs w:val="22"/>
          <w:lang w:val="es-PA"/>
        </w:rPr>
        <w:t xml:space="preserve">Paralelamente, se </w:t>
      </w:r>
      <w:r w:rsidR="00624FD6" w:rsidRPr="00D02132">
        <w:rPr>
          <w:rFonts w:ascii="Roboto" w:hAnsi="Roboto"/>
          <w:sz w:val="22"/>
          <w:szCs w:val="22"/>
          <w:lang w:val="es-PA"/>
        </w:rPr>
        <w:t>iniciaron conversaciones</w:t>
      </w:r>
      <w:r w:rsidRPr="00D02132">
        <w:rPr>
          <w:rFonts w:ascii="Roboto" w:hAnsi="Roboto"/>
          <w:sz w:val="22"/>
          <w:szCs w:val="22"/>
          <w:lang w:val="es-PA"/>
        </w:rPr>
        <w:t xml:space="preserve"> entre el Grupo de Trabajo y la Secretaría para ampliar el alcance y la amplitud del Grupo mediante el desarrollo de nuevas actividades destinadas a la producción de un conjunto de indicadores regionales para medir la adaptación al cambio climático. Una vez que se defin</w:t>
      </w:r>
      <w:r w:rsidR="00624FD6" w:rsidRPr="00D02132">
        <w:rPr>
          <w:rFonts w:ascii="Roboto" w:hAnsi="Roboto"/>
          <w:sz w:val="22"/>
          <w:szCs w:val="22"/>
          <w:lang w:val="es-PA"/>
        </w:rPr>
        <w:t>a</w:t>
      </w:r>
      <w:r w:rsidRPr="00D02132">
        <w:rPr>
          <w:rFonts w:ascii="Roboto" w:hAnsi="Roboto"/>
          <w:sz w:val="22"/>
          <w:szCs w:val="22"/>
          <w:lang w:val="es-PA"/>
        </w:rPr>
        <w:t xml:space="preserve"> la función y la posible contribución del Grupo de Trabajo, se preparará una propuesta de proyecto con los socios </w:t>
      </w:r>
      <w:r w:rsidRPr="00D02132">
        <w:rPr>
          <w:rFonts w:ascii="Roboto" w:hAnsi="Roboto"/>
          <w:sz w:val="22"/>
          <w:szCs w:val="22"/>
          <w:lang w:val="es-PA"/>
        </w:rPr>
        <w:lastRenderedPageBreak/>
        <w:t xml:space="preserve">pertinentes y se presentará a la Iniciativa de Creación de Capacidades del </w:t>
      </w:r>
      <w:r w:rsidR="00624FD6" w:rsidRPr="00D02132">
        <w:rPr>
          <w:rFonts w:ascii="Roboto" w:hAnsi="Roboto"/>
          <w:sz w:val="22"/>
          <w:szCs w:val="22"/>
          <w:lang w:val="es-PA"/>
        </w:rPr>
        <w:t>Fondo de Medio Ambiente Mundial (</w:t>
      </w:r>
      <w:r w:rsidRPr="00D02132">
        <w:rPr>
          <w:rFonts w:ascii="Roboto" w:hAnsi="Roboto"/>
          <w:sz w:val="22"/>
          <w:szCs w:val="22"/>
          <w:lang w:val="es-PA"/>
        </w:rPr>
        <w:t>FMAM</w:t>
      </w:r>
      <w:r w:rsidR="00624FD6" w:rsidRPr="00D02132">
        <w:rPr>
          <w:rFonts w:ascii="Roboto" w:hAnsi="Roboto"/>
          <w:sz w:val="22"/>
          <w:szCs w:val="22"/>
          <w:lang w:val="es-PA"/>
        </w:rPr>
        <w:t>)</w:t>
      </w:r>
      <w:r w:rsidRPr="00D02132">
        <w:rPr>
          <w:rFonts w:ascii="Roboto" w:hAnsi="Roboto"/>
          <w:sz w:val="22"/>
          <w:szCs w:val="22"/>
          <w:lang w:val="es-PA"/>
        </w:rPr>
        <w:t xml:space="preserve"> para la Transparencia (CBIT</w:t>
      </w:r>
      <w:r w:rsidR="00624FD6" w:rsidRPr="00D02132">
        <w:rPr>
          <w:rFonts w:ascii="Roboto" w:hAnsi="Roboto"/>
          <w:sz w:val="22"/>
          <w:szCs w:val="22"/>
          <w:lang w:val="es-PA"/>
        </w:rPr>
        <w:t xml:space="preserve"> por sus siglas en inglés</w:t>
      </w:r>
      <w:r w:rsidRPr="00D02132">
        <w:rPr>
          <w:rFonts w:ascii="Roboto" w:hAnsi="Roboto"/>
          <w:sz w:val="22"/>
          <w:szCs w:val="22"/>
          <w:lang w:val="es-PA"/>
        </w:rPr>
        <w:t>) para su financiación.</w:t>
      </w:r>
    </w:p>
    <w:p w14:paraId="410B3B9F" w14:textId="77777777" w:rsidR="00624FD6" w:rsidRPr="00D02132" w:rsidRDefault="00624FD6" w:rsidP="00624FD6">
      <w:pPr>
        <w:pStyle w:val="ListParagraph"/>
        <w:spacing w:line="276" w:lineRule="auto"/>
        <w:ind w:left="0"/>
        <w:rPr>
          <w:rFonts w:ascii="Roboto" w:hAnsi="Roboto" w:cs="Tahoma"/>
          <w:bCs/>
          <w:sz w:val="22"/>
          <w:szCs w:val="22"/>
          <w:lang w:val="es-PA"/>
        </w:rPr>
      </w:pPr>
    </w:p>
    <w:p w14:paraId="66FB26DD" w14:textId="77777777" w:rsidR="003461EE" w:rsidRPr="00D02132" w:rsidRDefault="003461EE" w:rsidP="00816572">
      <w:pPr>
        <w:spacing w:line="276" w:lineRule="auto"/>
        <w:jc w:val="center"/>
        <w:rPr>
          <w:rFonts w:ascii="Roboto" w:eastAsia="Times New Roman" w:hAnsi="Roboto" w:cs="Tahoma"/>
          <w:b/>
          <w:bCs/>
          <w:sz w:val="32"/>
          <w:szCs w:val="22"/>
        </w:rPr>
      </w:pPr>
      <w:r w:rsidRPr="00D02132">
        <w:rPr>
          <w:rFonts w:ascii="Roboto" w:eastAsia="Times New Roman" w:hAnsi="Roboto" w:cs="Tahoma"/>
          <w:b/>
          <w:bCs/>
          <w:sz w:val="32"/>
          <w:szCs w:val="22"/>
        </w:rPr>
        <w:t>Decisión 3 – Educación Ambiental para el Desarrollo Sostenible</w:t>
      </w:r>
    </w:p>
    <w:p w14:paraId="4C0EDFE6" w14:textId="77777777" w:rsidR="005D7035" w:rsidRPr="00D02132" w:rsidRDefault="005D7035" w:rsidP="00816572">
      <w:pPr>
        <w:spacing w:line="276" w:lineRule="auto"/>
        <w:rPr>
          <w:rFonts w:ascii="Roboto" w:hAnsi="Roboto"/>
          <w:b/>
          <w:sz w:val="22"/>
          <w:szCs w:val="22"/>
        </w:rPr>
      </w:pPr>
    </w:p>
    <w:p w14:paraId="71B05ECE" w14:textId="60876D83" w:rsidR="005D7035" w:rsidRPr="00D02132" w:rsidRDefault="005D7035" w:rsidP="00816572">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La </w:t>
      </w:r>
      <w:r w:rsidR="006B263D" w:rsidRPr="00D02132">
        <w:rPr>
          <w:rFonts w:ascii="Roboto" w:hAnsi="Roboto"/>
          <w:sz w:val="22"/>
          <w:szCs w:val="22"/>
          <w:lang w:val="es-PA"/>
        </w:rPr>
        <w:t xml:space="preserve">Decisión 3 sobre Educación Ambiental para el Desarrollo Sostenible que se </w:t>
      </w:r>
      <w:r w:rsidRPr="00D02132">
        <w:rPr>
          <w:rFonts w:ascii="Roboto" w:hAnsi="Roboto"/>
          <w:sz w:val="22"/>
          <w:szCs w:val="22"/>
          <w:lang w:val="es-PA"/>
        </w:rPr>
        <w:t>adoptó</w:t>
      </w:r>
      <w:r w:rsidR="006B263D" w:rsidRPr="00D02132">
        <w:rPr>
          <w:rFonts w:ascii="Roboto" w:hAnsi="Roboto"/>
          <w:sz w:val="22"/>
          <w:szCs w:val="22"/>
          <w:lang w:val="es-PA"/>
        </w:rPr>
        <w:t xml:space="preserve"> en</w:t>
      </w:r>
      <w:r w:rsidRPr="00D02132">
        <w:rPr>
          <w:rFonts w:ascii="Roboto" w:hAnsi="Roboto"/>
          <w:sz w:val="22"/>
          <w:szCs w:val="22"/>
          <w:lang w:val="es-PA"/>
        </w:rPr>
        <w:t xml:space="preserve"> la</w:t>
      </w:r>
      <w:r w:rsidR="006B263D" w:rsidRPr="00D02132">
        <w:rPr>
          <w:rFonts w:ascii="Roboto" w:hAnsi="Roboto"/>
          <w:sz w:val="22"/>
          <w:szCs w:val="22"/>
          <w:lang w:val="es-PA"/>
        </w:rPr>
        <w:t xml:space="preserve"> XX </w:t>
      </w:r>
      <w:r w:rsidR="004D6DD7" w:rsidRPr="00D02132">
        <w:rPr>
          <w:rFonts w:ascii="Roboto" w:hAnsi="Roboto"/>
          <w:sz w:val="22"/>
          <w:szCs w:val="22"/>
          <w:lang w:val="es-PA"/>
        </w:rPr>
        <w:t>R</w:t>
      </w:r>
      <w:r w:rsidR="006B263D" w:rsidRPr="00D02132">
        <w:rPr>
          <w:rFonts w:ascii="Roboto" w:hAnsi="Roboto"/>
          <w:sz w:val="22"/>
          <w:szCs w:val="22"/>
          <w:lang w:val="es-PA"/>
        </w:rPr>
        <w:t xml:space="preserve">eunión del Foro de Ministros de Medio Ambiente de América Latina y el Caribe (28-31 de marzo de 2016; Cartagena, </w:t>
      </w:r>
      <w:r w:rsidR="004D6DD7" w:rsidRPr="00D02132">
        <w:rPr>
          <w:rFonts w:ascii="Roboto" w:hAnsi="Roboto"/>
          <w:sz w:val="22"/>
          <w:szCs w:val="22"/>
          <w:lang w:val="es-PA"/>
        </w:rPr>
        <w:t>Colombia) contiene</w:t>
      </w:r>
      <w:r w:rsidRPr="00D02132">
        <w:rPr>
          <w:rFonts w:ascii="Roboto" w:hAnsi="Roboto"/>
          <w:sz w:val="22"/>
          <w:szCs w:val="22"/>
          <w:lang w:val="es-PA"/>
        </w:rPr>
        <w:t xml:space="preserve"> </w:t>
      </w:r>
      <w:r w:rsidR="00EF7B2D" w:rsidRPr="00D02132">
        <w:rPr>
          <w:rFonts w:ascii="Roboto" w:hAnsi="Roboto"/>
          <w:sz w:val="22"/>
          <w:szCs w:val="22"/>
          <w:lang w:val="es-PA"/>
        </w:rPr>
        <w:t>diez</w:t>
      </w:r>
      <w:r w:rsidRPr="00D02132">
        <w:rPr>
          <w:rFonts w:ascii="Roboto" w:hAnsi="Roboto"/>
          <w:sz w:val="22"/>
          <w:szCs w:val="22"/>
          <w:lang w:val="es-PA"/>
        </w:rPr>
        <w:t xml:space="preserve"> párrafos operativos, uno de los cuales, a su vez, abarca </w:t>
      </w:r>
      <w:r w:rsidR="003E7857" w:rsidRPr="00D02132">
        <w:rPr>
          <w:rFonts w:ascii="Roboto" w:hAnsi="Roboto"/>
          <w:sz w:val="22"/>
          <w:szCs w:val="22"/>
          <w:lang w:val="es-PA"/>
        </w:rPr>
        <w:t>trece</w:t>
      </w:r>
      <w:r w:rsidRPr="00D02132">
        <w:rPr>
          <w:rFonts w:ascii="Roboto" w:hAnsi="Roboto"/>
          <w:sz w:val="22"/>
          <w:szCs w:val="22"/>
          <w:lang w:val="es-PA"/>
        </w:rPr>
        <w:t xml:space="preserve"> acciones.</w:t>
      </w:r>
    </w:p>
    <w:p w14:paraId="16320664" w14:textId="3EBFD012" w:rsidR="005D7035" w:rsidRPr="00D02132" w:rsidRDefault="00EF7B2D" w:rsidP="00816572">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A veinticuatro</w:t>
      </w:r>
      <w:r w:rsidR="005D7035" w:rsidRPr="00D02132">
        <w:rPr>
          <w:rFonts w:ascii="Roboto" w:hAnsi="Roboto"/>
          <w:sz w:val="22"/>
          <w:szCs w:val="22"/>
          <w:lang w:val="es-PA"/>
        </w:rPr>
        <w:t xml:space="preserve"> </w:t>
      </w:r>
      <w:r w:rsidR="00CA32A0" w:rsidRPr="00D02132">
        <w:rPr>
          <w:rFonts w:ascii="Roboto" w:hAnsi="Roboto"/>
          <w:sz w:val="22"/>
          <w:szCs w:val="22"/>
          <w:lang w:val="es-PA"/>
        </w:rPr>
        <w:t xml:space="preserve">meses </w:t>
      </w:r>
      <w:r w:rsidR="005D7035" w:rsidRPr="00D02132">
        <w:rPr>
          <w:rFonts w:ascii="Roboto" w:hAnsi="Roboto"/>
          <w:sz w:val="22"/>
          <w:szCs w:val="22"/>
          <w:lang w:val="es-PA"/>
        </w:rPr>
        <w:t xml:space="preserve">de la adopción de </w:t>
      </w:r>
      <w:r w:rsidR="006B263D" w:rsidRPr="00D02132">
        <w:rPr>
          <w:rFonts w:ascii="Roboto" w:hAnsi="Roboto"/>
          <w:sz w:val="22"/>
          <w:szCs w:val="22"/>
          <w:lang w:val="es-PA"/>
        </w:rPr>
        <w:t>esta</w:t>
      </w:r>
      <w:r w:rsidR="005D7035" w:rsidRPr="00D02132">
        <w:rPr>
          <w:rFonts w:ascii="Roboto" w:hAnsi="Roboto"/>
          <w:sz w:val="22"/>
          <w:szCs w:val="22"/>
          <w:lang w:val="es-PA"/>
        </w:rPr>
        <w:t xml:space="preserve"> decisión</w:t>
      </w:r>
      <w:r w:rsidR="00CA32A0" w:rsidRPr="00D02132">
        <w:rPr>
          <w:rFonts w:ascii="Roboto" w:hAnsi="Roboto"/>
          <w:sz w:val="22"/>
          <w:szCs w:val="22"/>
          <w:lang w:val="es-PA"/>
        </w:rPr>
        <w:t xml:space="preserve"> (abril 2016-agosto 201</w:t>
      </w:r>
      <w:r w:rsidR="00655C92" w:rsidRPr="00D02132">
        <w:rPr>
          <w:rFonts w:ascii="Roboto" w:hAnsi="Roboto"/>
          <w:sz w:val="22"/>
          <w:szCs w:val="22"/>
          <w:lang w:val="es-PA"/>
        </w:rPr>
        <w:t>8</w:t>
      </w:r>
      <w:r w:rsidR="00CA32A0" w:rsidRPr="00D02132">
        <w:rPr>
          <w:rFonts w:ascii="Roboto" w:hAnsi="Roboto"/>
          <w:sz w:val="22"/>
          <w:szCs w:val="22"/>
          <w:lang w:val="es-PA"/>
        </w:rPr>
        <w:t>)</w:t>
      </w:r>
      <w:r w:rsidR="005D7035" w:rsidRPr="00D02132">
        <w:rPr>
          <w:rFonts w:ascii="Roboto" w:hAnsi="Roboto"/>
          <w:sz w:val="22"/>
          <w:szCs w:val="22"/>
          <w:lang w:val="es-PA"/>
        </w:rPr>
        <w:t xml:space="preserve">, se estima que la misma se ha implementado en un </w:t>
      </w:r>
      <w:r w:rsidR="00655C92" w:rsidRPr="00D02132">
        <w:rPr>
          <w:rFonts w:ascii="Roboto" w:hAnsi="Roboto"/>
          <w:sz w:val="22"/>
          <w:szCs w:val="22"/>
          <w:lang w:val="es-PA"/>
        </w:rPr>
        <w:t>85</w:t>
      </w:r>
      <w:r w:rsidR="005D7035" w:rsidRPr="00D02132">
        <w:rPr>
          <w:rFonts w:ascii="Roboto" w:hAnsi="Roboto"/>
          <w:sz w:val="22"/>
          <w:szCs w:val="22"/>
          <w:lang w:val="es-PA"/>
        </w:rPr>
        <w:t>%, con la perspectiva de lograr el 90</w:t>
      </w:r>
      <w:r w:rsidR="00BC17FD" w:rsidRPr="00D02132">
        <w:rPr>
          <w:rFonts w:ascii="Roboto" w:hAnsi="Roboto"/>
          <w:sz w:val="22"/>
          <w:szCs w:val="22"/>
          <w:lang w:val="es-PA"/>
        </w:rPr>
        <w:t>%</w:t>
      </w:r>
      <w:r w:rsidR="005D7035" w:rsidRPr="00D02132">
        <w:rPr>
          <w:rFonts w:ascii="Roboto" w:hAnsi="Roboto"/>
          <w:sz w:val="22"/>
          <w:szCs w:val="22"/>
          <w:lang w:val="es-PA"/>
        </w:rPr>
        <w:t xml:space="preserve">-100% de su ejecución en el plazo de la duración de su Plan del Trabajo 2016-2018. </w:t>
      </w:r>
    </w:p>
    <w:p w14:paraId="7B0F0770" w14:textId="77777777" w:rsidR="00655C92" w:rsidRPr="00D02132" w:rsidRDefault="00655C92" w:rsidP="00655C92">
      <w:pPr>
        <w:spacing w:line="276" w:lineRule="auto"/>
        <w:jc w:val="both"/>
        <w:rPr>
          <w:rFonts w:ascii="Roboto" w:hAnsi="Roboto"/>
          <w:b/>
          <w:sz w:val="22"/>
          <w:szCs w:val="22"/>
        </w:rPr>
      </w:pPr>
    </w:p>
    <w:p w14:paraId="60DAD98E" w14:textId="745AC812" w:rsidR="00655C92" w:rsidRPr="00D02132" w:rsidRDefault="00655C92" w:rsidP="00E10BB1">
      <w:pPr>
        <w:spacing w:line="276" w:lineRule="auto"/>
        <w:jc w:val="both"/>
        <w:outlineLvl w:val="0"/>
        <w:rPr>
          <w:rFonts w:ascii="Roboto" w:hAnsi="Roboto"/>
          <w:b/>
          <w:color w:val="548DD4" w:themeColor="text2" w:themeTint="99"/>
          <w:sz w:val="22"/>
          <w:szCs w:val="22"/>
        </w:rPr>
      </w:pPr>
      <w:r w:rsidRPr="00D02132">
        <w:rPr>
          <w:rFonts w:ascii="Roboto" w:hAnsi="Roboto"/>
          <w:b/>
          <w:color w:val="548DD4" w:themeColor="text2" w:themeTint="99"/>
          <w:sz w:val="22"/>
          <w:szCs w:val="22"/>
        </w:rPr>
        <w:t xml:space="preserve">Avances - Actividades realizadas y resultados obtenidos </w:t>
      </w:r>
    </w:p>
    <w:p w14:paraId="7E866EFE" w14:textId="21133C3D" w:rsidR="00655C92" w:rsidRPr="00D02132" w:rsidRDefault="00655C92" w:rsidP="006B263D">
      <w:pPr>
        <w:pStyle w:val="ListParagraph"/>
        <w:numPr>
          <w:ilvl w:val="0"/>
          <w:numId w:val="4"/>
        </w:numPr>
        <w:spacing w:after="120" w:line="276" w:lineRule="auto"/>
        <w:ind w:left="0" w:firstLine="0"/>
        <w:jc w:val="both"/>
        <w:rPr>
          <w:rFonts w:ascii="Roboto" w:hAnsi="Roboto"/>
          <w:sz w:val="22"/>
          <w:szCs w:val="22"/>
          <w:lang w:val="es-PA"/>
        </w:rPr>
      </w:pPr>
      <w:r w:rsidRPr="00D02132">
        <w:rPr>
          <w:rFonts w:ascii="Roboto" w:hAnsi="Roboto"/>
          <w:sz w:val="22"/>
          <w:szCs w:val="22"/>
          <w:lang w:val="es-PA"/>
        </w:rPr>
        <w:t xml:space="preserve">A partir de </w:t>
      </w:r>
      <w:r w:rsidR="006B263D" w:rsidRPr="00D02132">
        <w:rPr>
          <w:rFonts w:ascii="Roboto" w:hAnsi="Roboto"/>
          <w:sz w:val="22"/>
          <w:szCs w:val="22"/>
          <w:lang w:val="es-PA"/>
        </w:rPr>
        <w:t>su</w:t>
      </w:r>
      <w:r w:rsidRPr="00D02132">
        <w:rPr>
          <w:rFonts w:ascii="Roboto" w:hAnsi="Roboto"/>
          <w:sz w:val="22"/>
          <w:szCs w:val="22"/>
          <w:lang w:val="es-PA"/>
        </w:rPr>
        <w:t xml:space="preserve"> adopción y, en seguimiento a su párrafo operativo 2, ONU Medio Ambiente en mayo de 2016 tras consenso con los miembros de la Red </w:t>
      </w:r>
      <w:r w:rsidR="00C868FF">
        <w:rPr>
          <w:rFonts w:ascii="Roboto" w:hAnsi="Roboto"/>
          <w:sz w:val="22"/>
          <w:szCs w:val="22"/>
          <w:lang w:val="es-PA"/>
        </w:rPr>
        <w:t xml:space="preserve"> de Formación Ambiental </w:t>
      </w:r>
      <w:r w:rsidRPr="00D02132">
        <w:rPr>
          <w:rFonts w:ascii="Roboto" w:hAnsi="Roboto"/>
          <w:sz w:val="22"/>
          <w:szCs w:val="22"/>
          <w:lang w:val="es-PA"/>
        </w:rPr>
        <w:t>adoptó el Plan de Trabajo 2016-2018</w:t>
      </w:r>
      <w:r w:rsidRPr="00D02132">
        <w:rPr>
          <w:rStyle w:val="FootnoteReference"/>
          <w:rFonts w:ascii="Roboto" w:hAnsi="Roboto"/>
          <w:sz w:val="22"/>
          <w:szCs w:val="22"/>
          <w:lang w:val="es-PA"/>
        </w:rPr>
        <w:footnoteReference w:id="1"/>
      </w:r>
      <w:r w:rsidRPr="00D02132">
        <w:rPr>
          <w:rFonts w:ascii="Roboto" w:hAnsi="Roboto"/>
          <w:sz w:val="22"/>
          <w:szCs w:val="22"/>
          <w:lang w:val="es-PA"/>
        </w:rPr>
        <w:t>. Las actividades del Plan de Trabajo siguen los lineamientos de los párrafos operativos de la Decisión 3 y han sido agrupados en las siguientes líneas:</w:t>
      </w:r>
    </w:p>
    <w:p w14:paraId="0D84F4F9" w14:textId="77777777" w:rsidR="00655C92" w:rsidRPr="00D02132" w:rsidRDefault="00655C92" w:rsidP="00655C92">
      <w:pPr>
        <w:pStyle w:val="ListParagraph"/>
        <w:numPr>
          <w:ilvl w:val="0"/>
          <w:numId w:val="33"/>
        </w:numPr>
        <w:spacing w:line="276" w:lineRule="auto"/>
        <w:rPr>
          <w:rFonts w:ascii="Roboto" w:hAnsi="Roboto"/>
          <w:sz w:val="22"/>
          <w:szCs w:val="22"/>
          <w:lang w:val="es-PA"/>
        </w:rPr>
      </w:pPr>
      <w:r w:rsidRPr="00D02132">
        <w:rPr>
          <w:rFonts w:ascii="Roboto" w:hAnsi="Roboto"/>
          <w:sz w:val="22"/>
          <w:szCs w:val="22"/>
          <w:lang w:val="es-PA"/>
        </w:rPr>
        <w:t>capacitación e investigación;</w:t>
      </w:r>
    </w:p>
    <w:p w14:paraId="40B6AF20" w14:textId="77777777" w:rsidR="00655C92" w:rsidRPr="00D02132" w:rsidRDefault="00655C92" w:rsidP="00655C92">
      <w:pPr>
        <w:pStyle w:val="ListParagraph"/>
        <w:numPr>
          <w:ilvl w:val="0"/>
          <w:numId w:val="33"/>
        </w:numPr>
        <w:spacing w:line="276" w:lineRule="auto"/>
        <w:rPr>
          <w:rFonts w:ascii="Roboto" w:hAnsi="Roboto"/>
          <w:sz w:val="22"/>
          <w:szCs w:val="22"/>
          <w:lang w:val="es-PA"/>
        </w:rPr>
      </w:pPr>
      <w:r w:rsidRPr="00D02132">
        <w:rPr>
          <w:rFonts w:ascii="Roboto" w:hAnsi="Roboto"/>
          <w:sz w:val="22"/>
          <w:szCs w:val="22"/>
          <w:lang w:val="es-PA"/>
        </w:rPr>
        <w:t xml:space="preserve">articulación con las universidades; </w:t>
      </w:r>
    </w:p>
    <w:p w14:paraId="3B694115" w14:textId="77777777" w:rsidR="00655C92" w:rsidRPr="00D02132" w:rsidRDefault="00655C92" w:rsidP="00655C92">
      <w:pPr>
        <w:pStyle w:val="ListParagraph"/>
        <w:numPr>
          <w:ilvl w:val="0"/>
          <w:numId w:val="33"/>
        </w:numPr>
        <w:spacing w:line="276" w:lineRule="auto"/>
        <w:rPr>
          <w:rFonts w:ascii="Roboto" w:hAnsi="Roboto"/>
          <w:sz w:val="22"/>
          <w:szCs w:val="22"/>
          <w:lang w:val="es-PA"/>
        </w:rPr>
      </w:pPr>
      <w:r w:rsidRPr="00D02132">
        <w:rPr>
          <w:rFonts w:ascii="Roboto" w:hAnsi="Roboto"/>
          <w:sz w:val="22"/>
          <w:szCs w:val="22"/>
          <w:lang w:val="es-PA"/>
        </w:rPr>
        <w:t xml:space="preserve">articulación con otras iniciativas y sectores no tradicionales (sector privado, </w:t>
      </w:r>
    </w:p>
    <w:p w14:paraId="4FF29007" w14:textId="6937989B" w:rsidR="00655C92" w:rsidRPr="00D02132" w:rsidRDefault="00655C92" w:rsidP="00655C92">
      <w:pPr>
        <w:pStyle w:val="ListParagraph"/>
        <w:numPr>
          <w:ilvl w:val="0"/>
          <w:numId w:val="33"/>
        </w:numPr>
        <w:spacing w:line="276" w:lineRule="auto"/>
        <w:rPr>
          <w:rFonts w:ascii="Roboto" w:hAnsi="Roboto"/>
          <w:sz w:val="22"/>
          <w:szCs w:val="22"/>
          <w:lang w:val="es-PA"/>
        </w:rPr>
      </w:pPr>
      <w:r w:rsidRPr="00D02132">
        <w:rPr>
          <w:rFonts w:ascii="Roboto" w:hAnsi="Roboto"/>
          <w:sz w:val="22"/>
          <w:szCs w:val="22"/>
          <w:lang w:val="es-PA"/>
        </w:rPr>
        <w:t xml:space="preserve">secretarías de los acuerdos multilaterales ambientales); </w:t>
      </w:r>
    </w:p>
    <w:p w14:paraId="278C4EBC" w14:textId="77777777" w:rsidR="00655C92" w:rsidRPr="00D02132" w:rsidRDefault="00655C92" w:rsidP="00655C92">
      <w:pPr>
        <w:pStyle w:val="ListParagraph"/>
        <w:numPr>
          <w:ilvl w:val="0"/>
          <w:numId w:val="33"/>
        </w:numPr>
        <w:spacing w:line="276" w:lineRule="auto"/>
        <w:rPr>
          <w:rFonts w:ascii="Roboto" w:hAnsi="Roboto"/>
          <w:sz w:val="22"/>
          <w:szCs w:val="22"/>
          <w:lang w:val="es-PA"/>
        </w:rPr>
      </w:pPr>
      <w:r w:rsidRPr="00D02132">
        <w:rPr>
          <w:rFonts w:ascii="Roboto" w:hAnsi="Roboto"/>
          <w:sz w:val="22"/>
          <w:szCs w:val="22"/>
          <w:lang w:val="es-PA"/>
        </w:rPr>
        <w:t xml:space="preserve">intercambio de experiencias y cooperación Sur-Sur; </w:t>
      </w:r>
    </w:p>
    <w:p w14:paraId="4CB5553E" w14:textId="3B40C27A" w:rsidR="00655C92" w:rsidRPr="00D02132" w:rsidRDefault="00655C92" w:rsidP="00655C92">
      <w:pPr>
        <w:pStyle w:val="ListParagraph"/>
        <w:numPr>
          <w:ilvl w:val="0"/>
          <w:numId w:val="33"/>
        </w:numPr>
        <w:spacing w:line="276" w:lineRule="auto"/>
        <w:rPr>
          <w:rFonts w:ascii="Roboto" w:hAnsi="Roboto"/>
          <w:sz w:val="22"/>
          <w:szCs w:val="22"/>
          <w:lang w:val="es-PA"/>
        </w:rPr>
      </w:pPr>
      <w:r w:rsidRPr="00D02132">
        <w:rPr>
          <w:rFonts w:ascii="Roboto" w:hAnsi="Roboto"/>
          <w:sz w:val="22"/>
          <w:szCs w:val="22"/>
          <w:lang w:val="es-PA"/>
        </w:rPr>
        <w:t>financiación.</w:t>
      </w:r>
    </w:p>
    <w:p w14:paraId="3E718F32" w14:textId="77777777" w:rsidR="006B263D" w:rsidRPr="00D02132" w:rsidRDefault="006B263D" w:rsidP="006B263D">
      <w:pPr>
        <w:pStyle w:val="ListParagraph"/>
        <w:spacing w:line="276" w:lineRule="auto"/>
        <w:rPr>
          <w:rFonts w:ascii="Roboto" w:hAnsi="Roboto"/>
          <w:sz w:val="22"/>
          <w:szCs w:val="22"/>
          <w:lang w:val="es-PA"/>
        </w:rPr>
      </w:pPr>
    </w:p>
    <w:p w14:paraId="187AE5BF" w14:textId="5963E373" w:rsidR="00655C92" w:rsidRPr="00D02132" w:rsidRDefault="006B263D" w:rsidP="006B263D">
      <w:pPr>
        <w:pStyle w:val="ListParagraph"/>
        <w:numPr>
          <w:ilvl w:val="0"/>
          <w:numId w:val="37"/>
        </w:numPr>
        <w:spacing w:line="276" w:lineRule="auto"/>
        <w:rPr>
          <w:rFonts w:ascii="Roboto" w:hAnsi="Roboto"/>
          <w:sz w:val="22"/>
          <w:szCs w:val="22"/>
          <w:u w:val="single"/>
          <w:lang w:val="es-PA"/>
        </w:rPr>
      </w:pPr>
      <w:r w:rsidRPr="00D02132">
        <w:rPr>
          <w:rFonts w:ascii="Roboto" w:hAnsi="Roboto"/>
          <w:b/>
          <w:sz w:val="22"/>
          <w:szCs w:val="22"/>
          <w:lang w:val="es-PA"/>
        </w:rPr>
        <w:t>Capacitación e investigación</w:t>
      </w:r>
    </w:p>
    <w:p w14:paraId="7F096A8A" w14:textId="77777777" w:rsidR="006B263D" w:rsidRPr="00D02132" w:rsidRDefault="006B263D" w:rsidP="00655C92">
      <w:pPr>
        <w:spacing w:line="276" w:lineRule="auto"/>
        <w:rPr>
          <w:rFonts w:ascii="Roboto" w:hAnsi="Roboto"/>
          <w:sz w:val="22"/>
          <w:szCs w:val="22"/>
          <w:u w:val="single"/>
        </w:rPr>
      </w:pPr>
    </w:p>
    <w:p w14:paraId="6750E26F" w14:textId="182682F6" w:rsidR="00655C92" w:rsidRPr="00D02132" w:rsidRDefault="00655C92" w:rsidP="00655C92">
      <w:pPr>
        <w:spacing w:line="276" w:lineRule="auto"/>
        <w:rPr>
          <w:rFonts w:ascii="Roboto" w:hAnsi="Roboto"/>
          <w:sz w:val="22"/>
          <w:szCs w:val="22"/>
          <w:u w:val="single"/>
        </w:rPr>
      </w:pPr>
      <w:r w:rsidRPr="00D02132">
        <w:rPr>
          <w:rFonts w:ascii="Roboto" w:hAnsi="Roboto"/>
          <w:sz w:val="22"/>
          <w:szCs w:val="22"/>
          <w:u w:val="single"/>
        </w:rPr>
        <w:t>Sistematización de nuevas experiencias sobre educación ambiental con enfoque integral en América Latina</w:t>
      </w:r>
    </w:p>
    <w:p w14:paraId="02D5A512" w14:textId="61050AE5" w:rsidR="00A51F3C" w:rsidRPr="00D02132" w:rsidRDefault="00A51F3C" w:rsidP="006B263D">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Se concretó el documento “Sistematización de nuevas experiencias sobre educación ambiental con enfoque integral en América Latina”, publicado y difundido de manera digital desde </w:t>
      </w:r>
      <w:r w:rsidR="006B263D" w:rsidRPr="00D02132">
        <w:rPr>
          <w:rFonts w:ascii="Roboto" w:hAnsi="Roboto"/>
          <w:sz w:val="22"/>
          <w:szCs w:val="22"/>
          <w:lang w:val="es-PA"/>
        </w:rPr>
        <w:t>mayo</w:t>
      </w:r>
      <w:r w:rsidRPr="00D02132">
        <w:rPr>
          <w:rFonts w:ascii="Roboto" w:hAnsi="Roboto"/>
          <w:sz w:val="22"/>
          <w:szCs w:val="22"/>
          <w:lang w:val="es-PA"/>
        </w:rPr>
        <w:t xml:space="preserve"> 2017. El documento compila </w:t>
      </w:r>
      <w:r w:rsidR="006B263D" w:rsidRPr="00D02132">
        <w:rPr>
          <w:rFonts w:ascii="Roboto" w:hAnsi="Roboto"/>
          <w:bCs/>
          <w:sz w:val="22"/>
          <w:szCs w:val="22"/>
          <w:lang w:val="es-PA"/>
        </w:rPr>
        <w:t>24 experiencias</w:t>
      </w:r>
      <w:r w:rsidR="006B263D" w:rsidRPr="00D02132">
        <w:rPr>
          <w:rFonts w:ascii="Roboto" w:hAnsi="Roboto"/>
          <w:sz w:val="22"/>
          <w:szCs w:val="22"/>
          <w:lang w:val="es-PA"/>
        </w:rPr>
        <w:t>, provenientes de</w:t>
      </w:r>
      <w:r w:rsidRPr="00D02132">
        <w:rPr>
          <w:rFonts w:ascii="Roboto" w:hAnsi="Roboto"/>
          <w:sz w:val="22"/>
          <w:szCs w:val="22"/>
          <w:lang w:val="es-PA"/>
        </w:rPr>
        <w:t xml:space="preserve"> </w:t>
      </w:r>
      <w:r w:rsidR="00EB6C97" w:rsidRPr="00D02132">
        <w:rPr>
          <w:rFonts w:ascii="Roboto" w:hAnsi="Roboto"/>
          <w:bCs/>
          <w:sz w:val="22"/>
          <w:szCs w:val="22"/>
          <w:lang w:val="es-PA"/>
        </w:rPr>
        <w:t>13 países</w:t>
      </w:r>
      <w:r w:rsidRPr="00D02132">
        <w:rPr>
          <w:rFonts w:ascii="Roboto" w:hAnsi="Roboto"/>
          <w:sz w:val="22"/>
          <w:szCs w:val="22"/>
          <w:lang w:val="es-PA"/>
        </w:rPr>
        <w:t xml:space="preserve">, </w:t>
      </w:r>
      <w:r w:rsidR="00EB6C97" w:rsidRPr="00D02132">
        <w:rPr>
          <w:rFonts w:ascii="Roboto" w:hAnsi="Roboto"/>
          <w:sz w:val="22"/>
          <w:szCs w:val="22"/>
          <w:lang w:val="es-PA"/>
        </w:rPr>
        <w:t>las cuales</w:t>
      </w:r>
      <w:r w:rsidRPr="00D02132">
        <w:rPr>
          <w:rFonts w:ascii="Roboto" w:hAnsi="Roboto"/>
          <w:sz w:val="22"/>
          <w:szCs w:val="22"/>
          <w:lang w:val="es-PA"/>
        </w:rPr>
        <w:t xml:space="preserve"> han sido tomadas como muestra inicial para llevar a cabo un análisis de la situación de la educación ambiental con enfoque integral en la región. </w:t>
      </w:r>
    </w:p>
    <w:p w14:paraId="72383262" w14:textId="65C4E6E2" w:rsidR="00655C92" w:rsidRPr="00D02132" w:rsidRDefault="00655C92" w:rsidP="00D02132">
      <w:pPr>
        <w:pStyle w:val="ListParagraph"/>
        <w:numPr>
          <w:ilvl w:val="0"/>
          <w:numId w:val="4"/>
        </w:numPr>
        <w:spacing w:after="120" w:line="276" w:lineRule="auto"/>
        <w:ind w:left="0" w:firstLine="0"/>
        <w:jc w:val="both"/>
        <w:rPr>
          <w:rFonts w:ascii="Roboto" w:hAnsi="Roboto"/>
          <w:sz w:val="22"/>
          <w:szCs w:val="22"/>
          <w:lang w:val="es-PA"/>
        </w:rPr>
      </w:pPr>
      <w:r w:rsidRPr="00D02132">
        <w:rPr>
          <w:rFonts w:ascii="Roboto" w:hAnsi="Roboto"/>
          <w:sz w:val="22"/>
          <w:szCs w:val="22"/>
          <w:lang w:val="es-PA"/>
        </w:rPr>
        <w:lastRenderedPageBreak/>
        <w:t xml:space="preserve">El documento </w:t>
      </w:r>
      <w:r w:rsidRPr="00D02132">
        <w:rPr>
          <w:rFonts w:ascii="Roboto" w:hAnsi="Roboto"/>
          <w:bCs/>
          <w:sz w:val="22"/>
          <w:szCs w:val="22"/>
          <w:lang w:val="es-PA"/>
        </w:rPr>
        <w:t>revela aspectos de este proceso</w:t>
      </w:r>
      <w:r w:rsidRPr="00D02132">
        <w:rPr>
          <w:rFonts w:ascii="Roboto" w:hAnsi="Roboto"/>
          <w:sz w:val="22"/>
          <w:szCs w:val="22"/>
          <w:lang w:val="es-PA"/>
        </w:rPr>
        <w:t xml:space="preserve">, </w:t>
      </w:r>
      <w:r w:rsidR="00A264E6" w:rsidRPr="00D02132">
        <w:rPr>
          <w:rFonts w:ascii="Roboto" w:hAnsi="Roboto"/>
          <w:sz w:val="22"/>
          <w:szCs w:val="22"/>
          <w:lang w:val="es-PA"/>
        </w:rPr>
        <w:t xml:space="preserve">a </w:t>
      </w:r>
      <w:r w:rsidR="00EB6C97" w:rsidRPr="00D02132">
        <w:rPr>
          <w:rFonts w:ascii="Roboto" w:hAnsi="Roboto"/>
          <w:sz w:val="22"/>
          <w:szCs w:val="22"/>
          <w:lang w:val="es-PA"/>
        </w:rPr>
        <w:t>partir de un conjunto de reflexiones iniciales sobre el</w:t>
      </w:r>
      <w:r w:rsidR="00EB6C97" w:rsidRPr="00D02132">
        <w:rPr>
          <w:rFonts w:ascii="Roboto" w:hAnsi="Roboto"/>
          <w:bCs/>
          <w:sz w:val="22"/>
          <w:szCs w:val="22"/>
          <w:lang w:val="es-PA"/>
        </w:rPr>
        <w:t xml:space="preserve"> marco conceptual de</w:t>
      </w:r>
      <w:r w:rsidR="00EB6C97" w:rsidRPr="00D02132">
        <w:rPr>
          <w:rFonts w:ascii="Roboto" w:hAnsi="Roboto"/>
          <w:sz w:val="22"/>
          <w:szCs w:val="22"/>
          <w:lang w:val="es-PA"/>
        </w:rPr>
        <w:t xml:space="preserve"> dicho enfoque integral en</w:t>
      </w:r>
      <w:r w:rsidR="00EB6C97" w:rsidRPr="00D02132">
        <w:rPr>
          <w:rFonts w:ascii="Roboto" w:hAnsi="Roboto"/>
          <w:bCs/>
          <w:sz w:val="22"/>
          <w:szCs w:val="22"/>
          <w:lang w:val="es-PA"/>
        </w:rPr>
        <w:t xml:space="preserve"> los procesos</w:t>
      </w:r>
      <w:r w:rsidRPr="00D02132">
        <w:rPr>
          <w:rFonts w:ascii="Roboto" w:hAnsi="Roboto"/>
          <w:bCs/>
          <w:sz w:val="22"/>
          <w:szCs w:val="22"/>
          <w:lang w:val="es-PA"/>
        </w:rPr>
        <w:t xml:space="preserve"> educativos ambientales</w:t>
      </w:r>
      <w:r w:rsidRPr="00D02132">
        <w:rPr>
          <w:rFonts w:ascii="Roboto" w:hAnsi="Roboto"/>
          <w:sz w:val="22"/>
          <w:szCs w:val="22"/>
          <w:lang w:val="es-PA"/>
        </w:rPr>
        <w:t xml:space="preserve">, acompañadas por </w:t>
      </w:r>
      <w:r w:rsidRPr="00D02132">
        <w:rPr>
          <w:rFonts w:ascii="Roboto" w:hAnsi="Roboto"/>
          <w:bCs/>
          <w:sz w:val="22"/>
          <w:szCs w:val="22"/>
          <w:lang w:val="es-PA"/>
        </w:rPr>
        <w:t xml:space="preserve">una propuesta metodológica </w:t>
      </w:r>
      <w:r w:rsidRPr="00D02132">
        <w:rPr>
          <w:rFonts w:ascii="Roboto" w:hAnsi="Roboto"/>
          <w:sz w:val="22"/>
          <w:szCs w:val="22"/>
          <w:lang w:val="es-PA"/>
        </w:rPr>
        <w:t xml:space="preserve">para realizar sistematizaciones en dicho campo. Ha sido difundido en numerosas ocasiones por la sumatoria de experiencias que engloba, las cuales comprenden la educación ambiental desde múltiples ámbitos. </w:t>
      </w:r>
    </w:p>
    <w:p w14:paraId="7DCD1FA2" w14:textId="16930A5C" w:rsidR="00655C92" w:rsidRPr="00D02132" w:rsidRDefault="00655C92" w:rsidP="00E10BB1">
      <w:pPr>
        <w:spacing w:line="276" w:lineRule="auto"/>
        <w:outlineLvl w:val="0"/>
        <w:rPr>
          <w:rFonts w:ascii="Roboto" w:hAnsi="Roboto"/>
          <w:sz w:val="22"/>
          <w:szCs w:val="22"/>
          <w:u w:val="single"/>
        </w:rPr>
      </w:pPr>
      <w:r w:rsidRPr="00D02132">
        <w:rPr>
          <w:rFonts w:ascii="Roboto" w:hAnsi="Roboto"/>
          <w:sz w:val="22"/>
          <w:szCs w:val="22"/>
          <w:u w:val="single"/>
        </w:rPr>
        <w:t>Indicadores para la educación ambiental en América Latina</w:t>
      </w:r>
    </w:p>
    <w:p w14:paraId="46E4EC37" w14:textId="65CDEE4E" w:rsidR="00A264E6" w:rsidRPr="00D02132" w:rsidRDefault="00A264E6" w:rsidP="00960EDA">
      <w:pPr>
        <w:pStyle w:val="ListParagraph"/>
        <w:numPr>
          <w:ilvl w:val="0"/>
          <w:numId w:val="4"/>
        </w:numPr>
        <w:spacing w:after="120" w:line="276" w:lineRule="auto"/>
        <w:ind w:left="0" w:firstLine="0"/>
        <w:jc w:val="both"/>
        <w:rPr>
          <w:rFonts w:ascii="Roboto" w:hAnsi="Roboto"/>
          <w:b/>
          <w:bCs/>
          <w:smallCaps/>
          <w:sz w:val="22"/>
          <w:szCs w:val="22"/>
          <w:lang w:val="es-PA"/>
        </w:rPr>
      </w:pPr>
      <w:r w:rsidRPr="00D02132">
        <w:rPr>
          <w:rFonts w:ascii="Roboto" w:hAnsi="Roboto"/>
          <w:sz w:val="22"/>
          <w:szCs w:val="22"/>
          <w:lang w:val="es-PA"/>
        </w:rPr>
        <w:t xml:space="preserve">Se realizó una propuesta sobre indicadores para la educación ambiental en América Latina. Esta propuesta repasa los procesos a nivel mundial y regional sobre indicadores para la educación ambiental en conexión con la educación para el desarrollo sostenible (particularmente en el marco del objetivo de desarrollo sostenible 4 (Educación de calidad) y su meta 7 (Educación para el desarrollo sostenible). El documento también incluye un análisis comparativo de indicadores nacionales vs objetivos regionales y objetivos mundiales. </w:t>
      </w:r>
      <w:r w:rsidR="00960EDA" w:rsidRPr="00D02132">
        <w:rPr>
          <w:rFonts w:ascii="Roboto" w:hAnsi="Roboto"/>
          <w:sz w:val="22"/>
          <w:szCs w:val="22"/>
          <w:lang w:val="es-PA"/>
        </w:rPr>
        <w:t>Además,</w:t>
      </w:r>
      <w:r w:rsidRPr="00D02132">
        <w:rPr>
          <w:rFonts w:ascii="Roboto" w:hAnsi="Roboto"/>
          <w:sz w:val="22"/>
          <w:szCs w:val="22"/>
          <w:lang w:val="es-PA"/>
        </w:rPr>
        <w:t xml:space="preserve"> incorpora una propuesta de 14 indicadores relacionados a las prioridades y objetivos mundiales, regionales y nacionales. Esta propuesta se presentó a los puntos focales de la Red de Formación Ambiental para su consideración.</w:t>
      </w:r>
    </w:p>
    <w:p w14:paraId="468B87FA" w14:textId="796E01F2" w:rsidR="00A264E6" w:rsidRPr="00D02132" w:rsidRDefault="00A264E6" w:rsidP="00A264E6">
      <w:pPr>
        <w:spacing w:after="120" w:line="276" w:lineRule="auto"/>
        <w:jc w:val="both"/>
        <w:rPr>
          <w:rFonts w:ascii="Roboto" w:hAnsi="Roboto"/>
          <w:b/>
          <w:bCs/>
          <w:smallCaps/>
          <w:sz w:val="22"/>
          <w:szCs w:val="22"/>
        </w:rPr>
      </w:pPr>
      <w:r w:rsidRPr="00D02132">
        <w:rPr>
          <w:rFonts w:ascii="Roboto" w:hAnsi="Roboto"/>
          <w:sz w:val="22"/>
          <w:szCs w:val="22"/>
          <w:u w:val="single"/>
        </w:rPr>
        <w:t>Los Bancos Multilaterales de Desarrollo y los Acuerdos Multilaterales Ambientales: en búsqueda de financiamiento potencial para la Red de Formación Ambiental</w:t>
      </w:r>
    </w:p>
    <w:p w14:paraId="1DB2B7CC" w14:textId="7863B482" w:rsidR="00A264E6" w:rsidRPr="00D02132" w:rsidRDefault="00A264E6" w:rsidP="00960EDA">
      <w:pPr>
        <w:pStyle w:val="ListParagraph"/>
        <w:numPr>
          <w:ilvl w:val="0"/>
          <w:numId w:val="4"/>
        </w:numPr>
        <w:spacing w:line="276" w:lineRule="auto"/>
        <w:ind w:left="0" w:firstLine="0"/>
        <w:jc w:val="both"/>
        <w:rPr>
          <w:rFonts w:ascii="Roboto" w:hAnsi="Roboto"/>
          <w:sz w:val="22"/>
          <w:szCs w:val="22"/>
          <w:lang w:val="es-PA"/>
        </w:rPr>
      </w:pPr>
      <w:r w:rsidRPr="00D02132">
        <w:rPr>
          <w:rFonts w:ascii="Roboto" w:hAnsi="Roboto"/>
          <w:sz w:val="22"/>
          <w:szCs w:val="22"/>
          <w:lang w:val="es-PA"/>
        </w:rPr>
        <w:t xml:space="preserve">En seguimiento a los párrafos 6 y 7 de la Decisión 3 se elaboró una investigación para abordar la movilización de financiamiento con el objetivo de identificar las oportunidades de cooperación entre la Red de Formación Ambiental y las Secretarías de los principales acuerdos multilaterales ambientales en materia de educación ambiental. En cuanto a la banca multilateral para el desarrollo, el análisis se enfocó en: Banco Interamericano de Desarrollo (BID); </w:t>
      </w:r>
      <w:r w:rsidR="00960EDA" w:rsidRPr="00D02132">
        <w:rPr>
          <w:rFonts w:ascii="Roboto" w:hAnsi="Roboto"/>
          <w:sz w:val="22"/>
          <w:szCs w:val="22"/>
          <w:lang w:val="es-PA"/>
        </w:rPr>
        <w:t xml:space="preserve">Banco de Desarrollo de América Latina </w:t>
      </w:r>
      <w:r w:rsidRPr="00D02132">
        <w:rPr>
          <w:rFonts w:ascii="Roboto" w:hAnsi="Roboto"/>
          <w:sz w:val="22"/>
          <w:szCs w:val="22"/>
          <w:lang w:val="es-PA"/>
        </w:rPr>
        <w:t>(</w:t>
      </w:r>
      <w:r w:rsidR="00960EDA" w:rsidRPr="00D02132">
        <w:rPr>
          <w:rFonts w:ascii="Roboto" w:hAnsi="Roboto"/>
          <w:sz w:val="22"/>
          <w:szCs w:val="22"/>
          <w:lang w:val="es-PA"/>
        </w:rPr>
        <w:t xml:space="preserve">Corporación Andina de Fomento </w:t>
      </w:r>
      <w:r w:rsidRPr="00D02132">
        <w:rPr>
          <w:rFonts w:ascii="Roboto" w:hAnsi="Roboto"/>
          <w:sz w:val="22"/>
          <w:szCs w:val="22"/>
          <w:lang w:val="es-PA"/>
        </w:rPr>
        <w:t xml:space="preserve">CAF) y; Banco de Desarrollo del Caribe (BDC). La versión final fue difundida a los miembros de la Red de forma digital desde </w:t>
      </w:r>
      <w:r w:rsidR="00960EDA" w:rsidRPr="00D02132">
        <w:rPr>
          <w:rFonts w:ascii="Roboto" w:hAnsi="Roboto"/>
          <w:sz w:val="22"/>
          <w:szCs w:val="22"/>
          <w:lang w:val="es-PA"/>
        </w:rPr>
        <w:t>mayo</w:t>
      </w:r>
      <w:r w:rsidRPr="00D02132">
        <w:rPr>
          <w:rFonts w:ascii="Roboto" w:hAnsi="Roboto"/>
          <w:sz w:val="22"/>
          <w:szCs w:val="22"/>
          <w:lang w:val="es-PA"/>
        </w:rPr>
        <w:t xml:space="preserve"> de 2017. </w:t>
      </w:r>
    </w:p>
    <w:p w14:paraId="7EFDEAC3" w14:textId="77777777" w:rsidR="00A264E6" w:rsidRPr="00D02132" w:rsidRDefault="00A264E6" w:rsidP="00A264E6">
      <w:pPr>
        <w:spacing w:line="276" w:lineRule="auto"/>
        <w:rPr>
          <w:rFonts w:ascii="Roboto" w:hAnsi="Roboto"/>
          <w:b/>
          <w:sz w:val="22"/>
          <w:szCs w:val="22"/>
        </w:rPr>
      </w:pPr>
    </w:p>
    <w:p w14:paraId="350F836D" w14:textId="519BAAA9" w:rsidR="00A264E6" w:rsidRPr="00D02132" w:rsidRDefault="00B15A7F" w:rsidP="00B15A7F">
      <w:pPr>
        <w:pStyle w:val="ListParagraph"/>
        <w:numPr>
          <w:ilvl w:val="0"/>
          <w:numId w:val="37"/>
        </w:numPr>
        <w:spacing w:line="276" w:lineRule="auto"/>
        <w:rPr>
          <w:rFonts w:ascii="Roboto" w:hAnsi="Roboto"/>
          <w:b/>
          <w:sz w:val="22"/>
          <w:szCs w:val="22"/>
          <w:lang w:val="es-PA"/>
        </w:rPr>
      </w:pPr>
      <w:r w:rsidRPr="00D02132">
        <w:rPr>
          <w:rFonts w:ascii="Roboto" w:hAnsi="Roboto"/>
          <w:b/>
          <w:sz w:val="22"/>
          <w:szCs w:val="22"/>
          <w:lang w:val="es-PA"/>
        </w:rPr>
        <w:t xml:space="preserve"> </w:t>
      </w:r>
      <w:r w:rsidR="00A264E6" w:rsidRPr="00D02132">
        <w:rPr>
          <w:rFonts w:ascii="Roboto" w:hAnsi="Roboto"/>
          <w:b/>
          <w:sz w:val="22"/>
          <w:szCs w:val="22"/>
          <w:lang w:val="es-PA"/>
        </w:rPr>
        <w:t>Articulación con las universidades</w:t>
      </w:r>
    </w:p>
    <w:p w14:paraId="726A8B34" w14:textId="77777777" w:rsidR="00A45CB5" w:rsidRPr="00D02132" w:rsidRDefault="00A45CB5" w:rsidP="00A264E6">
      <w:pPr>
        <w:spacing w:line="276" w:lineRule="auto"/>
        <w:rPr>
          <w:rFonts w:ascii="Roboto" w:hAnsi="Roboto"/>
          <w:b/>
          <w:sz w:val="22"/>
          <w:szCs w:val="22"/>
        </w:rPr>
      </w:pPr>
    </w:p>
    <w:p w14:paraId="21F93257" w14:textId="1CCC9CD6" w:rsidR="005D7035" w:rsidRPr="00D02132" w:rsidRDefault="00A264E6" w:rsidP="00A264E6">
      <w:pPr>
        <w:pStyle w:val="ListParagraph"/>
        <w:spacing w:after="120" w:line="276" w:lineRule="auto"/>
        <w:ind w:left="0"/>
        <w:rPr>
          <w:rFonts w:ascii="Roboto" w:hAnsi="Roboto"/>
          <w:sz w:val="22"/>
          <w:szCs w:val="22"/>
          <w:lang w:val="es-PA"/>
        </w:rPr>
      </w:pPr>
      <w:r w:rsidRPr="00D02132">
        <w:rPr>
          <w:rFonts w:ascii="Roboto" w:hAnsi="Roboto"/>
          <w:sz w:val="22"/>
          <w:szCs w:val="22"/>
          <w:u w:val="single"/>
          <w:lang w:val="es-PA"/>
        </w:rPr>
        <w:t>ONU Medio Ambiente y</w:t>
      </w:r>
      <w:r w:rsidR="00C2652A" w:rsidRPr="00D02132">
        <w:rPr>
          <w:rFonts w:ascii="Roboto" w:hAnsi="Roboto"/>
          <w:sz w:val="22"/>
          <w:szCs w:val="22"/>
          <w:u w:val="single"/>
          <w:lang w:val="es-PA"/>
        </w:rPr>
        <w:t xml:space="preserve"> la</w:t>
      </w:r>
      <w:r w:rsidRPr="00D02132">
        <w:rPr>
          <w:rFonts w:ascii="Roboto" w:hAnsi="Roboto"/>
          <w:sz w:val="22"/>
          <w:szCs w:val="22"/>
          <w:u w:val="single"/>
          <w:lang w:val="es-PA"/>
        </w:rPr>
        <w:t xml:space="preserve"> </w:t>
      </w:r>
      <w:r w:rsidR="00C2652A" w:rsidRPr="00D02132">
        <w:rPr>
          <w:rFonts w:ascii="Roboto" w:hAnsi="Roboto"/>
          <w:sz w:val="22"/>
          <w:szCs w:val="22"/>
          <w:u w:val="single"/>
          <w:lang w:val="es-PA"/>
        </w:rPr>
        <w:t xml:space="preserve">Alianza de Redes Iberoamericanas de Universidades para la Sustentabilidad y el Ambiente </w:t>
      </w:r>
      <w:r w:rsidRPr="00D02132">
        <w:rPr>
          <w:rFonts w:ascii="Roboto" w:hAnsi="Roboto"/>
          <w:sz w:val="22"/>
          <w:szCs w:val="22"/>
          <w:u w:val="single"/>
          <w:lang w:val="es-PA"/>
        </w:rPr>
        <w:t>(</w:t>
      </w:r>
      <w:r w:rsidR="00C2652A" w:rsidRPr="00D02132">
        <w:rPr>
          <w:rFonts w:ascii="Roboto" w:hAnsi="Roboto"/>
          <w:sz w:val="22"/>
          <w:szCs w:val="22"/>
          <w:u w:val="single"/>
          <w:lang w:val="es-PA"/>
        </w:rPr>
        <w:t>ARIUSA</w:t>
      </w:r>
      <w:r w:rsidRPr="00D02132">
        <w:rPr>
          <w:rFonts w:ascii="Roboto" w:hAnsi="Roboto"/>
          <w:sz w:val="22"/>
          <w:szCs w:val="22"/>
          <w:u w:val="single"/>
          <w:lang w:val="es-PA"/>
        </w:rPr>
        <w:t>)</w:t>
      </w:r>
    </w:p>
    <w:p w14:paraId="42153519" w14:textId="5075BDEB" w:rsidR="00A264E6" w:rsidRPr="00D02132" w:rsidRDefault="00A264E6" w:rsidP="00C2652A">
      <w:pPr>
        <w:pStyle w:val="Default"/>
        <w:numPr>
          <w:ilvl w:val="0"/>
          <w:numId w:val="4"/>
        </w:numPr>
        <w:spacing w:after="120" w:line="276" w:lineRule="auto"/>
        <w:ind w:left="0" w:firstLine="0"/>
        <w:jc w:val="both"/>
        <w:rPr>
          <w:rFonts w:ascii="Roboto" w:hAnsi="Roboto" w:cs="Times New Roman"/>
          <w:color w:val="auto"/>
          <w:sz w:val="22"/>
          <w:szCs w:val="22"/>
        </w:rPr>
      </w:pPr>
      <w:r w:rsidRPr="00D02132">
        <w:rPr>
          <w:rFonts w:ascii="Roboto" w:hAnsi="Roboto" w:cs="Times New Roman"/>
          <w:color w:val="auto"/>
          <w:sz w:val="22"/>
          <w:szCs w:val="22"/>
        </w:rPr>
        <w:t>La cooperación entre ONU Medio Ambiente y ARIUSA fue renovada el 9 mayo de 2016 a través de un memorando de entendimiento. El 20 de septiembre de 2016, ONU Medio Ambiente</w:t>
      </w:r>
      <w:r w:rsidR="00EE1CD9" w:rsidRPr="00D02132">
        <w:rPr>
          <w:rFonts w:ascii="Roboto" w:hAnsi="Roboto" w:cs="Times New Roman"/>
          <w:color w:val="auto"/>
          <w:sz w:val="22"/>
          <w:szCs w:val="22"/>
        </w:rPr>
        <w:t xml:space="preserve"> y la </w:t>
      </w:r>
      <w:r w:rsidRPr="00D02132">
        <w:rPr>
          <w:rFonts w:ascii="Roboto" w:hAnsi="Roboto" w:cs="Times New Roman"/>
          <w:color w:val="auto"/>
          <w:sz w:val="22"/>
          <w:szCs w:val="22"/>
        </w:rPr>
        <w:t xml:space="preserve">Oficina para América Latina y el Caribe y la Universidad de Ciencias Aplicadas y Ambientales (U.D.C.A) firmaron un acuerdo de financiación en pequeña escala con la finalidad de consolidar, intensificar y definir claramente su cooperación. </w:t>
      </w:r>
    </w:p>
    <w:p w14:paraId="42A2D846" w14:textId="77777777" w:rsidR="00A264E6" w:rsidRPr="00D02132" w:rsidRDefault="00A264E6" w:rsidP="00EE1CD9">
      <w:pPr>
        <w:pStyle w:val="Default"/>
        <w:numPr>
          <w:ilvl w:val="0"/>
          <w:numId w:val="4"/>
        </w:numPr>
        <w:spacing w:after="120" w:line="276" w:lineRule="auto"/>
        <w:ind w:left="0" w:firstLine="0"/>
        <w:jc w:val="both"/>
        <w:rPr>
          <w:rFonts w:ascii="Roboto" w:hAnsi="Roboto" w:cs="Times New Roman"/>
          <w:color w:val="auto"/>
          <w:sz w:val="22"/>
          <w:szCs w:val="22"/>
        </w:rPr>
      </w:pPr>
      <w:r w:rsidRPr="00D02132">
        <w:rPr>
          <w:rFonts w:ascii="Roboto" w:hAnsi="Roboto" w:cs="Times New Roman"/>
          <w:color w:val="auto"/>
          <w:sz w:val="22"/>
          <w:szCs w:val="22"/>
        </w:rPr>
        <w:t xml:space="preserve">Así mismo se colaboró con la organización del segundo Foro Latinoamericano de Universidades por el Ambiente y la Sustentabilidad bajo la coordinación de ARIUSA que tuvo lugar en la ciudad de Santa Marta, Colombia del 19 al 21 de octubre de 2017. </w:t>
      </w:r>
    </w:p>
    <w:p w14:paraId="700CE6B4" w14:textId="29A97B8A" w:rsidR="005D7035" w:rsidRPr="00D02132" w:rsidRDefault="00A264E6" w:rsidP="00A264E6">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Los resultados de esta cooperación han generado que los Ministerios de Medio Ambiente incentiven la implementación de políticas públicas para promover la </w:t>
      </w:r>
      <w:r w:rsidR="00B71D1A" w:rsidRPr="00D02132">
        <w:rPr>
          <w:rFonts w:ascii="Roboto" w:hAnsi="Roboto"/>
          <w:sz w:val="22"/>
          <w:szCs w:val="22"/>
          <w:lang w:val="es-PA"/>
        </w:rPr>
        <w:t>sostenibilidad</w:t>
      </w:r>
      <w:r w:rsidRPr="00D02132">
        <w:rPr>
          <w:rFonts w:ascii="Roboto" w:hAnsi="Roboto"/>
          <w:sz w:val="22"/>
          <w:szCs w:val="22"/>
          <w:lang w:val="es-PA"/>
        </w:rPr>
        <w:t xml:space="preserve"> en las instituciones de educación superior</w:t>
      </w:r>
      <w:r w:rsidR="00B6672B">
        <w:rPr>
          <w:rFonts w:ascii="Roboto" w:hAnsi="Roboto"/>
          <w:sz w:val="22"/>
          <w:szCs w:val="22"/>
          <w:lang w:val="es-PA"/>
        </w:rPr>
        <w:t xml:space="preserve"> c</w:t>
      </w:r>
      <w:r w:rsidRPr="00D02132">
        <w:rPr>
          <w:rFonts w:ascii="Roboto" w:hAnsi="Roboto"/>
          <w:sz w:val="22"/>
          <w:szCs w:val="22"/>
          <w:lang w:val="es-PA"/>
        </w:rPr>
        <w:t xml:space="preserve">omo en Perú (Superintendencia </w:t>
      </w:r>
      <w:r w:rsidRPr="00D02132">
        <w:rPr>
          <w:rFonts w:ascii="Roboto" w:hAnsi="Roboto"/>
          <w:sz w:val="22"/>
          <w:szCs w:val="22"/>
          <w:lang w:val="es-PA"/>
        </w:rPr>
        <w:lastRenderedPageBreak/>
        <w:t xml:space="preserve">Nacional de Educación Superior Universitaria), Colombia (Red Colombiana de Formación Ambiental) y Panamá (Comisión de Ambiente del Consejo de Rectores de Panamá y la Red de Universidades Panameñas para el Desarrollo Sostenible). </w:t>
      </w:r>
    </w:p>
    <w:p w14:paraId="53BFB8DF" w14:textId="77777777" w:rsidR="00480A60" w:rsidRPr="00D02132" w:rsidRDefault="00480A60" w:rsidP="00E10BB1">
      <w:pPr>
        <w:pStyle w:val="Default"/>
        <w:spacing w:line="276" w:lineRule="auto"/>
        <w:outlineLvl w:val="0"/>
        <w:rPr>
          <w:rFonts w:ascii="Roboto" w:hAnsi="Roboto" w:cs="Times New Roman"/>
          <w:color w:val="auto"/>
          <w:sz w:val="22"/>
          <w:szCs w:val="22"/>
          <w:u w:val="single"/>
        </w:rPr>
      </w:pPr>
      <w:r w:rsidRPr="00D02132">
        <w:rPr>
          <w:rFonts w:ascii="Roboto" w:hAnsi="Roboto" w:cs="Times New Roman"/>
          <w:color w:val="auto"/>
          <w:sz w:val="22"/>
          <w:szCs w:val="22"/>
          <w:u w:val="single"/>
        </w:rPr>
        <w:t xml:space="preserve">Red de Formación Ambiental y UNESCO </w:t>
      </w:r>
    </w:p>
    <w:p w14:paraId="51D6EB9E" w14:textId="59D8C5AD" w:rsidR="00A264E6" w:rsidRPr="00D02132" w:rsidRDefault="00A264E6" w:rsidP="00B71D1A">
      <w:pPr>
        <w:pStyle w:val="Default"/>
        <w:numPr>
          <w:ilvl w:val="0"/>
          <w:numId w:val="4"/>
        </w:numPr>
        <w:spacing w:line="276" w:lineRule="auto"/>
        <w:ind w:left="0" w:firstLine="0"/>
        <w:jc w:val="both"/>
        <w:rPr>
          <w:rFonts w:ascii="Roboto" w:hAnsi="Roboto" w:cs="Times New Roman"/>
          <w:color w:val="auto"/>
          <w:sz w:val="22"/>
          <w:szCs w:val="22"/>
        </w:rPr>
      </w:pPr>
      <w:r w:rsidRPr="00D02132">
        <w:rPr>
          <w:rFonts w:ascii="Roboto" w:hAnsi="Roboto" w:cs="Times New Roman"/>
          <w:color w:val="auto"/>
          <w:sz w:val="22"/>
          <w:szCs w:val="22"/>
        </w:rPr>
        <w:t xml:space="preserve">La Unidad de Educación y Capacitación Ambiental de la sede de ONU Medio Ambiente, junto con ARIUSA realizaron un taller en la </w:t>
      </w:r>
      <w:r w:rsidRPr="00D02132">
        <w:rPr>
          <w:rFonts w:ascii="Roboto" w:hAnsi="Roboto" w:cs="Times New Roman"/>
          <w:sz w:val="22"/>
          <w:szCs w:val="22"/>
        </w:rPr>
        <w:t>Semana de la Paz y el Desarrollo Sostenible de UNESCO: El papel de la Educación</w:t>
      </w:r>
      <w:r w:rsidRPr="00D02132">
        <w:rPr>
          <w:rFonts w:ascii="Roboto" w:hAnsi="Roboto" w:cs="Times New Roman"/>
          <w:color w:val="auto"/>
          <w:sz w:val="22"/>
          <w:szCs w:val="22"/>
        </w:rPr>
        <w:t xml:space="preserve"> (6-10 de marzo; Ottawa, Canadá). El taller se enfocó en el trabajo sobre indicadores de sostenibilidad de las universidades latinoamericanas, con base en el informe </w:t>
      </w:r>
      <w:r w:rsidR="00B71D1A" w:rsidRPr="00D02132">
        <w:rPr>
          <w:rFonts w:ascii="Roboto" w:hAnsi="Roboto" w:cs="Times New Roman"/>
          <w:color w:val="auto"/>
          <w:sz w:val="22"/>
          <w:szCs w:val="22"/>
        </w:rPr>
        <w:t>“</w:t>
      </w:r>
      <w:r w:rsidRPr="00D02132">
        <w:rPr>
          <w:rFonts w:ascii="Roboto" w:hAnsi="Roboto" w:cs="Times New Roman"/>
          <w:color w:val="auto"/>
          <w:sz w:val="22"/>
          <w:szCs w:val="22"/>
        </w:rPr>
        <w:t>Diseño de indicadores para la evaluación e incorporación de las políticas de sostenibilidad en Universidades Latinoamericanas</w:t>
      </w:r>
      <w:r w:rsidR="00B71D1A" w:rsidRPr="00D02132">
        <w:rPr>
          <w:rFonts w:ascii="Roboto" w:hAnsi="Roboto" w:cs="Times New Roman"/>
          <w:color w:val="auto"/>
          <w:sz w:val="22"/>
          <w:szCs w:val="22"/>
        </w:rPr>
        <w:t>”</w:t>
      </w:r>
      <w:r w:rsidRPr="00D02132">
        <w:rPr>
          <w:rFonts w:ascii="Roboto" w:hAnsi="Roboto" w:cs="Times New Roman"/>
          <w:color w:val="auto"/>
          <w:sz w:val="22"/>
          <w:szCs w:val="22"/>
        </w:rPr>
        <w:t xml:space="preserve"> (ARIUSA, proyecto RISU- Red de Indicadores de Sustentabilidad de las Universidades, 2014). Los resultados de dicho informe y los diagnósticos nacionales también se dieron a conocer ampliamente a través de la página principal de ONU Medio Ambiente</w:t>
      </w:r>
      <w:r w:rsidR="00472A7D" w:rsidRPr="00D02132">
        <w:rPr>
          <w:rStyle w:val="FootnoteReference"/>
          <w:rFonts w:ascii="Roboto" w:hAnsi="Roboto" w:cs="Times New Roman"/>
          <w:color w:val="auto"/>
          <w:sz w:val="22"/>
          <w:szCs w:val="22"/>
        </w:rPr>
        <w:footnoteReference w:id="2"/>
      </w:r>
      <w:r w:rsidRPr="00D02132">
        <w:rPr>
          <w:rFonts w:ascii="Roboto" w:hAnsi="Roboto" w:cs="Times New Roman"/>
          <w:color w:val="auto"/>
          <w:sz w:val="22"/>
          <w:szCs w:val="22"/>
        </w:rPr>
        <w:t xml:space="preserve">. </w:t>
      </w:r>
    </w:p>
    <w:p w14:paraId="03D5692C" w14:textId="77777777" w:rsidR="00D05BD8" w:rsidRPr="00D02132" w:rsidRDefault="00D05BD8" w:rsidP="00816572">
      <w:pPr>
        <w:pStyle w:val="Default"/>
        <w:spacing w:line="276" w:lineRule="auto"/>
        <w:rPr>
          <w:rFonts w:ascii="Roboto" w:hAnsi="Roboto" w:cs="Times New Roman"/>
          <w:color w:val="auto"/>
          <w:sz w:val="22"/>
          <w:szCs w:val="22"/>
        </w:rPr>
      </w:pPr>
    </w:p>
    <w:p w14:paraId="2D3076D5" w14:textId="7D8BCB75" w:rsidR="005D7035" w:rsidRPr="00D02132" w:rsidRDefault="005D7035" w:rsidP="00B71D1A">
      <w:pPr>
        <w:pStyle w:val="ListParagraph"/>
        <w:numPr>
          <w:ilvl w:val="0"/>
          <w:numId w:val="37"/>
        </w:numPr>
        <w:spacing w:line="276" w:lineRule="auto"/>
        <w:rPr>
          <w:rFonts w:ascii="Roboto" w:hAnsi="Roboto"/>
          <w:b/>
          <w:sz w:val="22"/>
          <w:szCs w:val="22"/>
          <w:lang w:val="es-PA"/>
        </w:rPr>
      </w:pPr>
      <w:r w:rsidRPr="00D02132">
        <w:rPr>
          <w:rFonts w:ascii="Roboto" w:hAnsi="Roboto"/>
          <w:b/>
          <w:sz w:val="22"/>
          <w:szCs w:val="22"/>
          <w:lang w:val="es-PA"/>
        </w:rPr>
        <w:t>Articulación con otras iniciativas y sectores no tradicionales (sector privado, secretarías de los acuerdos multilaterales ambientales)</w:t>
      </w:r>
    </w:p>
    <w:p w14:paraId="374B858C" w14:textId="77777777" w:rsidR="005D7035" w:rsidRPr="00D02132" w:rsidRDefault="005D7035" w:rsidP="00816572">
      <w:pPr>
        <w:spacing w:line="276" w:lineRule="auto"/>
        <w:rPr>
          <w:rFonts w:ascii="Roboto" w:hAnsi="Roboto"/>
          <w:sz w:val="22"/>
          <w:szCs w:val="22"/>
        </w:rPr>
      </w:pPr>
    </w:p>
    <w:p w14:paraId="2EC1B2DE" w14:textId="1B0F3EA7" w:rsidR="00480A60" w:rsidRPr="00D02132" w:rsidRDefault="00480A60" w:rsidP="00B71D1A">
      <w:pPr>
        <w:pStyle w:val="ListParagraph"/>
        <w:numPr>
          <w:ilvl w:val="0"/>
          <w:numId w:val="4"/>
        </w:numPr>
        <w:spacing w:line="276" w:lineRule="auto"/>
        <w:ind w:left="0" w:firstLine="0"/>
        <w:rPr>
          <w:rFonts w:ascii="Roboto" w:hAnsi="Roboto"/>
          <w:sz w:val="22"/>
          <w:szCs w:val="22"/>
          <w:lang w:val="es-PA"/>
        </w:rPr>
      </w:pPr>
      <w:r w:rsidRPr="00D02132">
        <w:rPr>
          <w:rFonts w:ascii="Roboto" w:hAnsi="Roboto"/>
          <w:sz w:val="22"/>
          <w:szCs w:val="22"/>
          <w:lang w:val="es-PA"/>
        </w:rPr>
        <w:t>ONU Medio Ambiente participó en el 6º Encuentro Nacional y 1ª Ronda Latinoamericana de Educación Ambiental para el Desarrollo Humano Sustentable, RENEA 10</w:t>
      </w:r>
      <w:r w:rsidRPr="00D02132">
        <w:rPr>
          <w:rStyle w:val="FootnoteReference"/>
          <w:rFonts w:ascii="Roboto" w:hAnsi="Roboto"/>
          <w:sz w:val="22"/>
          <w:szCs w:val="22"/>
          <w:lang w:val="es-PA"/>
        </w:rPr>
        <w:footnoteReference w:id="3"/>
      </w:r>
      <w:r w:rsidRPr="00D02132">
        <w:rPr>
          <w:rFonts w:ascii="Roboto" w:hAnsi="Roboto"/>
          <w:sz w:val="22"/>
          <w:szCs w:val="22"/>
          <w:lang w:val="es-PA"/>
        </w:rPr>
        <w:t xml:space="preserve"> (22-24 de septiembre de 2016, Las Piedras, Uruguay). Reuniones informativas y de trabajo con el equipo de la División Educación Ambiental y Participación Ciudadana del Ministerio del Ambiente de Chile</w:t>
      </w:r>
      <w:r w:rsidRPr="00D02132">
        <w:rPr>
          <w:rStyle w:val="FootnoteReference"/>
          <w:rFonts w:ascii="Roboto" w:hAnsi="Roboto"/>
          <w:sz w:val="22"/>
          <w:szCs w:val="22"/>
          <w:lang w:val="es-PA"/>
        </w:rPr>
        <w:footnoteReference w:id="4"/>
      </w:r>
      <w:r w:rsidRPr="00D02132">
        <w:rPr>
          <w:rFonts w:ascii="Roboto" w:hAnsi="Roboto"/>
          <w:sz w:val="22"/>
          <w:szCs w:val="22"/>
          <w:lang w:val="es-PA"/>
        </w:rPr>
        <w:t xml:space="preserve"> (28 de septiembre de 2016).</w:t>
      </w:r>
      <w:r w:rsidRPr="00D02132">
        <w:rPr>
          <w:rFonts w:ascii="Roboto" w:hAnsi="Roboto" w:cs="Calibri"/>
          <w:lang w:val="es-PA"/>
        </w:rPr>
        <w:t xml:space="preserve">  </w:t>
      </w:r>
      <w:r w:rsidRPr="00D02132">
        <w:rPr>
          <w:rFonts w:ascii="Roboto" w:hAnsi="Roboto"/>
          <w:sz w:val="22"/>
          <w:szCs w:val="22"/>
          <w:lang w:val="es-PA"/>
        </w:rPr>
        <w:t xml:space="preserve">También se </w:t>
      </w:r>
      <w:r w:rsidR="00FB0EE6" w:rsidRPr="00D02132">
        <w:rPr>
          <w:rFonts w:ascii="Roboto" w:hAnsi="Roboto"/>
          <w:sz w:val="22"/>
          <w:szCs w:val="22"/>
          <w:lang w:val="es-PA"/>
        </w:rPr>
        <w:t>participó en</w:t>
      </w:r>
      <w:r w:rsidRPr="00D02132">
        <w:rPr>
          <w:rFonts w:ascii="Roboto" w:hAnsi="Roboto"/>
          <w:sz w:val="22"/>
          <w:szCs w:val="22"/>
          <w:lang w:val="es-PA"/>
        </w:rPr>
        <w:t xml:space="preserve"> la Reunión Regional de Ministros de Educación de América Latina y el Caribe: E2030, Educación y Habilidades para el Siglo 21 (24 y 25 de enero, 2017; Buenos Aires, Argentina). Todas con el fin de</w:t>
      </w:r>
      <w:r w:rsidRPr="00D02132">
        <w:rPr>
          <w:rFonts w:ascii="Roboto" w:hAnsi="Roboto" w:cs="Calibri"/>
          <w:lang w:val="es-PA"/>
        </w:rPr>
        <w:t xml:space="preserve"> e</w:t>
      </w:r>
      <w:r w:rsidRPr="00D02132">
        <w:rPr>
          <w:rFonts w:ascii="Roboto" w:hAnsi="Roboto"/>
          <w:sz w:val="22"/>
          <w:szCs w:val="22"/>
          <w:lang w:val="es-PA"/>
        </w:rPr>
        <w:t xml:space="preserve">xplorar nuevas alianzas para la Red y dar a conocer </w:t>
      </w:r>
      <w:r w:rsidR="00B6672B">
        <w:rPr>
          <w:rFonts w:ascii="Roboto" w:hAnsi="Roboto"/>
          <w:sz w:val="22"/>
          <w:szCs w:val="22"/>
          <w:lang w:val="es-PA"/>
        </w:rPr>
        <w:t xml:space="preserve">el </w:t>
      </w:r>
      <w:r w:rsidRPr="00D02132">
        <w:rPr>
          <w:rFonts w:ascii="Roboto" w:hAnsi="Roboto"/>
          <w:sz w:val="22"/>
          <w:szCs w:val="22"/>
          <w:lang w:val="es-PA"/>
        </w:rPr>
        <w:t>ámbito de acción y oportunidades de colaboración</w:t>
      </w:r>
    </w:p>
    <w:p w14:paraId="4DC47FD2" w14:textId="77777777" w:rsidR="00480A60" w:rsidRPr="00D02132" w:rsidRDefault="00480A60" w:rsidP="00480A60">
      <w:pPr>
        <w:pStyle w:val="Default"/>
        <w:spacing w:line="276" w:lineRule="auto"/>
        <w:rPr>
          <w:rFonts w:ascii="Roboto" w:hAnsi="Roboto" w:cs="Times New Roman"/>
          <w:color w:val="auto"/>
          <w:sz w:val="22"/>
          <w:szCs w:val="22"/>
        </w:rPr>
      </w:pPr>
    </w:p>
    <w:p w14:paraId="441FB0E6" w14:textId="7316C949" w:rsidR="005D7035" w:rsidRPr="00D02132" w:rsidRDefault="005D7035" w:rsidP="00FB0EE6">
      <w:pPr>
        <w:pStyle w:val="ListParagraph"/>
        <w:numPr>
          <w:ilvl w:val="0"/>
          <w:numId w:val="37"/>
        </w:numPr>
        <w:spacing w:line="276" w:lineRule="auto"/>
        <w:rPr>
          <w:rFonts w:ascii="Roboto" w:hAnsi="Roboto"/>
          <w:b/>
          <w:sz w:val="22"/>
          <w:szCs w:val="22"/>
          <w:lang w:val="es-PA"/>
        </w:rPr>
      </w:pPr>
      <w:r w:rsidRPr="00D02132">
        <w:rPr>
          <w:rFonts w:ascii="Roboto" w:hAnsi="Roboto"/>
          <w:b/>
          <w:sz w:val="22"/>
          <w:szCs w:val="22"/>
          <w:lang w:val="es-PA"/>
        </w:rPr>
        <w:t xml:space="preserve">Intercambio de experiencias y cooperación Sur-Sur </w:t>
      </w:r>
    </w:p>
    <w:p w14:paraId="0ED23B8D" w14:textId="77777777" w:rsidR="005D7035" w:rsidRPr="00D02132" w:rsidRDefault="005D7035" w:rsidP="00816572">
      <w:pPr>
        <w:spacing w:line="276" w:lineRule="auto"/>
        <w:rPr>
          <w:rFonts w:ascii="Roboto" w:hAnsi="Roboto"/>
          <w:sz w:val="22"/>
          <w:szCs w:val="22"/>
        </w:rPr>
      </w:pPr>
    </w:p>
    <w:p w14:paraId="4224AC46" w14:textId="0BFF0F58" w:rsidR="005A58E4" w:rsidRPr="00D02132" w:rsidRDefault="005A58E4" w:rsidP="00FB0EE6">
      <w:pPr>
        <w:pStyle w:val="ListParagraph"/>
        <w:numPr>
          <w:ilvl w:val="0"/>
          <w:numId w:val="4"/>
        </w:numPr>
        <w:spacing w:line="276" w:lineRule="auto"/>
        <w:ind w:left="0" w:firstLine="0"/>
        <w:jc w:val="both"/>
        <w:rPr>
          <w:rFonts w:ascii="Roboto" w:hAnsi="Roboto"/>
          <w:sz w:val="22"/>
          <w:szCs w:val="22"/>
          <w:lang w:val="es-PA"/>
        </w:rPr>
      </w:pPr>
      <w:r w:rsidRPr="00D02132">
        <w:rPr>
          <w:rFonts w:ascii="Roboto" w:hAnsi="Roboto"/>
          <w:sz w:val="22"/>
          <w:szCs w:val="22"/>
          <w:lang w:val="es-PA"/>
        </w:rPr>
        <w:t xml:space="preserve">El intercambio de experiencias y la cooperación Sur-Sur </w:t>
      </w:r>
      <w:r w:rsidR="00FB0EE6" w:rsidRPr="00D02132">
        <w:rPr>
          <w:rFonts w:ascii="Roboto" w:hAnsi="Roboto"/>
          <w:sz w:val="22"/>
          <w:szCs w:val="22"/>
          <w:lang w:val="es-PA"/>
        </w:rPr>
        <w:t>son</w:t>
      </w:r>
      <w:r w:rsidRPr="00D02132">
        <w:rPr>
          <w:rFonts w:ascii="Roboto" w:hAnsi="Roboto"/>
          <w:sz w:val="22"/>
          <w:szCs w:val="22"/>
          <w:lang w:val="es-PA"/>
        </w:rPr>
        <w:t xml:space="preserve"> un eje central de la Red de Formación Ambiental. La Red opera como una comunidad de práctica de los directores y directoras de las unidades de educación ambiental de los ministerios del ambiente con el fin de fortalecer los conocimientos especializados, el aprendizaje mutuo, el intercambio de experiencias y prácticas de educación ambiental a través de espacios de encuentro presenciales y virtuales.</w:t>
      </w:r>
    </w:p>
    <w:p w14:paraId="5FDA511B" w14:textId="2AA5DFC0" w:rsidR="005A58E4" w:rsidRPr="00D02132" w:rsidRDefault="005A58E4" w:rsidP="00FB0EE6">
      <w:pPr>
        <w:pStyle w:val="ListParagraph"/>
        <w:numPr>
          <w:ilvl w:val="0"/>
          <w:numId w:val="4"/>
        </w:numPr>
        <w:spacing w:line="276" w:lineRule="auto"/>
        <w:ind w:left="0" w:firstLine="0"/>
        <w:jc w:val="both"/>
        <w:rPr>
          <w:rFonts w:ascii="Roboto" w:hAnsi="Roboto"/>
          <w:sz w:val="22"/>
          <w:szCs w:val="22"/>
          <w:lang w:val="es-PA"/>
        </w:rPr>
      </w:pPr>
      <w:r w:rsidRPr="00D02132">
        <w:rPr>
          <w:rFonts w:ascii="Roboto" w:hAnsi="Roboto"/>
          <w:sz w:val="22"/>
          <w:szCs w:val="22"/>
          <w:lang w:val="es-PA"/>
        </w:rPr>
        <w:t>Durante el período que se está reportando en este informe</w:t>
      </w:r>
      <w:r w:rsidR="00C25761" w:rsidRPr="00D02132">
        <w:rPr>
          <w:rFonts w:ascii="Roboto" w:hAnsi="Roboto"/>
          <w:sz w:val="22"/>
          <w:szCs w:val="22"/>
          <w:lang w:val="es-PA"/>
        </w:rPr>
        <w:t>,</w:t>
      </w:r>
      <w:r w:rsidRPr="00D02132">
        <w:rPr>
          <w:rFonts w:ascii="Roboto" w:hAnsi="Roboto"/>
          <w:sz w:val="22"/>
          <w:szCs w:val="22"/>
          <w:lang w:val="es-PA"/>
        </w:rPr>
        <w:t xml:space="preserve"> la Coordinación de la Red de Formación </w:t>
      </w:r>
      <w:r w:rsidR="00C25761" w:rsidRPr="00D02132">
        <w:rPr>
          <w:rFonts w:ascii="Roboto" w:hAnsi="Roboto"/>
          <w:sz w:val="22"/>
          <w:szCs w:val="22"/>
          <w:lang w:val="es-PA"/>
        </w:rPr>
        <w:t>convocó</w:t>
      </w:r>
      <w:r w:rsidRPr="00D02132">
        <w:rPr>
          <w:rFonts w:ascii="Roboto" w:hAnsi="Roboto"/>
          <w:sz w:val="22"/>
          <w:szCs w:val="22"/>
          <w:lang w:val="es-PA"/>
        </w:rPr>
        <w:t xml:space="preserve"> cuatro reuniones virtuales (16 de diciembre de 2016, 17 de febrero de 2017, 8 de septiembre de 2017, 25 junio 2018)</w:t>
      </w:r>
      <w:r w:rsidR="00BD7B02" w:rsidRPr="00D02132">
        <w:rPr>
          <w:rFonts w:ascii="Roboto" w:hAnsi="Roboto"/>
          <w:sz w:val="22"/>
          <w:szCs w:val="22"/>
          <w:lang w:val="es-PA"/>
        </w:rPr>
        <w:t xml:space="preserve"> c</w:t>
      </w:r>
      <w:r w:rsidRPr="00D02132">
        <w:rPr>
          <w:rFonts w:ascii="Roboto" w:hAnsi="Roboto"/>
          <w:sz w:val="22"/>
          <w:szCs w:val="22"/>
          <w:lang w:val="es-PA"/>
        </w:rPr>
        <w:t xml:space="preserve">on el fin de presentar, discutir, evaluar y aprobar entre los miembros las distintas actividades programadas en el Plan de </w:t>
      </w:r>
      <w:r w:rsidRPr="00D02132">
        <w:rPr>
          <w:rFonts w:ascii="Roboto" w:hAnsi="Roboto"/>
          <w:sz w:val="22"/>
          <w:szCs w:val="22"/>
          <w:lang w:val="es-PA"/>
        </w:rPr>
        <w:lastRenderedPageBreak/>
        <w:t>Trabajo. En cuanto a las reuniones presenciales se han tenido los siguientes encuentros entre los miembros de la Red:</w:t>
      </w:r>
    </w:p>
    <w:p w14:paraId="025CF9A2" w14:textId="77777777" w:rsidR="005A58E4" w:rsidRPr="00D02132" w:rsidRDefault="005A58E4" w:rsidP="005A58E4">
      <w:pPr>
        <w:pStyle w:val="ListParagraph"/>
        <w:numPr>
          <w:ilvl w:val="0"/>
          <w:numId w:val="34"/>
        </w:numPr>
        <w:spacing w:line="276" w:lineRule="auto"/>
        <w:jc w:val="both"/>
        <w:rPr>
          <w:rFonts w:ascii="Roboto" w:hAnsi="Roboto"/>
          <w:sz w:val="22"/>
          <w:szCs w:val="22"/>
          <w:lang w:val="es-PA"/>
        </w:rPr>
      </w:pPr>
      <w:r w:rsidRPr="00D02132">
        <w:rPr>
          <w:rFonts w:ascii="Roboto" w:hAnsi="Roboto"/>
          <w:sz w:val="22"/>
          <w:szCs w:val="22"/>
          <w:lang w:val="es-PA"/>
        </w:rPr>
        <w:t xml:space="preserve">Foro Internacional Corredores de Biodiversidad y Áreas Protegidas (4 - 6 de abril de 2016, Asunción, Paraguay). </w:t>
      </w:r>
    </w:p>
    <w:p w14:paraId="43E17493" w14:textId="77777777" w:rsidR="005A58E4" w:rsidRPr="00D02132" w:rsidRDefault="005A58E4" w:rsidP="005A58E4">
      <w:pPr>
        <w:pStyle w:val="ListParagraph"/>
        <w:numPr>
          <w:ilvl w:val="0"/>
          <w:numId w:val="34"/>
        </w:numPr>
        <w:spacing w:line="276" w:lineRule="auto"/>
        <w:jc w:val="both"/>
        <w:rPr>
          <w:rFonts w:ascii="Roboto" w:hAnsi="Roboto"/>
          <w:sz w:val="22"/>
          <w:szCs w:val="22"/>
          <w:lang w:val="es-PA"/>
        </w:rPr>
      </w:pPr>
      <w:r w:rsidRPr="00D02132">
        <w:rPr>
          <w:rFonts w:ascii="Roboto" w:hAnsi="Roboto"/>
          <w:sz w:val="22"/>
          <w:szCs w:val="22"/>
          <w:lang w:val="es-PA"/>
        </w:rPr>
        <w:t>Reunión de la Red de Formación Ambiental del 9 al 12 de mayo de 2017 en Brasilia, Brasil, junto con el V Encuentro Formativo de Educación Ambiental en la Gestión del Agua del Brasil. Bajo la coordinación y financiación de Brasil, a través del Ministerio de Medio Ambiente (Dirección de Educación Ambiental) y la Autoridad Nacional del Agua.</w:t>
      </w:r>
    </w:p>
    <w:p w14:paraId="3B41F223" w14:textId="77777777" w:rsidR="005A58E4" w:rsidRPr="00D02132" w:rsidRDefault="005A58E4" w:rsidP="005A58E4">
      <w:pPr>
        <w:pStyle w:val="ListParagraph"/>
        <w:numPr>
          <w:ilvl w:val="0"/>
          <w:numId w:val="34"/>
        </w:numPr>
        <w:spacing w:line="276" w:lineRule="auto"/>
        <w:jc w:val="both"/>
        <w:rPr>
          <w:rFonts w:ascii="Roboto" w:hAnsi="Roboto"/>
          <w:sz w:val="22"/>
          <w:szCs w:val="22"/>
          <w:lang w:val="es-PA"/>
        </w:rPr>
      </w:pPr>
      <w:r w:rsidRPr="00D02132">
        <w:rPr>
          <w:rFonts w:ascii="Roboto" w:hAnsi="Roboto"/>
          <w:sz w:val="22"/>
          <w:szCs w:val="22"/>
          <w:lang w:val="es-PA"/>
        </w:rPr>
        <w:t>Reunión de Puntos focales de la Red de Formación Ambiental del 7 al 9 de agosto de 2018 en Montevideo, Uruguay. La reunión estuvo coordinada y financiada a través del Ministerio de Vivienda, Ordenamiento Territorial y Medio Ambiente de Uruguay.</w:t>
      </w:r>
    </w:p>
    <w:p w14:paraId="164F917B" w14:textId="058CDEE6" w:rsidR="005A58E4" w:rsidRPr="00D02132" w:rsidRDefault="005A58E4" w:rsidP="00816572">
      <w:pPr>
        <w:pStyle w:val="PlainText"/>
        <w:numPr>
          <w:ilvl w:val="0"/>
          <w:numId w:val="4"/>
        </w:numPr>
        <w:spacing w:after="120" w:line="276" w:lineRule="auto"/>
        <w:ind w:left="0" w:firstLine="0"/>
        <w:rPr>
          <w:b w:val="0"/>
          <w:bCs w:val="0"/>
        </w:rPr>
      </w:pPr>
      <w:r w:rsidRPr="00D02132">
        <w:rPr>
          <w:b w:val="0"/>
          <w:sz w:val="22"/>
          <w:szCs w:val="22"/>
        </w:rPr>
        <w:t xml:space="preserve">Como mecanismos adicionales de intercambio de información y experiencias, la Red cuenta con una página de Facebook </w:t>
      </w:r>
      <w:r w:rsidRPr="00D02132">
        <w:rPr>
          <w:rStyle w:val="FootnoteReference"/>
          <w:b w:val="0"/>
          <w:sz w:val="22"/>
          <w:szCs w:val="22"/>
        </w:rPr>
        <w:footnoteReference w:id="5"/>
      </w:r>
      <w:r w:rsidRPr="00D02132">
        <w:rPr>
          <w:b w:val="0"/>
          <w:sz w:val="22"/>
          <w:szCs w:val="22"/>
        </w:rPr>
        <w:t xml:space="preserve"> que se dinamiza regularmente, y un grupo de comunicación interna a través de la aplicación de teléfono celular Whatsapp.</w:t>
      </w:r>
    </w:p>
    <w:p w14:paraId="5F99875A" w14:textId="5EC00E30" w:rsidR="005D7035" w:rsidRPr="00D02132" w:rsidRDefault="005D7035" w:rsidP="00ED6203">
      <w:pPr>
        <w:pStyle w:val="ListParagraph"/>
        <w:numPr>
          <w:ilvl w:val="0"/>
          <w:numId w:val="37"/>
        </w:numPr>
        <w:spacing w:line="276" w:lineRule="auto"/>
        <w:rPr>
          <w:rFonts w:ascii="Roboto" w:hAnsi="Roboto"/>
          <w:b/>
          <w:sz w:val="22"/>
          <w:szCs w:val="22"/>
          <w:lang w:val="es-PA"/>
        </w:rPr>
      </w:pPr>
      <w:r w:rsidRPr="00D02132">
        <w:rPr>
          <w:rFonts w:ascii="Roboto" w:hAnsi="Roboto"/>
          <w:b/>
          <w:sz w:val="22"/>
          <w:szCs w:val="22"/>
          <w:lang w:val="es-PA"/>
        </w:rPr>
        <w:t>Financiación</w:t>
      </w:r>
    </w:p>
    <w:p w14:paraId="1FEA6522" w14:textId="77777777" w:rsidR="005D7035" w:rsidRPr="00D02132" w:rsidRDefault="005D7035" w:rsidP="00816572">
      <w:pPr>
        <w:spacing w:line="276" w:lineRule="auto"/>
        <w:rPr>
          <w:rFonts w:ascii="Roboto" w:hAnsi="Roboto"/>
          <w:sz w:val="22"/>
          <w:szCs w:val="22"/>
        </w:rPr>
      </w:pPr>
    </w:p>
    <w:p w14:paraId="401AD57E" w14:textId="24FB5F15" w:rsidR="005A58E4" w:rsidRPr="00D02132" w:rsidRDefault="005A58E4" w:rsidP="0094243E">
      <w:pPr>
        <w:pStyle w:val="ListParagraph"/>
        <w:numPr>
          <w:ilvl w:val="0"/>
          <w:numId w:val="4"/>
        </w:numPr>
        <w:spacing w:line="276" w:lineRule="auto"/>
        <w:ind w:left="0" w:firstLine="0"/>
        <w:jc w:val="both"/>
        <w:rPr>
          <w:rFonts w:ascii="Roboto" w:hAnsi="Roboto"/>
          <w:sz w:val="22"/>
          <w:szCs w:val="22"/>
          <w:lang w:val="es-PA"/>
        </w:rPr>
      </w:pPr>
      <w:r w:rsidRPr="00D02132">
        <w:rPr>
          <w:rFonts w:ascii="Roboto" w:hAnsi="Roboto"/>
          <w:sz w:val="22"/>
          <w:szCs w:val="22"/>
          <w:lang w:val="es-PA"/>
        </w:rPr>
        <w:t xml:space="preserve">Existen 19 países contribuyentes al fondo fiduciario de la Red, desde la constitución del </w:t>
      </w:r>
      <w:r w:rsidR="00A034EF" w:rsidRPr="00D02132">
        <w:rPr>
          <w:rFonts w:ascii="Roboto" w:hAnsi="Roboto"/>
          <w:sz w:val="22"/>
          <w:szCs w:val="22"/>
          <w:lang w:val="es-PA"/>
        </w:rPr>
        <w:t>mismo</w:t>
      </w:r>
      <w:r w:rsidRPr="00D02132">
        <w:rPr>
          <w:rFonts w:ascii="Roboto" w:hAnsi="Roboto"/>
          <w:sz w:val="22"/>
          <w:szCs w:val="22"/>
          <w:lang w:val="es-PA"/>
        </w:rPr>
        <w:t xml:space="preserve"> en 1989 se encuentran divididos en 3 grupos: </w:t>
      </w:r>
      <w:r w:rsidR="00ED6203" w:rsidRPr="00D02132">
        <w:rPr>
          <w:rFonts w:ascii="Roboto" w:hAnsi="Roboto"/>
          <w:sz w:val="22"/>
          <w:szCs w:val="22"/>
          <w:lang w:val="es-PA"/>
        </w:rPr>
        <w:t>g</w:t>
      </w:r>
      <w:r w:rsidRPr="00D02132">
        <w:rPr>
          <w:rFonts w:ascii="Roboto" w:hAnsi="Roboto"/>
          <w:sz w:val="22"/>
          <w:szCs w:val="22"/>
          <w:lang w:val="es-PA"/>
        </w:rPr>
        <w:t xml:space="preserve">rupo I conformado por los países que aportan US$20,000 cada uno, al año; grupo II conformado por los países que aportan US$10,000 cada uno, al año y; grupo III conformado por los países que aportan US$5,000 cada uno, al año.  </w:t>
      </w:r>
    </w:p>
    <w:p w14:paraId="39A8BCB7" w14:textId="3378392B" w:rsidR="005A58E4" w:rsidRPr="00D02132" w:rsidRDefault="005A58E4" w:rsidP="0094243E">
      <w:pPr>
        <w:pStyle w:val="ListParagraph"/>
        <w:numPr>
          <w:ilvl w:val="0"/>
          <w:numId w:val="4"/>
        </w:numPr>
        <w:spacing w:line="276" w:lineRule="auto"/>
        <w:ind w:left="0" w:firstLine="0"/>
        <w:jc w:val="both"/>
        <w:rPr>
          <w:rFonts w:ascii="Roboto" w:hAnsi="Roboto"/>
          <w:sz w:val="22"/>
          <w:szCs w:val="22"/>
          <w:lang w:val="es-PA"/>
        </w:rPr>
      </w:pPr>
      <w:r w:rsidRPr="00D02132">
        <w:rPr>
          <w:rFonts w:ascii="Roboto" w:hAnsi="Roboto"/>
          <w:sz w:val="22"/>
          <w:szCs w:val="22"/>
          <w:lang w:val="es-PA"/>
        </w:rPr>
        <w:t>Los gobiernos que han contribuido</w:t>
      </w:r>
      <w:r w:rsidR="00D0312D" w:rsidRPr="00D02132">
        <w:rPr>
          <w:rFonts w:ascii="Roboto" w:hAnsi="Roboto"/>
          <w:sz w:val="22"/>
          <w:szCs w:val="22"/>
          <w:lang w:val="es-PA"/>
        </w:rPr>
        <w:t xml:space="preserve"> al fondo</w:t>
      </w:r>
      <w:r w:rsidRPr="00D02132">
        <w:rPr>
          <w:rFonts w:ascii="Roboto" w:hAnsi="Roboto"/>
          <w:sz w:val="22"/>
          <w:szCs w:val="22"/>
          <w:lang w:val="es-PA"/>
        </w:rPr>
        <w:t xml:space="preserve"> durante el 2016 incluyen a Chile, Colombia, Guatemala, México, Panamá, Perú y República Dominicana. Asimismo</w:t>
      </w:r>
      <w:r w:rsidR="0094243E">
        <w:rPr>
          <w:rFonts w:ascii="Roboto" w:hAnsi="Roboto"/>
          <w:sz w:val="22"/>
          <w:szCs w:val="22"/>
          <w:lang w:val="es-PA"/>
        </w:rPr>
        <w:t>,</w:t>
      </w:r>
      <w:r w:rsidRPr="00D02132">
        <w:rPr>
          <w:rFonts w:ascii="Roboto" w:hAnsi="Roboto"/>
          <w:sz w:val="22"/>
          <w:szCs w:val="22"/>
          <w:lang w:val="es-PA"/>
        </w:rPr>
        <w:t xml:space="preserve"> es importante reconocer las contribuciones generadas el 2017 por Chile, Colombia, Costa Rica, Guatemala, Panamá, Perú y República Dominicana. Se invita a todos los países de América Latina y el Caribe a efectuar la contribución anual al fondo fiduciario de la Red de Formación Ambiental para América Latina y el Caribe, con el fin de fortalecer el desarrollo de la educación ambiental en la región.</w:t>
      </w:r>
    </w:p>
    <w:p w14:paraId="7535F7C5" w14:textId="326F3707" w:rsidR="00ED6203" w:rsidRPr="00D02132" w:rsidRDefault="00ED6203" w:rsidP="00ED6203">
      <w:pPr>
        <w:pStyle w:val="ListParagraph"/>
        <w:spacing w:line="276" w:lineRule="auto"/>
        <w:ind w:left="360"/>
        <w:jc w:val="both"/>
        <w:rPr>
          <w:rFonts w:ascii="Roboto" w:hAnsi="Roboto"/>
          <w:sz w:val="22"/>
          <w:szCs w:val="22"/>
          <w:lang w:val="es-PA"/>
        </w:rPr>
      </w:pPr>
    </w:p>
    <w:p w14:paraId="3E3BF2A2" w14:textId="3B09FE16" w:rsidR="00ED6203" w:rsidRPr="00D02132" w:rsidRDefault="00ED6203" w:rsidP="00ED6203">
      <w:pPr>
        <w:pStyle w:val="ListParagraph"/>
        <w:spacing w:line="276" w:lineRule="auto"/>
        <w:ind w:left="0"/>
        <w:jc w:val="both"/>
        <w:rPr>
          <w:rFonts w:ascii="Roboto" w:hAnsi="Roboto"/>
          <w:sz w:val="22"/>
          <w:szCs w:val="22"/>
          <w:lang w:val="es-PA"/>
        </w:rPr>
      </w:pPr>
      <w:r w:rsidRPr="00D02132">
        <w:rPr>
          <w:rFonts w:ascii="Roboto" w:hAnsi="Roboto"/>
          <w:noProof/>
          <w:sz w:val="22"/>
          <w:szCs w:val="22"/>
        </w:rPr>
        <w:lastRenderedPageBreak/>
        <w:drawing>
          <wp:inline distT="0" distB="0" distL="0" distR="0" wp14:anchorId="28F664C4" wp14:editId="1D2E8ACD">
            <wp:extent cx="5629275" cy="2924175"/>
            <wp:effectExtent l="0" t="0" r="9525" b="9525"/>
            <wp:docPr id="3"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CD816FB" w14:textId="77777777" w:rsidR="00ED6203" w:rsidRPr="00D02132" w:rsidRDefault="00ED6203" w:rsidP="00E10BB1">
      <w:pPr>
        <w:pStyle w:val="ListParagraph"/>
        <w:spacing w:line="276" w:lineRule="auto"/>
        <w:ind w:left="0"/>
        <w:jc w:val="both"/>
        <w:outlineLvl w:val="0"/>
        <w:rPr>
          <w:rFonts w:ascii="Roboto" w:hAnsi="Roboto"/>
          <w:sz w:val="22"/>
          <w:szCs w:val="22"/>
          <w:lang w:val="es-PA"/>
        </w:rPr>
      </w:pPr>
      <w:r w:rsidRPr="00D02132">
        <w:rPr>
          <w:rFonts w:ascii="Roboto" w:hAnsi="Roboto"/>
          <w:sz w:val="22"/>
          <w:szCs w:val="22"/>
          <w:lang w:val="es-PA"/>
        </w:rPr>
        <w:t xml:space="preserve">El monto disponible en el fondo fiduciario al 16 de agosto de 2018 es: USD 18,404.40. </w:t>
      </w:r>
    </w:p>
    <w:p w14:paraId="6F9EE81F" w14:textId="77777777" w:rsidR="00ED6203" w:rsidRPr="00D02132" w:rsidRDefault="00ED6203" w:rsidP="00ED6203">
      <w:pPr>
        <w:pStyle w:val="ListParagraph"/>
        <w:spacing w:line="276" w:lineRule="auto"/>
        <w:ind w:left="360"/>
        <w:jc w:val="both"/>
        <w:rPr>
          <w:rFonts w:ascii="Roboto" w:hAnsi="Roboto"/>
          <w:sz w:val="22"/>
          <w:szCs w:val="22"/>
          <w:lang w:val="es-PA"/>
        </w:rPr>
      </w:pPr>
    </w:p>
    <w:p w14:paraId="469CF24C" w14:textId="095CA1FB" w:rsidR="005A58E4" w:rsidRPr="00D02132" w:rsidRDefault="005A58E4" w:rsidP="0094243E">
      <w:pPr>
        <w:pStyle w:val="ListParagraph"/>
        <w:numPr>
          <w:ilvl w:val="0"/>
          <w:numId w:val="4"/>
        </w:numPr>
        <w:spacing w:after="120" w:line="276" w:lineRule="auto"/>
        <w:ind w:left="0" w:firstLine="0"/>
        <w:jc w:val="both"/>
        <w:rPr>
          <w:rFonts w:ascii="Roboto" w:hAnsi="Roboto"/>
          <w:sz w:val="22"/>
          <w:szCs w:val="22"/>
          <w:lang w:val="es-PA"/>
        </w:rPr>
      </w:pPr>
      <w:r w:rsidRPr="00DA6325">
        <w:rPr>
          <w:rFonts w:ascii="Roboto" w:hAnsi="Roboto"/>
          <w:sz w:val="22"/>
          <w:szCs w:val="22"/>
          <w:lang w:val="es-PA"/>
        </w:rPr>
        <w:t xml:space="preserve">La reunión de puntos focales de la Red de Formación Ambiental tuvo lugar en Montevideo, Uruguay del 7 al 9 de agosto </w:t>
      </w:r>
      <w:r w:rsidRPr="00DA6325">
        <w:rPr>
          <w:rFonts w:ascii="Roboto" w:hAnsi="Roboto"/>
          <w:sz w:val="22"/>
          <w:lang w:val="es-PA"/>
        </w:rPr>
        <w:t>del presente año</w:t>
      </w:r>
      <w:r w:rsidRPr="00D02132">
        <w:rPr>
          <w:rFonts w:ascii="Roboto" w:hAnsi="Roboto"/>
          <w:b/>
          <w:sz w:val="22"/>
          <w:szCs w:val="22"/>
          <w:lang w:val="es-PA"/>
        </w:rPr>
        <w:t xml:space="preserve">. </w:t>
      </w:r>
      <w:r w:rsidRPr="00D02132">
        <w:rPr>
          <w:rFonts w:ascii="Roboto" w:hAnsi="Roboto"/>
          <w:sz w:val="22"/>
          <w:szCs w:val="22"/>
          <w:lang w:val="es-PA"/>
        </w:rPr>
        <w:t xml:space="preserve">Se contó con participación de ONU Medio Ambiente y catorce directores y directoras de ministerios de medio ambiente de la región. Durante la reunión se establecieron cuatro equipos de trabajo. De estos partirán el seguimiento de las futuras actividades de la Red para garantizar el fortalecimiento de ministerios de medio ambiente en materia de educación. </w:t>
      </w:r>
    </w:p>
    <w:p w14:paraId="677CD3DD" w14:textId="34E7CBAC" w:rsidR="005A58E4" w:rsidRPr="00D02132" w:rsidRDefault="005A58E4" w:rsidP="009A6AF2">
      <w:pPr>
        <w:pStyle w:val="ListParagraph"/>
        <w:numPr>
          <w:ilvl w:val="0"/>
          <w:numId w:val="4"/>
        </w:numPr>
        <w:spacing w:line="276" w:lineRule="auto"/>
        <w:ind w:left="0" w:firstLine="0"/>
        <w:jc w:val="both"/>
        <w:rPr>
          <w:rFonts w:ascii="Roboto" w:hAnsi="Roboto"/>
          <w:sz w:val="22"/>
          <w:lang w:val="es-PA"/>
        </w:rPr>
      </w:pPr>
      <w:r w:rsidRPr="00D02132">
        <w:rPr>
          <w:rFonts w:ascii="Roboto" w:hAnsi="Roboto"/>
          <w:sz w:val="22"/>
          <w:szCs w:val="22"/>
          <w:lang w:val="es-PA"/>
        </w:rPr>
        <w:t xml:space="preserve">Asimismo, un producto de la reunión fue la elaboración de </w:t>
      </w:r>
      <w:r w:rsidR="003034EA" w:rsidRPr="00D02132">
        <w:rPr>
          <w:rFonts w:ascii="Roboto" w:hAnsi="Roboto"/>
          <w:sz w:val="22"/>
          <w:szCs w:val="22"/>
          <w:lang w:val="es-PA"/>
        </w:rPr>
        <w:t>recomendaciones</w:t>
      </w:r>
      <w:r w:rsidRPr="00D02132">
        <w:rPr>
          <w:rFonts w:ascii="Roboto" w:hAnsi="Roboto"/>
          <w:sz w:val="22"/>
          <w:szCs w:val="22"/>
          <w:lang w:val="es-PA"/>
        </w:rPr>
        <w:t xml:space="preserve"> de acción</w:t>
      </w:r>
      <w:r w:rsidR="005026FF">
        <w:rPr>
          <w:rStyle w:val="FootnoteReference"/>
          <w:rFonts w:ascii="Roboto" w:hAnsi="Roboto"/>
          <w:sz w:val="22"/>
          <w:szCs w:val="22"/>
          <w:lang w:val="es-PA"/>
        </w:rPr>
        <w:footnoteReference w:id="6"/>
      </w:r>
      <w:r w:rsidRPr="00D02132">
        <w:rPr>
          <w:rFonts w:ascii="Roboto" w:hAnsi="Roboto"/>
          <w:sz w:val="22"/>
          <w:szCs w:val="22"/>
          <w:lang w:val="es-PA"/>
        </w:rPr>
        <w:t>.</w:t>
      </w:r>
      <w:r w:rsidRPr="00D02132">
        <w:rPr>
          <w:rFonts w:ascii="Roboto" w:hAnsi="Roboto"/>
          <w:sz w:val="22"/>
          <w:lang w:val="es-PA"/>
        </w:rPr>
        <w:t xml:space="preserve"> Una de las recomendaciones es que las alianzas intersectoriales e interinstitucionales adquieran un respaldo y mayor acompañamiento de distintos ámbitos de la vida social, económica y cultural, para garantizar una mejor repercusión de la formación en los procesos de desarrollo y sostenibilidad ambiental. </w:t>
      </w:r>
    </w:p>
    <w:p w14:paraId="07B75022" w14:textId="77777777" w:rsidR="005D7035" w:rsidRPr="00D02132" w:rsidRDefault="005D7035" w:rsidP="00816572">
      <w:pPr>
        <w:spacing w:line="276" w:lineRule="auto"/>
        <w:rPr>
          <w:rFonts w:ascii="Roboto" w:hAnsi="Roboto"/>
          <w:sz w:val="22"/>
          <w:szCs w:val="22"/>
        </w:rPr>
      </w:pPr>
    </w:p>
    <w:p w14:paraId="1E89D23E" w14:textId="77777777" w:rsidR="00083276" w:rsidRPr="0094243E" w:rsidRDefault="00083276" w:rsidP="00E10BB1">
      <w:pPr>
        <w:spacing w:line="276" w:lineRule="auto"/>
        <w:outlineLvl w:val="0"/>
        <w:rPr>
          <w:rFonts w:ascii="Roboto" w:hAnsi="Roboto"/>
          <w:b/>
          <w:color w:val="548DD4" w:themeColor="text2" w:themeTint="99"/>
          <w:sz w:val="22"/>
          <w:szCs w:val="22"/>
        </w:rPr>
      </w:pPr>
      <w:r w:rsidRPr="0094243E">
        <w:rPr>
          <w:rFonts w:ascii="Roboto" w:hAnsi="Roboto"/>
          <w:b/>
          <w:color w:val="548DD4" w:themeColor="text2" w:themeTint="99"/>
          <w:sz w:val="22"/>
          <w:szCs w:val="22"/>
        </w:rPr>
        <w:t>Actividades a futuro</w:t>
      </w:r>
    </w:p>
    <w:p w14:paraId="2853449F" w14:textId="77777777" w:rsidR="005D7035" w:rsidRPr="00D02132" w:rsidRDefault="005D7035" w:rsidP="00816572">
      <w:pPr>
        <w:spacing w:line="276" w:lineRule="auto"/>
        <w:rPr>
          <w:rFonts w:ascii="Roboto" w:hAnsi="Roboto"/>
          <w:b/>
          <w:color w:val="00B0F0"/>
          <w:sz w:val="22"/>
          <w:szCs w:val="22"/>
        </w:rPr>
      </w:pPr>
    </w:p>
    <w:p w14:paraId="1D7C4385" w14:textId="7E7D2AE9" w:rsidR="005D7035" w:rsidRPr="00D02132" w:rsidRDefault="005D7035" w:rsidP="00816572">
      <w:pPr>
        <w:pStyle w:val="ListParagraph"/>
        <w:numPr>
          <w:ilvl w:val="0"/>
          <w:numId w:val="4"/>
        </w:numPr>
        <w:spacing w:line="276" w:lineRule="auto"/>
        <w:ind w:left="0" w:firstLine="0"/>
        <w:rPr>
          <w:rFonts w:ascii="Roboto" w:hAnsi="Roboto" w:cs="Arial"/>
          <w:color w:val="000000"/>
          <w:sz w:val="22"/>
          <w:szCs w:val="22"/>
          <w:lang w:val="es-PA"/>
        </w:rPr>
      </w:pPr>
      <w:r w:rsidRPr="00D02132">
        <w:rPr>
          <w:rFonts w:ascii="Roboto" w:hAnsi="Roboto" w:cs="Arial"/>
          <w:color w:val="000000"/>
          <w:sz w:val="22"/>
          <w:szCs w:val="22"/>
          <w:lang w:val="es-PA"/>
        </w:rPr>
        <w:t>En seguimiento al Plan de Trabajo de la Red de Formación Ambiental 2016-2017, las actividades que se esperan realizar en los próximos meses incluyen, entre otras, las siguientes:</w:t>
      </w:r>
    </w:p>
    <w:p w14:paraId="4337068B" w14:textId="77777777" w:rsidR="005D7035" w:rsidRPr="00D02132" w:rsidRDefault="005D7035" w:rsidP="00816572">
      <w:pPr>
        <w:spacing w:line="276" w:lineRule="auto"/>
        <w:rPr>
          <w:rFonts w:ascii="Roboto" w:hAnsi="Roboto"/>
          <w:b/>
          <w:sz w:val="22"/>
          <w:szCs w:val="22"/>
        </w:rPr>
      </w:pPr>
    </w:p>
    <w:p w14:paraId="1152571E" w14:textId="0748936B" w:rsidR="00352995" w:rsidRPr="00D02132" w:rsidRDefault="00352995" w:rsidP="00AA0405">
      <w:pPr>
        <w:pStyle w:val="ListParagraph"/>
        <w:numPr>
          <w:ilvl w:val="0"/>
          <w:numId w:val="7"/>
        </w:numPr>
        <w:spacing w:line="276" w:lineRule="auto"/>
        <w:jc w:val="both"/>
        <w:rPr>
          <w:rFonts w:ascii="Roboto" w:hAnsi="Roboto"/>
          <w:sz w:val="22"/>
          <w:szCs w:val="22"/>
          <w:lang w:val="es-PA"/>
        </w:rPr>
      </w:pPr>
      <w:r w:rsidRPr="00D02132">
        <w:rPr>
          <w:rFonts w:ascii="Roboto" w:hAnsi="Roboto"/>
          <w:b/>
          <w:sz w:val="22"/>
          <w:szCs w:val="22"/>
          <w:lang w:val="es-PA"/>
        </w:rPr>
        <w:t>Capacitación e investigación:</w:t>
      </w:r>
      <w:r w:rsidRPr="00D02132">
        <w:rPr>
          <w:rFonts w:ascii="Roboto" w:hAnsi="Roboto"/>
          <w:sz w:val="22"/>
          <w:szCs w:val="22"/>
          <w:lang w:val="es-PA"/>
        </w:rPr>
        <w:t xml:space="preserve"> Se estableció una alianza con la Comunidad de práctica PNACC</w:t>
      </w:r>
      <w:r w:rsidR="00E2659B" w:rsidRPr="00D02132">
        <w:rPr>
          <w:rStyle w:val="FootnoteReference"/>
          <w:rFonts w:ascii="Roboto" w:hAnsi="Roboto"/>
          <w:sz w:val="22"/>
          <w:szCs w:val="22"/>
          <w:lang w:val="es-PA"/>
        </w:rPr>
        <w:footnoteReference w:id="7"/>
      </w:r>
      <w:r w:rsidRPr="00D02132">
        <w:rPr>
          <w:rFonts w:ascii="Roboto" w:hAnsi="Roboto"/>
          <w:sz w:val="22"/>
          <w:szCs w:val="22"/>
          <w:lang w:val="es-PA"/>
        </w:rPr>
        <w:t xml:space="preserve"> que se implementa a través del proyecto regional REGATTA</w:t>
      </w:r>
      <w:r w:rsidR="00E2659B" w:rsidRPr="00D02132">
        <w:rPr>
          <w:rStyle w:val="FootnoteReference"/>
          <w:rFonts w:ascii="Roboto" w:hAnsi="Roboto"/>
          <w:sz w:val="22"/>
          <w:szCs w:val="22"/>
          <w:lang w:val="es-PA"/>
        </w:rPr>
        <w:footnoteReference w:id="8"/>
      </w:r>
      <w:r w:rsidRPr="00D02132">
        <w:rPr>
          <w:rFonts w:ascii="Roboto" w:hAnsi="Roboto"/>
          <w:sz w:val="22"/>
          <w:szCs w:val="22"/>
          <w:lang w:val="es-PA"/>
        </w:rPr>
        <w:t xml:space="preserve">. Esta comunidad tiene como objetivo fortalecer las capacidades de los países en la formulación e implementación de los Planes Nacionales de Adaptación al </w:t>
      </w:r>
      <w:r w:rsidRPr="00D02132">
        <w:rPr>
          <w:rFonts w:ascii="Roboto" w:hAnsi="Roboto"/>
          <w:sz w:val="22"/>
          <w:szCs w:val="22"/>
          <w:lang w:val="es-PA"/>
        </w:rPr>
        <w:lastRenderedPageBreak/>
        <w:t xml:space="preserve">Cambio Climático por medio de seminarios virtuales enfocados en temáticas actuales y relevantes a los procesos de adaptación en la región. </w:t>
      </w:r>
    </w:p>
    <w:p w14:paraId="1EE4C822" w14:textId="77777777" w:rsidR="00352995" w:rsidRPr="00D02132" w:rsidRDefault="00352995" w:rsidP="00352995">
      <w:pPr>
        <w:pStyle w:val="ListParagraph"/>
        <w:spacing w:line="276" w:lineRule="auto"/>
        <w:ind w:left="1080"/>
        <w:jc w:val="both"/>
        <w:rPr>
          <w:rFonts w:ascii="Roboto" w:hAnsi="Roboto"/>
          <w:sz w:val="22"/>
          <w:szCs w:val="22"/>
          <w:lang w:val="es-PA"/>
        </w:rPr>
      </w:pPr>
      <w:r w:rsidRPr="00D02132">
        <w:rPr>
          <w:rFonts w:ascii="Roboto" w:hAnsi="Roboto"/>
          <w:sz w:val="22"/>
          <w:szCs w:val="22"/>
          <w:lang w:val="es-PA"/>
        </w:rPr>
        <w:t>Se han definido los siguientes webinars de formación a ser implementados hasta el 27 de septiembre:</w:t>
      </w:r>
    </w:p>
    <w:p w14:paraId="49DE7699" w14:textId="77777777" w:rsidR="00352995" w:rsidRPr="00D02132" w:rsidRDefault="00352995" w:rsidP="00352995">
      <w:pPr>
        <w:pStyle w:val="ListParagraph"/>
        <w:numPr>
          <w:ilvl w:val="0"/>
          <w:numId w:val="36"/>
        </w:numPr>
        <w:spacing w:line="276" w:lineRule="auto"/>
        <w:jc w:val="both"/>
        <w:rPr>
          <w:rFonts w:ascii="Roboto" w:hAnsi="Roboto"/>
          <w:b/>
          <w:sz w:val="22"/>
          <w:szCs w:val="22"/>
          <w:lang w:val="es-PA"/>
        </w:rPr>
      </w:pPr>
      <w:r w:rsidRPr="00D02132">
        <w:rPr>
          <w:rFonts w:ascii="Roboto" w:hAnsi="Roboto"/>
          <w:b/>
          <w:sz w:val="22"/>
          <w:szCs w:val="22"/>
          <w:lang w:val="es-PA"/>
        </w:rPr>
        <w:t>Educación, cambio climático y derecho al desarrollo sostenible</w:t>
      </w:r>
    </w:p>
    <w:p w14:paraId="7678B8E6" w14:textId="77777777" w:rsidR="00352995" w:rsidRPr="00D02132" w:rsidRDefault="00352995" w:rsidP="00352995">
      <w:pPr>
        <w:pStyle w:val="ListParagraph"/>
        <w:numPr>
          <w:ilvl w:val="1"/>
          <w:numId w:val="36"/>
        </w:numPr>
        <w:spacing w:line="276" w:lineRule="auto"/>
        <w:jc w:val="both"/>
        <w:rPr>
          <w:rFonts w:ascii="Roboto" w:hAnsi="Roboto"/>
          <w:sz w:val="22"/>
          <w:szCs w:val="22"/>
          <w:lang w:val="es-PA"/>
        </w:rPr>
      </w:pPr>
      <w:r w:rsidRPr="00D02132">
        <w:rPr>
          <w:rFonts w:ascii="Roboto" w:hAnsi="Roboto"/>
          <w:sz w:val="22"/>
          <w:szCs w:val="22"/>
          <w:lang w:val="es-PA"/>
        </w:rPr>
        <w:t>Fecha: semana del 23 de agosto.</w:t>
      </w:r>
    </w:p>
    <w:p w14:paraId="105A5049" w14:textId="77777777" w:rsidR="00352995" w:rsidRPr="00D02132" w:rsidRDefault="00352995" w:rsidP="00352995">
      <w:pPr>
        <w:pStyle w:val="ListParagraph"/>
        <w:numPr>
          <w:ilvl w:val="0"/>
          <w:numId w:val="36"/>
        </w:numPr>
        <w:spacing w:line="276" w:lineRule="auto"/>
        <w:jc w:val="both"/>
        <w:rPr>
          <w:rFonts w:ascii="Roboto" w:hAnsi="Roboto"/>
          <w:b/>
          <w:sz w:val="22"/>
          <w:szCs w:val="22"/>
          <w:lang w:val="es-PA"/>
        </w:rPr>
      </w:pPr>
      <w:r w:rsidRPr="00D02132">
        <w:rPr>
          <w:rFonts w:ascii="Roboto" w:hAnsi="Roboto"/>
          <w:b/>
          <w:sz w:val="22"/>
          <w:szCs w:val="22"/>
          <w:lang w:val="es-PA"/>
        </w:rPr>
        <w:t xml:space="preserve">Adaptación al cambio climático, estilos de vida sostenible y papel de la educación no formal. </w:t>
      </w:r>
    </w:p>
    <w:p w14:paraId="73C6B664" w14:textId="77777777" w:rsidR="00352995" w:rsidRPr="00D02132" w:rsidRDefault="00352995" w:rsidP="00352995">
      <w:pPr>
        <w:pStyle w:val="ListParagraph"/>
        <w:numPr>
          <w:ilvl w:val="1"/>
          <w:numId w:val="36"/>
        </w:numPr>
        <w:spacing w:line="276" w:lineRule="auto"/>
        <w:jc w:val="both"/>
        <w:rPr>
          <w:rFonts w:ascii="Roboto" w:hAnsi="Roboto"/>
          <w:sz w:val="22"/>
          <w:szCs w:val="22"/>
          <w:lang w:val="es-PA"/>
        </w:rPr>
      </w:pPr>
      <w:r w:rsidRPr="00D02132">
        <w:rPr>
          <w:rFonts w:ascii="Roboto" w:hAnsi="Roboto"/>
          <w:sz w:val="22"/>
          <w:szCs w:val="22"/>
          <w:lang w:val="es-PA"/>
        </w:rPr>
        <w:t>Fecha: semana del 13 de septiembre.</w:t>
      </w:r>
    </w:p>
    <w:p w14:paraId="29500B2C" w14:textId="77777777" w:rsidR="00352995" w:rsidRPr="00D02132" w:rsidRDefault="00352995" w:rsidP="00352995">
      <w:pPr>
        <w:pStyle w:val="ListParagraph"/>
        <w:numPr>
          <w:ilvl w:val="0"/>
          <w:numId w:val="36"/>
        </w:numPr>
        <w:spacing w:line="276" w:lineRule="auto"/>
        <w:jc w:val="both"/>
        <w:rPr>
          <w:rFonts w:ascii="Roboto" w:hAnsi="Roboto"/>
          <w:b/>
          <w:sz w:val="22"/>
          <w:szCs w:val="22"/>
          <w:lang w:val="es-PA"/>
        </w:rPr>
      </w:pPr>
      <w:r w:rsidRPr="00D02132">
        <w:rPr>
          <w:rFonts w:ascii="Roboto" w:hAnsi="Roboto"/>
          <w:b/>
          <w:sz w:val="22"/>
          <w:szCs w:val="22"/>
          <w:lang w:val="es-PA"/>
        </w:rPr>
        <w:t>Adaptación al cambio climático y soluciones para el riesgo de desastres por medio de la educación.</w:t>
      </w:r>
    </w:p>
    <w:p w14:paraId="7EC95FBC" w14:textId="77777777" w:rsidR="00352995" w:rsidRPr="00D02132" w:rsidRDefault="00352995" w:rsidP="00352995">
      <w:pPr>
        <w:pStyle w:val="ListParagraph"/>
        <w:spacing w:line="276" w:lineRule="auto"/>
        <w:jc w:val="both"/>
        <w:rPr>
          <w:rFonts w:ascii="Roboto" w:hAnsi="Roboto"/>
          <w:sz w:val="22"/>
          <w:szCs w:val="22"/>
          <w:lang w:val="es-PA"/>
        </w:rPr>
      </w:pPr>
      <w:r w:rsidRPr="00D02132">
        <w:rPr>
          <w:rFonts w:ascii="Roboto" w:hAnsi="Roboto"/>
          <w:sz w:val="22"/>
          <w:szCs w:val="22"/>
          <w:lang w:val="es-PA"/>
        </w:rPr>
        <w:t>Fecha: semana del 27 de septiembre.</w:t>
      </w:r>
    </w:p>
    <w:p w14:paraId="0E6ABDD0" w14:textId="77777777" w:rsidR="00352995" w:rsidRPr="00D02132" w:rsidRDefault="00352995" w:rsidP="00352995">
      <w:pPr>
        <w:pStyle w:val="ListParagraph"/>
        <w:numPr>
          <w:ilvl w:val="0"/>
          <w:numId w:val="7"/>
        </w:numPr>
        <w:spacing w:line="276" w:lineRule="auto"/>
        <w:rPr>
          <w:rFonts w:ascii="Roboto" w:hAnsi="Roboto"/>
          <w:b/>
          <w:color w:val="00B0F0"/>
          <w:sz w:val="22"/>
          <w:szCs w:val="22"/>
          <w:lang w:val="es-PA"/>
        </w:rPr>
      </w:pPr>
      <w:r w:rsidRPr="00D02132">
        <w:rPr>
          <w:rFonts w:ascii="Roboto" w:hAnsi="Roboto"/>
          <w:b/>
          <w:sz w:val="22"/>
          <w:szCs w:val="22"/>
          <w:lang w:val="es-PA"/>
        </w:rPr>
        <w:t>Articulación con las universidades</w:t>
      </w:r>
      <w:r w:rsidRPr="00D02132">
        <w:rPr>
          <w:rFonts w:ascii="Roboto" w:hAnsi="Roboto"/>
          <w:b/>
          <w:color w:val="00B0F0"/>
          <w:sz w:val="22"/>
          <w:szCs w:val="22"/>
          <w:lang w:val="es-PA"/>
        </w:rPr>
        <w:t>:</w:t>
      </w:r>
      <w:r w:rsidRPr="00D02132">
        <w:rPr>
          <w:rFonts w:ascii="Roboto" w:hAnsi="Roboto"/>
          <w:color w:val="00B0F0"/>
          <w:sz w:val="22"/>
          <w:szCs w:val="22"/>
          <w:lang w:val="es-PA"/>
        </w:rPr>
        <w:t xml:space="preserve"> </w:t>
      </w:r>
      <w:r w:rsidRPr="00D02132">
        <w:rPr>
          <w:rFonts w:ascii="Roboto" w:hAnsi="Roboto"/>
          <w:sz w:val="22"/>
          <w:szCs w:val="22"/>
          <w:lang w:val="es-PA"/>
        </w:rPr>
        <w:t xml:space="preserve">Se continuará con la implementación del acuerdo de financiación en pequeña escala suscrito entre ONU Medio Ambiente y la Universidad de Ciencias Aplicadas y Ambientales (U.D.C.A.) en el marco de las esferas de colaboración junto con ARIUSA. </w:t>
      </w:r>
    </w:p>
    <w:p w14:paraId="30009A9F" w14:textId="77777777" w:rsidR="00352995" w:rsidRPr="00D02132" w:rsidRDefault="00352995" w:rsidP="00352995">
      <w:pPr>
        <w:pStyle w:val="ListParagraph"/>
        <w:numPr>
          <w:ilvl w:val="0"/>
          <w:numId w:val="7"/>
        </w:numPr>
        <w:spacing w:line="276" w:lineRule="auto"/>
        <w:jc w:val="both"/>
        <w:rPr>
          <w:rFonts w:ascii="Roboto" w:hAnsi="Roboto"/>
          <w:sz w:val="22"/>
          <w:szCs w:val="22"/>
          <w:lang w:val="es-PA"/>
        </w:rPr>
      </w:pPr>
      <w:r w:rsidRPr="00D02132">
        <w:rPr>
          <w:rFonts w:ascii="Roboto" w:hAnsi="Roboto"/>
          <w:b/>
          <w:sz w:val="22"/>
          <w:szCs w:val="22"/>
          <w:lang w:val="es-PA"/>
        </w:rPr>
        <w:t>Articulación con otras iniciativas y sectores no tradicionales (sector privado, secretarías de los acuerdos multilaterales ambientales);</w:t>
      </w:r>
      <w:r w:rsidRPr="00D02132">
        <w:rPr>
          <w:rFonts w:ascii="Roboto" w:hAnsi="Roboto"/>
          <w:sz w:val="22"/>
          <w:szCs w:val="22"/>
          <w:lang w:val="es-PA"/>
        </w:rPr>
        <w:t xml:space="preserve"> Los acercamientos al Banco Interamericano de Desarrollo (BID) y Corporación Andina de Fomento (CAF) durante febrero y marzo del 2017 a la cual se le dará seguimiento.</w:t>
      </w:r>
    </w:p>
    <w:p w14:paraId="42A2977F" w14:textId="77777777" w:rsidR="00827493" w:rsidRPr="00D02132" w:rsidRDefault="00827493" w:rsidP="00816572">
      <w:pPr>
        <w:spacing w:line="276" w:lineRule="auto"/>
        <w:rPr>
          <w:rFonts w:ascii="Roboto" w:hAnsi="Roboto"/>
          <w:sz w:val="22"/>
          <w:szCs w:val="22"/>
        </w:rPr>
      </w:pPr>
    </w:p>
    <w:p w14:paraId="729AC7EA" w14:textId="77777777" w:rsidR="00DA061D" w:rsidRPr="00D02132" w:rsidRDefault="00DA061D" w:rsidP="00816572">
      <w:pPr>
        <w:spacing w:line="276" w:lineRule="auto"/>
        <w:jc w:val="center"/>
        <w:rPr>
          <w:rFonts w:ascii="Roboto" w:eastAsia="Times New Roman" w:hAnsi="Roboto" w:cs="Tahoma"/>
          <w:b/>
          <w:bCs/>
          <w:sz w:val="32"/>
          <w:szCs w:val="32"/>
        </w:rPr>
      </w:pPr>
    </w:p>
    <w:p w14:paraId="36F4419D" w14:textId="17C630F6" w:rsidR="003461EE" w:rsidRPr="00D02132" w:rsidRDefault="00EE69D0" w:rsidP="00816572">
      <w:pPr>
        <w:spacing w:line="276" w:lineRule="auto"/>
        <w:jc w:val="center"/>
        <w:rPr>
          <w:rFonts w:ascii="Roboto" w:eastAsia="Times New Roman" w:hAnsi="Roboto" w:cs="Tahoma"/>
          <w:b/>
          <w:bCs/>
          <w:sz w:val="32"/>
          <w:szCs w:val="32"/>
        </w:rPr>
      </w:pPr>
      <w:r w:rsidRPr="00D02132">
        <w:rPr>
          <w:rFonts w:ascii="Roboto" w:eastAsia="Times New Roman" w:hAnsi="Roboto" w:cs="Tahoma"/>
          <w:b/>
          <w:bCs/>
          <w:sz w:val="32"/>
          <w:szCs w:val="32"/>
        </w:rPr>
        <w:t>Decisión</w:t>
      </w:r>
      <w:r w:rsidR="00AB1AB5" w:rsidRPr="00D02132">
        <w:rPr>
          <w:rFonts w:ascii="Roboto" w:eastAsia="Times New Roman" w:hAnsi="Roboto" w:cs="Tahoma"/>
          <w:b/>
          <w:bCs/>
          <w:sz w:val="32"/>
          <w:szCs w:val="32"/>
        </w:rPr>
        <w:t xml:space="preserve"> 4</w:t>
      </w:r>
      <w:r w:rsidR="003461EE" w:rsidRPr="00D02132">
        <w:rPr>
          <w:rFonts w:ascii="Roboto" w:eastAsia="Times New Roman" w:hAnsi="Roboto" w:cs="Tahoma"/>
          <w:b/>
          <w:bCs/>
          <w:sz w:val="32"/>
          <w:szCs w:val="32"/>
        </w:rPr>
        <w:t xml:space="preserve"> </w:t>
      </w:r>
      <w:r w:rsidRPr="00D02132">
        <w:rPr>
          <w:rFonts w:ascii="Roboto" w:eastAsia="Times New Roman" w:hAnsi="Roboto" w:cs="Tahoma"/>
          <w:b/>
          <w:bCs/>
          <w:sz w:val="32"/>
          <w:szCs w:val="32"/>
        </w:rPr>
        <w:t>–</w:t>
      </w:r>
      <w:r w:rsidR="003461EE" w:rsidRPr="00D02132">
        <w:rPr>
          <w:rFonts w:ascii="Roboto" w:eastAsia="Times New Roman" w:hAnsi="Roboto" w:cs="Tahoma"/>
          <w:b/>
          <w:bCs/>
          <w:sz w:val="32"/>
          <w:szCs w:val="32"/>
        </w:rPr>
        <w:t xml:space="preserve"> </w:t>
      </w:r>
      <w:r w:rsidRPr="00D02132">
        <w:rPr>
          <w:rFonts w:ascii="Roboto" w:eastAsia="Times New Roman" w:hAnsi="Roboto" w:cs="Tahoma"/>
          <w:b/>
          <w:bCs/>
          <w:sz w:val="32"/>
          <w:szCs w:val="32"/>
        </w:rPr>
        <w:t>Dimensión Ambiental de la Agenda 2030 para el Desarrollo Sostenible</w:t>
      </w:r>
      <w:r w:rsidR="00767098" w:rsidRPr="00D02132">
        <w:rPr>
          <w:rFonts w:ascii="Roboto" w:eastAsia="Times New Roman" w:hAnsi="Roboto" w:cs="Tahoma"/>
          <w:b/>
          <w:bCs/>
          <w:sz w:val="32"/>
          <w:szCs w:val="32"/>
        </w:rPr>
        <w:t xml:space="preserve"> </w:t>
      </w:r>
    </w:p>
    <w:p w14:paraId="5385E333" w14:textId="77777777" w:rsidR="003461EE" w:rsidRPr="00D02132" w:rsidRDefault="003461EE" w:rsidP="00816572">
      <w:pPr>
        <w:spacing w:line="276" w:lineRule="auto"/>
        <w:rPr>
          <w:rFonts w:ascii="Roboto" w:eastAsia="Times New Roman" w:hAnsi="Roboto" w:cs="Tahoma"/>
          <w:bCs/>
          <w:sz w:val="22"/>
          <w:szCs w:val="22"/>
        </w:rPr>
      </w:pPr>
    </w:p>
    <w:p w14:paraId="5269FA16" w14:textId="77777777" w:rsidR="00EE69D0" w:rsidRPr="00D02132" w:rsidRDefault="00EE69D0" w:rsidP="004C39F4">
      <w:pPr>
        <w:pStyle w:val="ListParagraph"/>
        <w:numPr>
          <w:ilvl w:val="0"/>
          <w:numId w:val="4"/>
        </w:numPr>
        <w:spacing w:after="120"/>
        <w:ind w:left="0" w:firstLine="0"/>
        <w:jc w:val="both"/>
        <w:rPr>
          <w:rFonts w:ascii="Roboto" w:hAnsi="Roboto"/>
          <w:sz w:val="22"/>
          <w:szCs w:val="22"/>
          <w:lang w:val="es-PA"/>
        </w:rPr>
      </w:pPr>
      <w:r w:rsidRPr="00D02132">
        <w:rPr>
          <w:rFonts w:ascii="Roboto" w:hAnsi="Roboto"/>
          <w:sz w:val="22"/>
          <w:szCs w:val="22"/>
          <w:lang w:val="es-PA"/>
        </w:rPr>
        <w:t xml:space="preserve">Con objeto de “promover la aplicación de enfoques integrales y holísticos para la implementación de la Agenda 2030”, ONU Medio Ambiente ha implementado el proyecto "Enfoque integrado para la sostenibilidad ambiental en la planificación del desarrollo" cuyo objetivo es apoyar a los países a atender los retos del desarrollo sostenible abordando de manera balanceada sus tres dimensiones. </w:t>
      </w:r>
    </w:p>
    <w:p w14:paraId="46AC00AC" w14:textId="5703EF2E" w:rsidR="00EE69D0" w:rsidRPr="00D02132" w:rsidRDefault="00EE69D0" w:rsidP="00162C6F">
      <w:pPr>
        <w:pStyle w:val="ListParagraph"/>
        <w:numPr>
          <w:ilvl w:val="0"/>
          <w:numId w:val="4"/>
        </w:numPr>
        <w:spacing w:after="120"/>
        <w:ind w:left="0" w:firstLine="0"/>
        <w:jc w:val="both"/>
        <w:rPr>
          <w:rFonts w:ascii="Roboto" w:hAnsi="Roboto"/>
          <w:sz w:val="22"/>
          <w:szCs w:val="22"/>
          <w:lang w:val="es-PA"/>
        </w:rPr>
      </w:pPr>
      <w:r w:rsidRPr="00D02132">
        <w:rPr>
          <w:rFonts w:ascii="Roboto" w:hAnsi="Roboto"/>
          <w:sz w:val="22"/>
          <w:szCs w:val="22"/>
          <w:lang w:val="es-PA"/>
        </w:rPr>
        <w:t>El país piloto en la región fue Costa Rica en el que se realizó un proceso de identificación de: buenas prácticas, contribuciones del Sector interinstitucional de Ambiente, Mares y Desarrollo Territorial a los Objetivos de Desarrollo Sostenible (ODS) y prioridades de acción pública integrales</w:t>
      </w:r>
      <w:r w:rsidR="00162C6F">
        <w:rPr>
          <w:rFonts w:ascii="Roboto" w:hAnsi="Roboto"/>
          <w:sz w:val="22"/>
          <w:szCs w:val="22"/>
          <w:lang w:val="es-PA"/>
        </w:rPr>
        <w:t>. Los resultados de e</w:t>
      </w:r>
      <w:r w:rsidRPr="00D02132">
        <w:rPr>
          <w:rFonts w:ascii="Roboto" w:hAnsi="Roboto"/>
          <w:sz w:val="22"/>
          <w:szCs w:val="22"/>
          <w:lang w:val="es-PA"/>
        </w:rPr>
        <w:t xml:space="preserve">ste proceso, </w:t>
      </w:r>
      <w:r w:rsidR="00162C6F">
        <w:rPr>
          <w:rFonts w:ascii="Roboto" w:hAnsi="Roboto"/>
          <w:sz w:val="22"/>
          <w:szCs w:val="22"/>
          <w:lang w:val="es-PA"/>
        </w:rPr>
        <w:t xml:space="preserve">que fue </w:t>
      </w:r>
      <w:r w:rsidRPr="00D02132">
        <w:rPr>
          <w:rFonts w:ascii="Roboto" w:hAnsi="Roboto"/>
          <w:sz w:val="22"/>
          <w:szCs w:val="22"/>
          <w:lang w:val="es-PA"/>
        </w:rPr>
        <w:t>liderado por los Ministerios de Ambiente y Energía y de Planificación</w:t>
      </w:r>
      <w:r w:rsidR="00162C6F">
        <w:rPr>
          <w:rFonts w:ascii="Roboto" w:hAnsi="Roboto"/>
          <w:sz w:val="22"/>
          <w:szCs w:val="22"/>
          <w:lang w:val="es-PA"/>
        </w:rPr>
        <w:t xml:space="preserve"> están disponibles en la publicación “L</w:t>
      </w:r>
      <w:r w:rsidR="00162C6F" w:rsidRPr="00162C6F">
        <w:rPr>
          <w:rFonts w:ascii="Roboto" w:hAnsi="Roboto"/>
          <w:sz w:val="22"/>
          <w:szCs w:val="22"/>
          <w:lang w:val="es-PA"/>
        </w:rPr>
        <w:t xml:space="preserve">a dimensión ambiental en la planificación del desarrollo sostenible en </w:t>
      </w:r>
      <w:r w:rsidR="00E80BC3">
        <w:rPr>
          <w:rFonts w:ascii="Roboto" w:hAnsi="Roboto"/>
          <w:sz w:val="22"/>
          <w:szCs w:val="22"/>
          <w:lang w:val="es-PA"/>
        </w:rPr>
        <w:t>C</w:t>
      </w:r>
      <w:r w:rsidR="00162C6F" w:rsidRPr="00162C6F">
        <w:rPr>
          <w:rFonts w:ascii="Roboto" w:hAnsi="Roboto"/>
          <w:sz w:val="22"/>
          <w:szCs w:val="22"/>
          <w:lang w:val="es-PA"/>
        </w:rPr>
        <w:t xml:space="preserve">osta </w:t>
      </w:r>
      <w:r w:rsidR="00E80BC3">
        <w:rPr>
          <w:rFonts w:ascii="Roboto" w:hAnsi="Roboto"/>
          <w:sz w:val="22"/>
          <w:szCs w:val="22"/>
          <w:lang w:val="es-PA"/>
        </w:rPr>
        <w:t>R</w:t>
      </w:r>
      <w:r w:rsidR="00162C6F" w:rsidRPr="00162C6F">
        <w:rPr>
          <w:rFonts w:ascii="Roboto" w:hAnsi="Roboto"/>
          <w:sz w:val="22"/>
          <w:szCs w:val="22"/>
          <w:lang w:val="es-PA"/>
        </w:rPr>
        <w:t xml:space="preserve">ica: La aplicación de un enfoque integrado para </w:t>
      </w:r>
      <w:r w:rsidR="00162C6F">
        <w:rPr>
          <w:rFonts w:ascii="Roboto" w:hAnsi="Roboto"/>
          <w:sz w:val="22"/>
          <w:szCs w:val="22"/>
          <w:lang w:val="es-PA"/>
        </w:rPr>
        <w:t>l</w:t>
      </w:r>
      <w:r w:rsidR="00162C6F" w:rsidRPr="00162C6F">
        <w:rPr>
          <w:rFonts w:ascii="Roboto" w:hAnsi="Roboto"/>
          <w:sz w:val="22"/>
          <w:szCs w:val="22"/>
          <w:lang w:val="es-PA"/>
        </w:rPr>
        <w:t xml:space="preserve">a implementación de </w:t>
      </w:r>
      <w:r w:rsidR="00162C6F">
        <w:rPr>
          <w:rFonts w:ascii="Roboto" w:hAnsi="Roboto"/>
          <w:sz w:val="22"/>
          <w:szCs w:val="22"/>
          <w:lang w:val="es-PA"/>
        </w:rPr>
        <w:t>l</w:t>
      </w:r>
      <w:r w:rsidR="00162C6F" w:rsidRPr="00162C6F">
        <w:rPr>
          <w:rFonts w:ascii="Roboto" w:hAnsi="Roboto"/>
          <w:sz w:val="22"/>
          <w:szCs w:val="22"/>
          <w:lang w:val="es-PA"/>
        </w:rPr>
        <w:t xml:space="preserve">os </w:t>
      </w:r>
      <w:r w:rsidR="00162C6F">
        <w:rPr>
          <w:rFonts w:ascii="Roboto" w:hAnsi="Roboto"/>
          <w:sz w:val="22"/>
          <w:szCs w:val="22"/>
          <w:lang w:val="es-PA"/>
        </w:rPr>
        <w:t>ODS”</w:t>
      </w:r>
      <w:r w:rsidR="00162C6F">
        <w:rPr>
          <w:rStyle w:val="FootnoteReference"/>
          <w:rFonts w:ascii="Roboto" w:hAnsi="Roboto"/>
          <w:sz w:val="22"/>
          <w:szCs w:val="22"/>
          <w:lang w:val="es-PA"/>
        </w:rPr>
        <w:footnoteReference w:id="9"/>
      </w:r>
      <w:r w:rsidRPr="00D02132">
        <w:rPr>
          <w:rFonts w:ascii="Roboto" w:hAnsi="Roboto"/>
          <w:sz w:val="22"/>
          <w:szCs w:val="22"/>
          <w:lang w:val="es-PA"/>
        </w:rPr>
        <w:t xml:space="preserve">. </w:t>
      </w:r>
      <w:r w:rsidR="00E80BC3">
        <w:rPr>
          <w:rFonts w:ascii="Roboto" w:hAnsi="Roboto"/>
          <w:sz w:val="22"/>
          <w:szCs w:val="22"/>
          <w:lang w:val="es-PA"/>
        </w:rPr>
        <w:t xml:space="preserve"> Además en Guyana se está implementando el proyecto </w:t>
      </w:r>
      <w:r w:rsidR="00E80BC3" w:rsidRPr="00E80BC3">
        <w:rPr>
          <w:rFonts w:ascii="Roboto" w:hAnsi="Roboto"/>
          <w:i/>
          <w:sz w:val="22"/>
          <w:szCs w:val="22"/>
          <w:lang w:val="es-PA"/>
        </w:rPr>
        <w:t>Guyana Green State Development Strategy</w:t>
      </w:r>
      <w:r w:rsidR="00E80BC3">
        <w:rPr>
          <w:rFonts w:ascii="Roboto" w:hAnsi="Roboto"/>
          <w:sz w:val="22"/>
          <w:szCs w:val="22"/>
          <w:lang w:val="es-PA"/>
        </w:rPr>
        <w:t>, la Estrategia de Desarrollo Verde de Guyana, la cual esta alineada a los ODS, y se utilizará para orientar la implementación de los ODSs en el país.</w:t>
      </w:r>
    </w:p>
    <w:p w14:paraId="4FA2A8CA" w14:textId="44671BEC" w:rsidR="00EE69D0" w:rsidRPr="00D02132" w:rsidRDefault="00EE69D0" w:rsidP="0071224D">
      <w:pPr>
        <w:pStyle w:val="ListParagraph"/>
        <w:numPr>
          <w:ilvl w:val="0"/>
          <w:numId w:val="4"/>
        </w:numPr>
        <w:spacing w:after="120"/>
        <w:ind w:left="0" w:firstLine="0"/>
        <w:jc w:val="both"/>
        <w:rPr>
          <w:rFonts w:ascii="Roboto" w:eastAsiaTheme="minorHAnsi" w:hAnsi="Roboto" w:cstheme="minorBidi"/>
          <w:sz w:val="22"/>
          <w:szCs w:val="22"/>
          <w:lang w:val="es-PA"/>
        </w:rPr>
      </w:pPr>
      <w:r w:rsidRPr="00D02132">
        <w:rPr>
          <w:rFonts w:ascii="Roboto" w:hAnsi="Roboto"/>
          <w:sz w:val="22"/>
          <w:szCs w:val="22"/>
          <w:lang w:val="es-PA"/>
        </w:rPr>
        <w:lastRenderedPageBreak/>
        <w:t xml:space="preserve">Con apoyo del Gobierno de Brasil, se ha implementado además un piloto regional de este proyecto, con el que se han identificado experiencias que ya han logrado aplicar un enfoque integrado. Con la participación de los treinta y tres países de la región se identificó más de un centenar de iniciativas, de las que se seleccionaron </w:t>
      </w:r>
      <w:r w:rsidR="009D5F63">
        <w:rPr>
          <w:rFonts w:ascii="Roboto" w:hAnsi="Roboto"/>
          <w:sz w:val="22"/>
          <w:szCs w:val="22"/>
          <w:lang w:val="es-PA"/>
        </w:rPr>
        <w:t>28</w:t>
      </w:r>
      <w:r w:rsidRPr="00D02132">
        <w:rPr>
          <w:rFonts w:ascii="Roboto" w:hAnsi="Roboto"/>
          <w:sz w:val="22"/>
          <w:szCs w:val="22"/>
          <w:lang w:val="es-PA"/>
        </w:rPr>
        <w:t xml:space="preserve"> de </w:t>
      </w:r>
      <w:r w:rsidR="009D5F63">
        <w:rPr>
          <w:rFonts w:ascii="Roboto" w:hAnsi="Roboto"/>
          <w:sz w:val="22"/>
          <w:szCs w:val="22"/>
          <w:lang w:val="es-PA"/>
        </w:rPr>
        <w:t>21</w:t>
      </w:r>
      <w:r w:rsidRPr="00D02132">
        <w:rPr>
          <w:rFonts w:ascii="Roboto" w:hAnsi="Roboto"/>
          <w:sz w:val="22"/>
          <w:szCs w:val="22"/>
          <w:lang w:val="es-PA"/>
        </w:rPr>
        <w:t xml:space="preserve"> países para ser sistematizadas y analizadas. Todo ello se recoge en “El Desarrollo Sostenible en la Práctica: la Aplicación de un Enfoque Integrado en América Latina y el Caribe</w:t>
      </w:r>
      <w:r w:rsidR="00627772">
        <w:rPr>
          <w:rStyle w:val="FootnoteReference"/>
          <w:rFonts w:ascii="Roboto" w:hAnsi="Roboto"/>
          <w:sz w:val="22"/>
          <w:szCs w:val="22"/>
          <w:lang w:val="es-PA"/>
        </w:rPr>
        <w:footnoteReference w:id="10"/>
      </w:r>
      <w:r w:rsidRPr="00D02132">
        <w:rPr>
          <w:rFonts w:ascii="Roboto" w:hAnsi="Roboto"/>
          <w:sz w:val="22"/>
          <w:szCs w:val="22"/>
          <w:lang w:val="es-PA"/>
        </w:rPr>
        <w:t>”.</w:t>
      </w:r>
    </w:p>
    <w:p w14:paraId="2E323336" w14:textId="6292CB51" w:rsidR="00EE69D0" w:rsidRPr="00D02132" w:rsidRDefault="00EE69D0" w:rsidP="00E82147">
      <w:pPr>
        <w:pStyle w:val="ListParagraph"/>
        <w:numPr>
          <w:ilvl w:val="0"/>
          <w:numId w:val="4"/>
        </w:numPr>
        <w:spacing w:after="120"/>
        <w:ind w:left="0" w:firstLine="0"/>
        <w:jc w:val="both"/>
        <w:rPr>
          <w:rFonts w:ascii="Roboto" w:hAnsi="Roboto"/>
          <w:sz w:val="22"/>
          <w:szCs w:val="22"/>
          <w:lang w:val="es-PA"/>
        </w:rPr>
      </w:pPr>
      <w:r w:rsidRPr="00D02132">
        <w:rPr>
          <w:rFonts w:ascii="Roboto" w:hAnsi="Roboto"/>
          <w:sz w:val="22"/>
          <w:szCs w:val="22"/>
          <w:lang w:val="es-PA"/>
        </w:rPr>
        <w:t xml:space="preserve">Dando seguimiento a la decisión relacionada con “Promover la cooperación internacional y regional”, se organizó un simposio regional (Brasilia, 4-5 de </w:t>
      </w:r>
      <w:r w:rsidR="0071224D" w:rsidRPr="00D02132">
        <w:rPr>
          <w:rFonts w:ascii="Roboto" w:hAnsi="Roboto"/>
          <w:sz w:val="22"/>
          <w:szCs w:val="22"/>
          <w:lang w:val="es-PA"/>
        </w:rPr>
        <w:t>octubre</w:t>
      </w:r>
      <w:r w:rsidRPr="00D02132">
        <w:rPr>
          <w:rFonts w:ascii="Roboto" w:hAnsi="Roboto"/>
          <w:sz w:val="22"/>
          <w:szCs w:val="22"/>
          <w:lang w:val="es-PA"/>
        </w:rPr>
        <w:t xml:space="preserve"> de 2016), con la participación de representantes de gobierno, sociedad civil, academia y sector privado de veintiún países. Se discutieron avances y retos, se presentaron experiencias concretas, y se identificaron elementos prácticos, herramientas y áreas de cooperación para la implementación de la dimensión ambiental de la Agenda 2030</w:t>
      </w:r>
      <w:r w:rsidR="009C20C5">
        <w:rPr>
          <w:rFonts w:ascii="Roboto" w:hAnsi="Roboto"/>
          <w:sz w:val="22"/>
          <w:szCs w:val="22"/>
          <w:lang w:val="es-PA"/>
        </w:rPr>
        <w:t>.</w:t>
      </w:r>
    </w:p>
    <w:p w14:paraId="56E372B0" w14:textId="5AFBFFCD" w:rsidR="00EE69D0" w:rsidRPr="00D02132" w:rsidRDefault="00EE69D0" w:rsidP="00E82147">
      <w:pPr>
        <w:pStyle w:val="ListParagraph"/>
        <w:numPr>
          <w:ilvl w:val="0"/>
          <w:numId w:val="4"/>
        </w:numPr>
        <w:spacing w:after="120"/>
        <w:ind w:left="0" w:firstLine="0"/>
        <w:jc w:val="both"/>
        <w:rPr>
          <w:rFonts w:ascii="Roboto" w:hAnsi="Roboto"/>
          <w:sz w:val="22"/>
          <w:szCs w:val="22"/>
          <w:lang w:val="es-PA"/>
        </w:rPr>
      </w:pPr>
      <w:r w:rsidRPr="00D02132">
        <w:rPr>
          <w:rFonts w:ascii="Roboto" w:hAnsi="Roboto"/>
          <w:sz w:val="22"/>
          <w:szCs w:val="22"/>
          <w:lang w:val="es-PA"/>
        </w:rPr>
        <w:t>Además, para “</w:t>
      </w:r>
      <w:r w:rsidRPr="00D02132">
        <w:rPr>
          <w:rFonts w:ascii="Roboto" w:hAnsi="Roboto" w:cs="Arial"/>
          <w:sz w:val="22"/>
          <w:szCs w:val="22"/>
          <w:lang w:val="es-PA"/>
        </w:rPr>
        <w:t xml:space="preserve">Fomentar el aprendizaje entre iguales mediante el intercambio de buenas prácticas, experiencias y lecciones aprendidas”, también </w:t>
      </w:r>
      <w:r w:rsidRPr="00D02132">
        <w:rPr>
          <w:rFonts w:ascii="Roboto" w:hAnsi="Roboto"/>
          <w:sz w:val="22"/>
          <w:szCs w:val="22"/>
          <w:lang w:val="es-PA"/>
        </w:rPr>
        <w:t xml:space="preserve">se llevó a cabo un intercambio de experiencias (Medellín, 20-22 de </w:t>
      </w:r>
      <w:r w:rsidR="0071224D" w:rsidRPr="00D02132">
        <w:rPr>
          <w:rFonts w:ascii="Roboto" w:hAnsi="Roboto"/>
          <w:sz w:val="22"/>
          <w:szCs w:val="22"/>
          <w:lang w:val="es-PA"/>
        </w:rPr>
        <w:t>junio</w:t>
      </w:r>
      <w:r w:rsidRPr="00D02132">
        <w:rPr>
          <w:rFonts w:ascii="Roboto" w:hAnsi="Roboto"/>
          <w:sz w:val="22"/>
          <w:szCs w:val="22"/>
          <w:lang w:val="es-PA"/>
        </w:rPr>
        <w:t xml:space="preserve"> de 2017) en el cual participaron actores de gobierno de Brasil, Colombia, Costa Rica y México, sector privado, sociedad civil y organismos internacionales. Se buscaba definir sinergias en la implementación de los ODS 1</w:t>
      </w:r>
      <w:r w:rsidR="001D19F4">
        <w:rPr>
          <w:rFonts w:ascii="Roboto" w:hAnsi="Roboto"/>
          <w:sz w:val="22"/>
          <w:szCs w:val="22"/>
          <w:lang w:val="es-PA"/>
        </w:rPr>
        <w:t xml:space="preserve">, </w:t>
      </w:r>
      <w:r w:rsidRPr="00D02132">
        <w:rPr>
          <w:rFonts w:ascii="Roboto" w:hAnsi="Roboto"/>
          <w:sz w:val="22"/>
          <w:szCs w:val="22"/>
          <w:lang w:val="es-PA"/>
        </w:rPr>
        <w:t>Lucha contra la pobreza y ODS 15</w:t>
      </w:r>
      <w:r w:rsidR="001D19F4">
        <w:rPr>
          <w:rFonts w:ascii="Roboto" w:hAnsi="Roboto"/>
          <w:sz w:val="22"/>
          <w:szCs w:val="22"/>
          <w:lang w:val="es-PA"/>
        </w:rPr>
        <w:t>,</w:t>
      </w:r>
      <w:r w:rsidRPr="00D02132">
        <w:rPr>
          <w:rFonts w:ascii="Roboto" w:hAnsi="Roboto"/>
          <w:sz w:val="22"/>
          <w:szCs w:val="22"/>
          <w:lang w:val="es-PA"/>
        </w:rPr>
        <w:t xml:space="preserve"> Ecosistemas terrestres. En esta línea se está avanzando una propuesta de proyecto para fortalecer los mecanismos de compensación ambientales socialmente incluyentes a través de la Adaptación basada en Ecosistemas.</w:t>
      </w:r>
    </w:p>
    <w:p w14:paraId="6EB39C22" w14:textId="61014774" w:rsidR="00EE69D0" w:rsidRPr="00D02132" w:rsidRDefault="00EE69D0" w:rsidP="00E82147">
      <w:pPr>
        <w:pStyle w:val="ListParagraph"/>
        <w:numPr>
          <w:ilvl w:val="0"/>
          <w:numId w:val="4"/>
        </w:numPr>
        <w:spacing w:after="120"/>
        <w:ind w:left="0" w:firstLine="0"/>
        <w:jc w:val="both"/>
        <w:rPr>
          <w:rFonts w:ascii="Roboto" w:hAnsi="Roboto"/>
          <w:sz w:val="22"/>
          <w:szCs w:val="22"/>
          <w:lang w:val="es-PA"/>
        </w:rPr>
      </w:pPr>
      <w:r w:rsidRPr="00D02132">
        <w:rPr>
          <w:rFonts w:ascii="Roboto" w:hAnsi="Roboto"/>
          <w:sz w:val="22"/>
          <w:szCs w:val="22"/>
          <w:lang w:val="es-PA"/>
        </w:rPr>
        <w:t xml:space="preserve">En seguimiento a la necesidad de “proporcionar orientación política”, se ha elaborado una nota que presenta recomendaciones y herramientas concretas disponibles. Todo ello fue compartido en un </w:t>
      </w:r>
      <w:r w:rsidRPr="009C20C5">
        <w:rPr>
          <w:rStyle w:val="Hyperlink"/>
          <w:rFonts w:ascii="Roboto" w:hAnsi="Roboto"/>
          <w:color w:val="auto"/>
          <w:sz w:val="22"/>
          <w:szCs w:val="22"/>
          <w:u w:val="none"/>
          <w:lang w:val="es-PA"/>
        </w:rPr>
        <w:t>evento paralelo</w:t>
      </w:r>
      <w:r w:rsidRPr="009C20C5">
        <w:rPr>
          <w:rFonts w:ascii="Roboto" w:hAnsi="Roboto"/>
          <w:sz w:val="22"/>
          <w:szCs w:val="22"/>
          <w:lang w:val="es-PA"/>
        </w:rPr>
        <w:t xml:space="preserve"> </w:t>
      </w:r>
      <w:r w:rsidRPr="00D02132">
        <w:rPr>
          <w:rFonts w:ascii="Roboto" w:hAnsi="Roboto"/>
          <w:sz w:val="22"/>
          <w:szCs w:val="22"/>
          <w:lang w:val="es-PA"/>
        </w:rPr>
        <w:t>del Segmento de Integración del Consejo Económico y Social de Naciones Unidas</w:t>
      </w:r>
      <w:r w:rsidR="009C20C5">
        <w:rPr>
          <w:rStyle w:val="FootnoteReference"/>
          <w:rFonts w:ascii="Roboto" w:hAnsi="Roboto"/>
          <w:sz w:val="22"/>
          <w:szCs w:val="22"/>
          <w:lang w:val="es-PA"/>
        </w:rPr>
        <w:footnoteReference w:id="11"/>
      </w:r>
      <w:r w:rsidRPr="00D02132">
        <w:rPr>
          <w:rFonts w:ascii="Roboto" w:hAnsi="Roboto"/>
          <w:sz w:val="22"/>
          <w:szCs w:val="22"/>
          <w:lang w:val="es-PA"/>
        </w:rPr>
        <w:t xml:space="preserve"> (ECOSOC, Nueva York, 8 de mayo de 2017) como contribución al tema principal que versó sobre la erradicación de la pobreza en todas sus formas y dimensiones. </w:t>
      </w:r>
    </w:p>
    <w:p w14:paraId="7B79A827" w14:textId="31069B58" w:rsidR="00EE69D0" w:rsidRPr="00D02132" w:rsidRDefault="00EE69D0" w:rsidP="00C11321">
      <w:pPr>
        <w:pStyle w:val="ListParagraph"/>
        <w:numPr>
          <w:ilvl w:val="0"/>
          <w:numId w:val="4"/>
        </w:numPr>
        <w:spacing w:after="120"/>
        <w:ind w:left="0" w:firstLine="0"/>
        <w:jc w:val="both"/>
        <w:rPr>
          <w:rFonts w:ascii="Roboto" w:hAnsi="Roboto"/>
          <w:sz w:val="22"/>
          <w:szCs w:val="22"/>
          <w:lang w:val="es-PA"/>
        </w:rPr>
      </w:pPr>
      <w:r w:rsidRPr="00D02132">
        <w:rPr>
          <w:rFonts w:ascii="Roboto" w:hAnsi="Roboto"/>
          <w:sz w:val="22"/>
          <w:szCs w:val="22"/>
          <w:lang w:val="es-PA"/>
        </w:rPr>
        <w:t xml:space="preserve">Por último, se realizaron dos análisis que apoyan “la </w:t>
      </w:r>
      <w:r w:rsidRPr="00D02132">
        <w:rPr>
          <w:rFonts w:ascii="Roboto" w:hAnsi="Roboto" w:cs="Arial"/>
          <w:sz w:val="22"/>
          <w:szCs w:val="22"/>
          <w:lang w:val="es-PA"/>
        </w:rPr>
        <w:t xml:space="preserve">Identificación de las brechas regionales </w:t>
      </w:r>
      <w:r w:rsidR="00917B06">
        <w:rPr>
          <w:rFonts w:ascii="Roboto" w:hAnsi="Roboto" w:cs="Arial"/>
          <w:sz w:val="22"/>
          <w:szCs w:val="22"/>
          <w:lang w:val="es-PA"/>
        </w:rPr>
        <w:t xml:space="preserve">y </w:t>
      </w:r>
      <w:r w:rsidRPr="00D02132">
        <w:rPr>
          <w:rFonts w:ascii="Roboto" w:hAnsi="Roboto" w:cs="Arial"/>
          <w:sz w:val="22"/>
          <w:szCs w:val="22"/>
          <w:lang w:val="es-PA"/>
        </w:rPr>
        <w:t xml:space="preserve">desafíos emergentes y objetivos comunes para implementar la dimensión ambiental en los Objetivos de Desarrollo Sostenible y sus respectivas metas”. </w:t>
      </w:r>
    </w:p>
    <w:p w14:paraId="0534DE47" w14:textId="0C8E5C50" w:rsidR="00EE69D0" w:rsidRPr="00D02132" w:rsidRDefault="00EE69D0" w:rsidP="00C11321">
      <w:pPr>
        <w:pStyle w:val="ListParagraph"/>
        <w:numPr>
          <w:ilvl w:val="0"/>
          <w:numId w:val="4"/>
        </w:numPr>
        <w:spacing w:after="120"/>
        <w:ind w:left="0" w:firstLine="0"/>
        <w:jc w:val="both"/>
        <w:rPr>
          <w:rFonts w:ascii="Roboto" w:hAnsi="Roboto"/>
          <w:sz w:val="22"/>
          <w:szCs w:val="22"/>
          <w:lang w:val="es-PA"/>
        </w:rPr>
      </w:pPr>
      <w:r w:rsidRPr="00D02132">
        <w:rPr>
          <w:rFonts w:ascii="Roboto" w:hAnsi="Roboto"/>
          <w:sz w:val="22"/>
          <w:szCs w:val="22"/>
          <w:lang w:val="es-PA"/>
        </w:rPr>
        <w:t xml:space="preserve">El primero ahonda </w:t>
      </w:r>
      <w:r w:rsidRPr="00D02132">
        <w:rPr>
          <w:rFonts w:ascii="Roboto" w:eastAsia="Arial" w:hAnsi="Roboto" w:cs="Arial"/>
          <w:sz w:val="22"/>
          <w:szCs w:val="22"/>
          <w:lang w:val="es-PA"/>
        </w:rPr>
        <w:t xml:space="preserve">en las tendencias en materia de arreglos institucionales e instrumentos legales que avanzan en la integración de la dimensión ambiental del desarrollo sostenible. Analiza </w:t>
      </w:r>
      <w:r w:rsidRPr="00D02132">
        <w:rPr>
          <w:rFonts w:ascii="Roboto" w:eastAsia="Arial" w:hAnsi="Roboto" w:cs="Arial"/>
          <w:sz w:val="22"/>
          <w:szCs w:val="22"/>
          <w:lang w:val="es-PA" w:eastAsia="es-PA"/>
        </w:rPr>
        <w:t xml:space="preserve">las estructuras de las autoridades ambientales y </w:t>
      </w:r>
      <w:r w:rsidRPr="00D02132">
        <w:rPr>
          <w:rFonts w:ascii="Roboto" w:eastAsia="Arial" w:hAnsi="Roboto" w:cs="Arial"/>
          <w:sz w:val="22"/>
          <w:szCs w:val="22"/>
          <w:lang w:val="es-PA"/>
        </w:rPr>
        <w:t xml:space="preserve">los </w:t>
      </w:r>
      <w:r w:rsidRPr="00D02132">
        <w:rPr>
          <w:rFonts w:ascii="Roboto" w:eastAsia="Arial" w:hAnsi="Roboto" w:cs="Arial"/>
          <w:sz w:val="22"/>
          <w:szCs w:val="22"/>
          <w:lang w:val="es-PA" w:eastAsia="es-PA"/>
        </w:rPr>
        <w:t xml:space="preserve">nuevos mecanismos para la coordinación </w:t>
      </w:r>
      <w:r w:rsidRPr="00D02132">
        <w:rPr>
          <w:rFonts w:ascii="Roboto" w:eastAsia="Arial" w:hAnsi="Roboto" w:cs="Arial"/>
          <w:sz w:val="22"/>
          <w:szCs w:val="22"/>
          <w:lang w:val="es-PA"/>
        </w:rPr>
        <w:t>de la Agenda 2030</w:t>
      </w:r>
      <w:r w:rsidR="00917B06">
        <w:rPr>
          <w:rFonts w:ascii="Roboto" w:eastAsia="Arial" w:hAnsi="Roboto" w:cs="Arial"/>
          <w:sz w:val="22"/>
          <w:szCs w:val="22"/>
          <w:lang w:val="es-PA" w:eastAsia="es-PA"/>
        </w:rPr>
        <w:t xml:space="preserve"> en l</w:t>
      </w:r>
      <w:r w:rsidR="00DD1604" w:rsidRPr="00D02132">
        <w:rPr>
          <w:rFonts w:ascii="Roboto" w:eastAsia="Arial" w:hAnsi="Roboto" w:cs="Arial"/>
          <w:sz w:val="22"/>
          <w:szCs w:val="22"/>
          <w:lang w:val="es-PA" w:eastAsia="es-PA"/>
        </w:rPr>
        <w:t>a publicación titulada</w:t>
      </w:r>
      <w:r w:rsidRPr="00D02132">
        <w:rPr>
          <w:rFonts w:ascii="Roboto" w:eastAsia="Arial" w:hAnsi="Roboto" w:cs="Arial"/>
          <w:sz w:val="22"/>
          <w:szCs w:val="22"/>
          <w:lang w:val="es-PA" w:eastAsia="es-PA"/>
        </w:rPr>
        <w:t xml:space="preserve"> </w:t>
      </w:r>
      <w:r w:rsidRPr="00D02132">
        <w:rPr>
          <w:rFonts w:ascii="Roboto" w:hAnsi="Roboto"/>
          <w:sz w:val="22"/>
          <w:szCs w:val="22"/>
          <w:lang w:val="es-PA"/>
        </w:rPr>
        <w:t xml:space="preserve">“Gobernanza ambiental para un enfoque integrado del desarrollo sostenible en la práctica: desarrollos institucionales y buenas prácticas de América Latina y el Caribe que fortalecen la dimensión ambiental de la Agenda 2030”. </w:t>
      </w:r>
    </w:p>
    <w:p w14:paraId="583FF1E1" w14:textId="6ED2F252" w:rsidR="00EE69D0" w:rsidRPr="00D02132" w:rsidRDefault="00EE69D0" w:rsidP="00EE69D0">
      <w:pPr>
        <w:pStyle w:val="ListParagraph"/>
        <w:numPr>
          <w:ilvl w:val="0"/>
          <w:numId w:val="4"/>
        </w:numPr>
        <w:ind w:left="0" w:firstLine="0"/>
        <w:jc w:val="both"/>
        <w:rPr>
          <w:rFonts w:ascii="Roboto" w:hAnsi="Roboto"/>
          <w:sz w:val="22"/>
          <w:szCs w:val="22"/>
          <w:lang w:val="es-PA"/>
        </w:rPr>
      </w:pPr>
      <w:r w:rsidRPr="00D02132">
        <w:rPr>
          <w:rFonts w:ascii="Roboto" w:hAnsi="Roboto"/>
          <w:sz w:val="22"/>
          <w:szCs w:val="22"/>
          <w:lang w:val="es-PA"/>
        </w:rPr>
        <w:t xml:space="preserve">El segundo, es resultado de la revisión de los catorce Informes Voluntarios sobre la implementación de la Agenda 2030, presentados por los países de la región en 2016 y 2017. El análisis se centra en la inclusión de un enfoque integrado para el desarrollo sostenible en estos informes y, concretamente, en cómo esto ha influido en la consideración de la dimensión ambiental de los ODS. </w:t>
      </w:r>
      <w:r w:rsidR="00917B06">
        <w:rPr>
          <w:rFonts w:ascii="Roboto" w:hAnsi="Roboto"/>
          <w:sz w:val="22"/>
          <w:szCs w:val="22"/>
          <w:lang w:val="es-PA"/>
        </w:rPr>
        <w:t xml:space="preserve"> El documento se titula </w:t>
      </w:r>
      <w:r w:rsidRPr="00D02132">
        <w:rPr>
          <w:rFonts w:ascii="Roboto" w:hAnsi="Roboto"/>
          <w:sz w:val="22"/>
          <w:szCs w:val="22"/>
          <w:lang w:val="es-PA"/>
        </w:rPr>
        <w:t xml:space="preserve">“El Enfoque Integrado y la </w:t>
      </w:r>
      <w:r w:rsidRPr="00D02132">
        <w:rPr>
          <w:rFonts w:ascii="Roboto" w:hAnsi="Roboto"/>
          <w:sz w:val="22"/>
          <w:szCs w:val="22"/>
          <w:lang w:val="es-PA"/>
        </w:rPr>
        <w:lastRenderedPageBreak/>
        <w:t>Dimensión Ambiental en la Agenda 2030</w:t>
      </w:r>
      <w:r w:rsidR="00A2406E">
        <w:rPr>
          <w:rFonts w:ascii="Roboto" w:hAnsi="Roboto"/>
          <w:sz w:val="22"/>
          <w:szCs w:val="22"/>
          <w:lang w:val="es-PA"/>
        </w:rPr>
        <w:t>”:</w:t>
      </w:r>
      <w:r w:rsidRPr="00D02132">
        <w:rPr>
          <w:rFonts w:ascii="Roboto" w:hAnsi="Roboto"/>
          <w:sz w:val="22"/>
          <w:szCs w:val="22"/>
          <w:lang w:val="es-PA"/>
        </w:rPr>
        <w:t xml:space="preserve"> Los Informes Nacionales Voluntarios de América Latina y el Caribe (2016-2017)</w:t>
      </w:r>
      <w:r w:rsidR="00E37799">
        <w:rPr>
          <w:rStyle w:val="FootnoteReference"/>
          <w:rFonts w:ascii="Roboto" w:hAnsi="Roboto"/>
          <w:sz w:val="22"/>
          <w:szCs w:val="22"/>
          <w:lang w:val="es-PA"/>
        </w:rPr>
        <w:footnoteReference w:id="12"/>
      </w:r>
      <w:r w:rsidR="00E37799">
        <w:rPr>
          <w:rFonts w:ascii="Roboto" w:hAnsi="Roboto"/>
          <w:sz w:val="22"/>
          <w:szCs w:val="22"/>
          <w:lang w:val="es-PA"/>
        </w:rPr>
        <w:t>.</w:t>
      </w:r>
    </w:p>
    <w:p w14:paraId="282F2566" w14:textId="1B2DBAF7" w:rsidR="00EE69D0" w:rsidRDefault="00EE69D0" w:rsidP="00EE69D0">
      <w:pPr>
        <w:pStyle w:val="ListParagraph"/>
        <w:ind w:left="0"/>
        <w:jc w:val="both"/>
        <w:rPr>
          <w:rFonts w:ascii="Roboto" w:hAnsi="Roboto"/>
          <w:sz w:val="22"/>
          <w:szCs w:val="22"/>
          <w:lang w:val="es-PA"/>
        </w:rPr>
      </w:pPr>
    </w:p>
    <w:p w14:paraId="33BA79AB" w14:textId="77777777" w:rsidR="00EE69D0" w:rsidRPr="00D02132" w:rsidRDefault="00EE69D0" w:rsidP="00EE69D0">
      <w:pPr>
        <w:jc w:val="both"/>
        <w:rPr>
          <w:rFonts w:ascii="Roboto" w:hAnsi="Roboto"/>
          <w:sz w:val="22"/>
          <w:szCs w:val="22"/>
        </w:rPr>
      </w:pPr>
      <w:r w:rsidRPr="00D02132">
        <w:rPr>
          <w:rFonts w:ascii="Roboto" w:hAnsi="Roboto"/>
          <w:sz w:val="22"/>
          <w:szCs w:val="22"/>
          <w:u w:val="single"/>
        </w:rPr>
        <w:t>Vinculación con el Foro de los Países de América Latina y el Caribe sobre el Desarrollo Sostenible</w:t>
      </w:r>
      <w:r w:rsidRPr="00D02132">
        <w:rPr>
          <w:rFonts w:ascii="Roboto" w:hAnsi="Roboto"/>
          <w:sz w:val="22"/>
          <w:szCs w:val="22"/>
        </w:rPr>
        <w:t xml:space="preserve">: </w:t>
      </w:r>
    </w:p>
    <w:p w14:paraId="13DA7721" w14:textId="03942810" w:rsidR="00EE69D0" w:rsidRPr="00D02132" w:rsidRDefault="00EE69D0" w:rsidP="00E37799">
      <w:pPr>
        <w:pStyle w:val="ListParagraph"/>
        <w:numPr>
          <w:ilvl w:val="0"/>
          <w:numId w:val="4"/>
        </w:numPr>
        <w:spacing w:after="120"/>
        <w:ind w:left="0" w:firstLine="0"/>
        <w:jc w:val="both"/>
        <w:rPr>
          <w:rFonts w:ascii="Roboto" w:hAnsi="Roboto"/>
          <w:sz w:val="22"/>
          <w:szCs w:val="22"/>
          <w:lang w:val="es-PA"/>
        </w:rPr>
      </w:pPr>
      <w:r w:rsidRPr="00D02132">
        <w:rPr>
          <w:rFonts w:ascii="Roboto" w:hAnsi="Roboto"/>
          <w:sz w:val="22"/>
          <w:szCs w:val="22"/>
          <w:lang w:val="es-PA"/>
        </w:rPr>
        <w:t xml:space="preserve">El Foro de Desarrollo Sostenible fue creado en el 36 </w:t>
      </w:r>
      <w:r w:rsidR="00304B3C">
        <w:rPr>
          <w:rFonts w:ascii="Roboto" w:hAnsi="Roboto"/>
          <w:sz w:val="22"/>
          <w:szCs w:val="22"/>
          <w:lang w:val="es-PA"/>
        </w:rPr>
        <w:t>P</w:t>
      </w:r>
      <w:r w:rsidRPr="00D02132">
        <w:rPr>
          <w:rFonts w:ascii="Roboto" w:hAnsi="Roboto"/>
          <w:sz w:val="22"/>
          <w:szCs w:val="22"/>
          <w:lang w:val="es-PA"/>
        </w:rPr>
        <w:t xml:space="preserve">eríodo de </w:t>
      </w:r>
      <w:r w:rsidR="00304B3C">
        <w:rPr>
          <w:rFonts w:ascii="Roboto" w:hAnsi="Roboto"/>
          <w:sz w:val="22"/>
          <w:szCs w:val="22"/>
          <w:lang w:val="es-PA"/>
        </w:rPr>
        <w:t>S</w:t>
      </w:r>
      <w:r w:rsidRPr="00D02132">
        <w:rPr>
          <w:rFonts w:ascii="Roboto" w:hAnsi="Roboto"/>
          <w:sz w:val="22"/>
          <w:szCs w:val="22"/>
          <w:lang w:val="es-PA"/>
        </w:rPr>
        <w:t>esiones de la CEPAL (mayo de 2016</w:t>
      </w:r>
      <w:r w:rsidR="00304B3C">
        <w:rPr>
          <w:rFonts w:ascii="Roboto" w:hAnsi="Roboto"/>
          <w:sz w:val="22"/>
          <w:szCs w:val="22"/>
          <w:lang w:val="es-PA"/>
        </w:rPr>
        <w:t>,</w:t>
      </w:r>
      <w:r w:rsidR="00304B3C" w:rsidRPr="00304B3C">
        <w:rPr>
          <w:rFonts w:ascii="Roboto" w:hAnsi="Roboto"/>
          <w:sz w:val="22"/>
          <w:szCs w:val="22"/>
          <w:lang w:val="es-PA"/>
        </w:rPr>
        <w:t xml:space="preserve"> </w:t>
      </w:r>
      <w:r w:rsidR="00304B3C" w:rsidRPr="00D02132">
        <w:rPr>
          <w:rFonts w:ascii="Roboto" w:hAnsi="Roboto"/>
          <w:sz w:val="22"/>
          <w:szCs w:val="22"/>
          <w:lang w:val="es-PA"/>
        </w:rPr>
        <w:t>Ciudad de México</w:t>
      </w:r>
      <w:r w:rsidRPr="00D02132">
        <w:rPr>
          <w:rFonts w:ascii="Roboto" w:hAnsi="Roboto"/>
          <w:sz w:val="22"/>
          <w:szCs w:val="22"/>
          <w:lang w:val="es-PA"/>
        </w:rPr>
        <w:t xml:space="preserve">) como mecanismo regional para el seguimiento y examen de la Agenda 2030 para el Desarrollo Sostenible y la Agenda de Acción de Addis Abeba sobre el Financiamiento para el Desarrollo. El Consejo Económico y Social de las Naciones Unidas hizo suya la creación del Foro mediante la </w:t>
      </w:r>
      <w:r w:rsidR="00304B3C">
        <w:rPr>
          <w:rFonts w:ascii="Roboto" w:hAnsi="Roboto"/>
          <w:sz w:val="22"/>
          <w:szCs w:val="22"/>
          <w:lang w:val="es-PA"/>
        </w:rPr>
        <w:t>r</w:t>
      </w:r>
      <w:r w:rsidRPr="00D02132">
        <w:rPr>
          <w:rFonts w:ascii="Roboto" w:hAnsi="Roboto"/>
          <w:sz w:val="22"/>
          <w:szCs w:val="22"/>
          <w:lang w:val="es-PA"/>
        </w:rPr>
        <w:t>esolución 2016/12.</w:t>
      </w:r>
    </w:p>
    <w:p w14:paraId="3F18F6F1" w14:textId="77777777" w:rsidR="00EE69D0" w:rsidRPr="00D02132" w:rsidRDefault="00EE69D0" w:rsidP="00E37799">
      <w:pPr>
        <w:pStyle w:val="ListParagraph"/>
        <w:numPr>
          <w:ilvl w:val="0"/>
          <w:numId w:val="4"/>
        </w:numPr>
        <w:spacing w:after="120"/>
        <w:ind w:left="0" w:firstLine="0"/>
        <w:jc w:val="both"/>
        <w:rPr>
          <w:rFonts w:ascii="Roboto" w:hAnsi="Roboto"/>
          <w:sz w:val="22"/>
          <w:szCs w:val="22"/>
          <w:lang w:val="es-PA"/>
        </w:rPr>
      </w:pPr>
      <w:r w:rsidRPr="00D02132">
        <w:rPr>
          <w:rFonts w:ascii="Roboto" w:hAnsi="Roboto"/>
          <w:sz w:val="22"/>
          <w:szCs w:val="22"/>
          <w:lang w:val="es-PA"/>
        </w:rPr>
        <w:t>En consonancia con la Decisión 4 de la XX Reunión del Foro de Ministros, la Resolución de creación del Foro invita a otros mecanismos regionales intergubernamentales relevantes a proporcionar insumos y contribuciones, en el ámbito de sus mandatos actuales.</w:t>
      </w:r>
    </w:p>
    <w:p w14:paraId="3BC6601B" w14:textId="1214C89E" w:rsidR="00EE69D0" w:rsidRPr="00D02132" w:rsidRDefault="00EE69D0" w:rsidP="00EE69D0">
      <w:pPr>
        <w:pStyle w:val="ListParagraph"/>
        <w:numPr>
          <w:ilvl w:val="0"/>
          <w:numId w:val="4"/>
        </w:numPr>
        <w:ind w:left="0" w:firstLine="0"/>
        <w:jc w:val="both"/>
        <w:rPr>
          <w:rFonts w:ascii="Roboto" w:hAnsi="Roboto"/>
          <w:sz w:val="22"/>
          <w:szCs w:val="22"/>
          <w:lang w:val="es-PA"/>
        </w:rPr>
      </w:pPr>
      <w:r w:rsidRPr="00D02132">
        <w:rPr>
          <w:rFonts w:ascii="Roboto" w:hAnsi="Roboto"/>
          <w:sz w:val="22"/>
          <w:szCs w:val="22"/>
          <w:lang w:val="es-PA"/>
        </w:rPr>
        <w:t>El Foro celebró su primera reunión en la ciudad de México (2017) y la segunda en Santiago de Chile (2018).  En ambas,</w:t>
      </w:r>
      <w:r w:rsidR="00304B3C">
        <w:rPr>
          <w:rFonts w:ascii="Roboto" w:hAnsi="Roboto"/>
          <w:sz w:val="22"/>
          <w:szCs w:val="22"/>
          <w:lang w:val="es-PA"/>
        </w:rPr>
        <w:t xml:space="preserve"> una</w:t>
      </w:r>
      <w:r w:rsidRPr="00D02132">
        <w:rPr>
          <w:rFonts w:ascii="Roboto" w:hAnsi="Roboto"/>
          <w:sz w:val="22"/>
          <w:szCs w:val="22"/>
          <w:lang w:val="es-PA"/>
        </w:rPr>
        <w:t xml:space="preserve"> representación de la Presidencia del Foro de Ministros de Medio Ambiente compartió informes. Asimismo, ONU Medio Ambiente apoyó las presentaciones conjuntas del sistema de Naciones Unidas, contribuyó a la elaboración del Informe de progreso anual de la Secretaría, y participó en las deliberaciones sobre la dimensión ambiental del desarrollo sostenible.</w:t>
      </w:r>
    </w:p>
    <w:p w14:paraId="4461BC82" w14:textId="77777777" w:rsidR="00EE69D0" w:rsidRPr="00D02132" w:rsidRDefault="00EE69D0" w:rsidP="00EE69D0">
      <w:pPr>
        <w:jc w:val="both"/>
        <w:rPr>
          <w:rFonts w:ascii="Roboto" w:hAnsi="Roboto"/>
          <w:sz w:val="22"/>
          <w:szCs w:val="22"/>
        </w:rPr>
      </w:pPr>
    </w:p>
    <w:p w14:paraId="748992C0" w14:textId="77777777" w:rsidR="00EE69D0" w:rsidRPr="00D02132" w:rsidRDefault="00EE69D0" w:rsidP="00E10BB1">
      <w:pPr>
        <w:jc w:val="both"/>
        <w:outlineLvl w:val="0"/>
        <w:rPr>
          <w:rFonts w:ascii="Roboto" w:hAnsi="Roboto"/>
          <w:sz w:val="22"/>
          <w:szCs w:val="22"/>
          <w:u w:val="single"/>
          <w:lang w:eastAsia="es-ES"/>
        </w:rPr>
      </w:pPr>
      <w:r w:rsidRPr="00D02132">
        <w:rPr>
          <w:rFonts w:ascii="Roboto" w:hAnsi="Roboto"/>
          <w:sz w:val="22"/>
          <w:szCs w:val="22"/>
          <w:u w:val="single"/>
          <w:lang w:eastAsia="es-ES"/>
        </w:rPr>
        <w:t xml:space="preserve">Vinculación con la Asamblea de las Naciones Unidas sobre el Medio Ambiente. </w:t>
      </w:r>
    </w:p>
    <w:p w14:paraId="5CCFD38C" w14:textId="0F3A388D" w:rsidR="00EE69D0" w:rsidRPr="00D02132" w:rsidRDefault="00EE69D0" w:rsidP="00644A3B">
      <w:pPr>
        <w:pStyle w:val="ListParagraph"/>
        <w:numPr>
          <w:ilvl w:val="0"/>
          <w:numId w:val="4"/>
        </w:numPr>
        <w:spacing w:after="120"/>
        <w:ind w:left="0" w:firstLine="0"/>
        <w:jc w:val="both"/>
        <w:rPr>
          <w:rFonts w:ascii="Roboto" w:hAnsi="Roboto"/>
          <w:sz w:val="22"/>
          <w:szCs w:val="22"/>
          <w:lang w:val="es-PA" w:eastAsia="es-ES"/>
        </w:rPr>
      </w:pPr>
      <w:r w:rsidRPr="00D02132">
        <w:rPr>
          <w:rFonts w:ascii="Roboto" w:hAnsi="Roboto"/>
          <w:sz w:val="22"/>
          <w:szCs w:val="22"/>
          <w:lang w:val="es-PA" w:eastAsia="es-ES"/>
        </w:rPr>
        <w:t xml:space="preserve">El Foro de Ministros de Medio Ambiente se ha vinculado a las Asambleas de las Naciones </w:t>
      </w:r>
      <w:r w:rsidR="00F651EC" w:rsidRPr="00D02132">
        <w:rPr>
          <w:rFonts w:ascii="Roboto" w:hAnsi="Roboto"/>
          <w:sz w:val="22"/>
          <w:szCs w:val="22"/>
          <w:lang w:val="es-PA" w:eastAsia="es-ES"/>
        </w:rPr>
        <w:t>Unidas</w:t>
      </w:r>
      <w:r w:rsidR="00A40CD2" w:rsidRPr="00D02132">
        <w:rPr>
          <w:rFonts w:ascii="Roboto" w:hAnsi="Roboto"/>
          <w:sz w:val="22"/>
          <w:szCs w:val="22"/>
          <w:lang w:val="es-PA" w:eastAsia="es-ES"/>
        </w:rPr>
        <w:t xml:space="preserve"> </w:t>
      </w:r>
      <w:r w:rsidRPr="00D02132">
        <w:rPr>
          <w:rFonts w:ascii="Roboto" w:hAnsi="Roboto"/>
          <w:sz w:val="22"/>
          <w:szCs w:val="22"/>
          <w:lang w:val="es-PA" w:eastAsia="es-ES"/>
        </w:rPr>
        <w:t>para el Medio Ambiente. En las Asambleas de mayo de 2016 y diciembre de 2017, el Foro compartió su visión sobre los retos ambientales de la región, así como los progresos en integrar la dimensión ambiental al desarrollo sostenible. Esto contribuyó a los mensajes que la Asamblea transmite al Foro Político de Alto Nivel sobre el Desarrollo Sostenible apoyando el proceso global de seguimiento y examen de la Agenda 2030.</w:t>
      </w:r>
    </w:p>
    <w:p w14:paraId="2BF38F2E" w14:textId="1F356C84" w:rsidR="00EE69D0" w:rsidRPr="00D02132" w:rsidRDefault="00EE69D0" w:rsidP="00644A3B">
      <w:pPr>
        <w:pStyle w:val="ListParagraph"/>
        <w:numPr>
          <w:ilvl w:val="0"/>
          <w:numId w:val="4"/>
        </w:numPr>
        <w:spacing w:after="120"/>
        <w:ind w:left="0" w:firstLine="0"/>
        <w:jc w:val="both"/>
        <w:rPr>
          <w:rFonts w:ascii="Roboto" w:hAnsi="Roboto"/>
          <w:sz w:val="22"/>
          <w:szCs w:val="22"/>
          <w:lang w:val="es-PA" w:eastAsia="es-ES"/>
        </w:rPr>
      </w:pPr>
      <w:r w:rsidRPr="00D02132">
        <w:rPr>
          <w:rFonts w:ascii="Roboto" w:hAnsi="Roboto"/>
          <w:sz w:val="22"/>
          <w:szCs w:val="22"/>
          <w:lang w:val="es-PA" w:eastAsia="es-ES"/>
        </w:rPr>
        <w:t xml:space="preserve">La Segunda Asamblea de las Naciones Unidas </w:t>
      </w:r>
      <w:r w:rsidR="00304B3C">
        <w:rPr>
          <w:rFonts w:ascii="Roboto" w:hAnsi="Roboto"/>
          <w:sz w:val="22"/>
          <w:szCs w:val="22"/>
          <w:lang w:val="es-PA" w:eastAsia="es-ES"/>
        </w:rPr>
        <w:t>para</w:t>
      </w:r>
      <w:r w:rsidRPr="00D02132">
        <w:rPr>
          <w:rFonts w:ascii="Roboto" w:hAnsi="Roboto"/>
          <w:sz w:val="22"/>
          <w:szCs w:val="22"/>
          <w:lang w:val="es-PA" w:eastAsia="es-ES"/>
        </w:rPr>
        <w:t xml:space="preserve"> el Medio Ambiente adoptó la Resolución 2/2 “El papel y las funciones de los foros regionales de ministros de medio ambiente y autoridades del medio ambiente” la cual recordó la resolución 10/V del Consejo de Administración, de 1982, que recomendaba a los Gobiernos de América Latina y el Caribe la convocatoria periódica de reuniones intergubernamentales sobre medio ambiente a fin de establecer políticas y una estrategia regional y pedía a ONU Medio Ambiente prestar apoyo a la Secretaría Permanente, por conducto de su Oficina Regional. </w:t>
      </w:r>
    </w:p>
    <w:p w14:paraId="39C8B213" w14:textId="77777777" w:rsidR="00EE69D0" w:rsidRPr="00D02132" w:rsidRDefault="00EE69D0" w:rsidP="00644A3B">
      <w:pPr>
        <w:pStyle w:val="ListParagraph"/>
        <w:numPr>
          <w:ilvl w:val="0"/>
          <w:numId w:val="4"/>
        </w:numPr>
        <w:spacing w:after="120"/>
        <w:ind w:left="0" w:firstLine="0"/>
        <w:jc w:val="both"/>
        <w:rPr>
          <w:rFonts w:ascii="Roboto" w:hAnsi="Roboto"/>
          <w:sz w:val="22"/>
          <w:szCs w:val="22"/>
          <w:lang w:val="es-PA" w:eastAsia="es-ES"/>
        </w:rPr>
      </w:pPr>
      <w:r w:rsidRPr="00D02132">
        <w:rPr>
          <w:rFonts w:ascii="Roboto" w:hAnsi="Roboto"/>
          <w:sz w:val="22"/>
          <w:szCs w:val="22"/>
          <w:lang w:val="es-PA" w:eastAsia="es-ES"/>
        </w:rPr>
        <w:t>Asimismo, acogió con beneplácito los progresos de los foros regionales de ministros de medio ambiente reconociendo que son importantes para la preparación y seguimiento de los períodos de sesiones de la Asamblea de las Naciones Unidas sobre el Medio Ambiente. Por este motivo se ha avanzado en la sincronización temporal de ambos procesos, de modo que los Foros regionales siempre puedan servir de espacio previo de discusión y posicionamiento regional para los países.</w:t>
      </w:r>
    </w:p>
    <w:p w14:paraId="63645EFD" w14:textId="0F9827C0" w:rsidR="00EE69D0" w:rsidRDefault="00EE69D0" w:rsidP="00EE69D0">
      <w:pPr>
        <w:pStyle w:val="ListParagraph"/>
        <w:numPr>
          <w:ilvl w:val="0"/>
          <w:numId w:val="4"/>
        </w:numPr>
        <w:ind w:left="0" w:firstLine="0"/>
        <w:jc w:val="both"/>
        <w:rPr>
          <w:rFonts w:ascii="Roboto" w:hAnsi="Roboto"/>
          <w:sz w:val="22"/>
          <w:szCs w:val="22"/>
          <w:lang w:val="es-PA" w:eastAsia="es-ES"/>
        </w:rPr>
      </w:pPr>
      <w:r w:rsidRPr="00D02132">
        <w:rPr>
          <w:rFonts w:ascii="Roboto" w:hAnsi="Roboto" w:cs="Arial"/>
          <w:color w:val="000000"/>
          <w:sz w:val="22"/>
          <w:szCs w:val="22"/>
          <w:shd w:val="clear" w:color="auto" w:fill="FFFFFF"/>
          <w:lang w:val="es-PA"/>
        </w:rPr>
        <w:t xml:space="preserve">En la </w:t>
      </w:r>
      <w:r w:rsidR="008E7DFB">
        <w:rPr>
          <w:rFonts w:ascii="Roboto" w:hAnsi="Roboto" w:cs="Arial"/>
          <w:color w:val="000000"/>
          <w:sz w:val="22"/>
          <w:szCs w:val="22"/>
          <w:shd w:val="clear" w:color="auto" w:fill="FFFFFF"/>
          <w:lang w:val="es-PA"/>
        </w:rPr>
        <w:t>T</w:t>
      </w:r>
      <w:r w:rsidRPr="00D02132">
        <w:rPr>
          <w:rFonts w:ascii="Roboto" w:hAnsi="Roboto" w:cs="Arial"/>
          <w:color w:val="000000"/>
          <w:sz w:val="22"/>
          <w:szCs w:val="22"/>
          <w:shd w:val="clear" w:color="auto" w:fill="FFFFFF"/>
          <w:lang w:val="es-PA"/>
        </w:rPr>
        <w:t xml:space="preserve">ercera Asamblea de las Naciones Unidas sobre el Medio Ambiente se ahondó en el papel de este mecanismo </w:t>
      </w:r>
      <w:r w:rsidR="0000659B" w:rsidRPr="00D02132">
        <w:rPr>
          <w:rFonts w:ascii="Roboto" w:hAnsi="Roboto" w:cs="Arial"/>
          <w:color w:val="000000"/>
          <w:sz w:val="22"/>
          <w:szCs w:val="22"/>
          <w:shd w:val="clear" w:color="auto" w:fill="FFFFFF"/>
          <w:lang w:val="es-PA"/>
        </w:rPr>
        <w:t>en relación con</w:t>
      </w:r>
      <w:r w:rsidRPr="00D02132">
        <w:rPr>
          <w:rFonts w:ascii="Roboto" w:hAnsi="Roboto" w:cs="Arial"/>
          <w:color w:val="000000"/>
          <w:sz w:val="22"/>
          <w:szCs w:val="22"/>
          <w:shd w:val="clear" w:color="auto" w:fill="FFFFFF"/>
          <w:lang w:val="es-PA"/>
        </w:rPr>
        <w:t xml:space="preserve"> la dimensión ambiental de la Agenda 2030 tanto en la </w:t>
      </w:r>
      <w:r w:rsidR="007F7218" w:rsidRPr="007F7218">
        <w:rPr>
          <w:rStyle w:val="Hyperlink"/>
          <w:rFonts w:ascii="Roboto" w:hAnsi="Roboto" w:cs="Arial"/>
          <w:color w:val="auto"/>
          <w:sz w:val="22"/>
          <w:szCs w:val="22"/>
          <w:u w:val="none"/>
          <w:shd w:val="clear" w:color="auto" w:fill="FFFFFF"/>
          <w:lang w:val="es-PA"/>
        </w:rPr>
        <w:t>R</w:t>
      </w:r>
      <w:r w:rsidRPr="007F7218">
        <w:rPr>
          <w:rStyle w:val="Hyperlink"/>
          <w:rFonts w:ascii="Roboto" w:hAnsi="Roboto" w:cs="Arial"/>
          <w:color w:val="auto"/>
          <w:sz w:val="22"/>
          <w:szCs w:val="22"/>
          <w:u w:val="none"/>
          <w:shd w:val="clear" w:color="auto" w:fill="FFFFFF"/>
          <w:lang w:val="es-PA"/>
        </w:rPr>
        <w:t>esolución</w:t>
      </w:r>
      <w:r w:rsidRPr="00D02132">
        <w:rPr>
          <w:rFonts w:ascii="Roboto" w:hAnsi="Roboto" w:cs="Arial"/>
          <w:color w:val="000000"/>
          <w:sz w:val="22"/>
          <w:szCs w:val="22"/>
          <w:shd w:val="clear" w:color="auto" w:fill="FFFFFF"/>
          <w:lang w:val="es-PA"/>
        </w:rPr>
        <w:t xml:space="preserve"> </w:t>
      </w:r>
      <w:r w:rsidR="007F7218">
        <w:rPr>
          <w:rFonts w:ascii="Roboto" w:hAnsi="Roboto" w:cs="Arial"/>
          <w:color w:val="000000"/>
          <w:sz w:val="22"/>
          <w:szCs w:val="22"/>
          <w:shd w:val="clear" w:color="auto" w:fill="FFFFFF"/>
          <w:lang w:val="es-PA"/>
        </w:rPr>
        <w:t>3</w:t>
      </w:r>
      <w:r w:rsidRPr="00D02132">
        <w:rPr>
          <w:rFonts w:ascii="Roboto" w:hAnsi="Roboto" w:cs="Arial"/>
          <w:color w:val="000000"/>
          <w:sz w:val="22"/>
          <w:szCs w:val="22"/>
          <w:shd w:val="clear" w:color="auto" w:fill="FFFFFF"/>
          <w:lang w:val="es-PA"/>
        </w:rPr>
        <w:t xml:space="preserve"> sobre las </w:t>
      </w:r>
      <w:r w:rsidR="003E1444">
        <w:rPr>
          <w:rFonts w:ascii="Roboto" w:hAnsi="Roboto"/>
          <w:sz w:val="22"/>
          <w:szCs w:val="22"/>
          <w:lang w:val="es-PA"/>
        </w:rPr>
        <w:t>C</w:t>
      </w:r>
      <w:r w:rsidRPr="00D02132">
        <w:rPr>
          <w:rFonts w:ascii="Roboto" w:hAnsi="Roboto"/>
          <w:sz w:val="22"/>
          <w:szCs w:val="22"/>
          <w:lang w:val="es-PA"/>
        </w:rPr>
        <w:t xml:space="preserve">ontribuciones </w:t>
      </w:r>
      <w:r w:rsidR="003E1444">
        <w:rPr>
          <w:rFonts w:ascii="Roboto" w:hAnsi="Roboto"/>
          <w:sz w:val="22"/>
          <w:szCs w:val="22"/>
          <w:lang w:val="es-PA"/>
        </w:rPr>
        <w:t xml:space="preserve">de las Naciones Unidas sobre el Medio Ambiente </w:t>
      </w:r>
      <w:r w:rsidRPr="00D02132">
        <w:rPr>
          <w:rFonts w:ascii="Roboto" w:hAnsi="Roboto"/>
          <w:sz w:val="22"/>
          <w:szCs w:val="22"/>
          <w:lang w:val="es-PA"/>
        </w:rPr>
        <w:t xml:space="preserve">al </w:t>
      </w:r>
      <w:r w:rsidR="003E1444">
        <w:rPr>
          <w:rFonts w:ascii="Roboto" w:hAnsi="Roboto"/>
          <w:sz w:val="22"/>
          <w:szCs w:val="22"/>
          <w:lang w:val="es-PA"/>
        </w:rPr>
        <w:t>F</w:t>
      </w:r>
      <w:r w:rsidRPr="00D02132">
        <w:rPr>
          <w:rFonts w:ascii="Roboto" w:hAnsi="Roboto"/>
          <w:sz w:val="22"/>
          <w:szCs w:val="22"/>
          <w:lang w:val="es-PA"/>
        </w:rPr>
        <w:t xml:space="preserve">oro </w:t>
      </w:r>
      <w:r w:rsidR="003E1444">
        <w:rPr>
          <w:rFonts w:ascii="Roboto" w:hAnsi="Roboto"/>
          <w:sz w:val="22"/>
          <w:szCs w:val="22"/>
          <w:lang w:val="es-PA"/>
        </w:rPr>
        <w:t>P</w:t>
      </w:r>
      <w:r w:rsidRPr="00D02132">
        <w:rPr>
          <w:rFonts w:ascii="Roboto" w:hAnsi="Roboto"/>
          <w:sz w:val="22"/>
          <w:szCs w:val="22"/>
          <w:lang w:val="es-PA"/>
        </w:rPr>
        <w:t xml:space="preserve">olítico de </w:t>
      </w:r>
      <w:r w:rsidR="003E1444">
        <w:rPr>
          <w:rFonts w:ascii="Roboto" w:hAnsi="Roboto"/>
          <w:sz w:val="22"/>
          <w:szCs w:val="22"/>
          <w:lang w:val="es-PA"/>
        </w:rPr>
        <w:t>A</w:t>
      </w:r>
      <w:r w:rsidRPr="00D02132">
        <w:rPr>
          <w:rFonts w:ascii="Roboto" w:hAnsi="Roboto"/>
          <w:sz w:val="22"/>
          <w:szCs w:val="22"/>
          <w:lang w:val="es-PA"/>
        </w:rPr>
        <w:t xml:space="preserve">lto </w:t>
      </w:r>
      <w:r w:rsidR="003E1444">
        <w:rPr>
          <w:rFonts w:ascii="Roboto" w:hAnsi="Roboto"/>
          <w:sz w:val="22"/>
          <w:szCs w:val="22"/>
          <w:lang w:val="es-PA"/>
        </w:rPr>
        <w:t>N</w:t>
      </w:r>
      <w:r w:rsidRPr="00D02132">
        <w:rPr>
          <w:rFonts w:ascii="Roboto" w:hAnsi="Roboto"/>
          <w:sz w:val="22"/>
          <w:szCs w:val="22"/>
          <w:lang w:val="es-PA"/>
        </w:rPr>
        <w:t xml:space="preserve">ivel sobre el </w:t>
      </w:r>
      <w:r w:rsidR="003E1444">
        <w:rPr>
          <w:rFonts w:ascii="Roboto" w:hAnsi="Roboto"/>
          <w:sz w:val="22"/>
          <w:szCs w:val="22"/>
          <w:lang w:val="es-PA"/>
        </w:rPr>
        <w:t>D</w:t>
      </w:r>
      <w:r w:rsidRPr="00D02132">
        <w:rPr>
          <w:rFonts w:ascii="Roboto" w:hAnsi="Roboto"/>
          <w:sz w:val="22"/>
          <w:szCs w:val="22"/>
          <w:lang w:val="es-PA"/>
        </w:rPr>
        <w:t xml:space="preserve">esarrollo </w:t>
      </w:r>
      <w:r w:rsidR="003E1444">
        <w:rPr>
          <w:rFonts w:ascii="Roboto" w:hAnsi="Roboto"/>
          <w:sz w:val="22"/>
          <w:szCs w:val="22"/>
          <w:lang w:val="es-PA"/>
        </w:rPr>
        <w:t>S</w:t>
      </w:r>
      <w:r w:rsidRPr="00D02132">
        <w:rPr>
          <w:rFonts w:ascii="Roboto" w:hAnsi="Roboto"/>
          <w:sz w:val="22"/>
          <w:szCs w:val="22"/>
          <w:lang w:val="es-PA"/>
        </w:rPr>
        <w:t>ostenible</w:t>
      </w:r>
      <w:r w:rsidR="003E1444">
        <w:rPr>
          <w:rStyle w:val="FootnoteReference"/>
          <w:rFonts w:ascii="Roboto" w:hAnsi="Roboto" w:cs="Arial"/>
          <w:color w:val="000000"/>
          <w:sz w:val="22"/>
          <w:szCs w:val="22"/>
          <w:shd w:val="clear" w:color="auto" w:fill="FFFFFF"/>
          <w:lang w:val="es-PA"/>
        </w:rPr>
        <w:footnoteReference w:id="13"/>
      </w:r>
      <w:r w:rsidRPr="00D02132">
        <w:rPr>
          <w:rFonts w:ascii="Roboto" w:hAnsi="Roboto" w:cs="Arial"/>
          <w:color w:val="000000"/>
          <w:sz w:val="22"/>
          <w:szCs w:val="22"/>
          <w:shd w:val="clear" w:color="auto" w:fill="FFFFFF"/>
          <w:lang w:val="es-PA"/>
        </w:rPr>
        <w:t xml:space="preserve"> como con </w:t>
      </w:r>
      <w:r w:rsidRPr="00D02132">
        <w:rPr>
          <w:rFonts w:ascii="Roboto" w:hAnsi="Roboto"/>
          <w:sz w:val="22"/>
          <w:szCs w:val="22"/>
          <w:lang w:val="es-PA"/>
        </w:rPr>
        <w:t xml:space="preserve">la </w:t>
      </w:r>
      <w:r w:rsidR="00AB7836">
        <w:rPr>
          <w:rFonts w:ascii="Roboto" w:hAnsi="Roboto"/>
          <w:sz w:val="22"/>
          <w:szCs w:val="22"/>
          <w:lang w:val="es-PA"/>
        </w:rPr>
        <w:lastRenderedPageBreak/>
        <w:t>R</w:t>
      </w:r>
      <w:r w:rsidRPr="00D02132">
        <w:rPr>
          <w:rFonts w:ascii="Roboto" w:hAnsi="Roboto"/>
          <w:sz w:val="22"/>
          <w:szCs w:val="22"/>
          <w:lang w:val="es-PA"/>
        </w:rPr>
        <w:t xml:space="preserve">esolución </w:t>
      </w:r>
      <w:r w:rsidR="00AB7836">
        <w:rPr>
          <w:rFonts w:ascii="Roboto" w:hAnsi="Roboto"/>
          <w:sz w:val="22"/>
          <w:szCs w:val="22"/>
          <w:lang w:val="es-PA"/>
        </w:rPr>
        <w:t>5</w:t>
      </w:r>
      <w:r w:rsidRPr="00D02132">
        <w:rPr>
          <w:rFonts w:ascii="Roboto" w:hAnsi="Roboto" w:cs="Arial"/>
          <w:color w:val="000000"/>
          <w:sz w:val="22"/>
          <w:szCs w:val="22"/>
          <w:shd w:val="clear" w:color="auto" w:fill="FFFFFF"/>
          <w:lang w:val="es-PA"/>
        </w:rPr>
        <w:t xml:space="preserve"> que prioriza la </w:t>
      </w:r>
      <w:r w:rsidRPr="00D02132">
        <w:rPr>
          <w:rFonts w:ascii="Roboto" w:hAnsi="Roboto"/>
          <w:sz w:val="22"/>
          <w:szCs w:val="22"/>
          <w:lang w:val="es-PA"/>
        </w:rPr>
        <w:t>inversión en soluciones ambientales innovadoras para acelerar la aplicación de los ODS</w:t>
      </w:r>
      <w:r w:rsidR="0000659B">
        <w:rPr>
          <w:rStyle w:val="FootnoteReference"/>
          <w:rFonts w:ascii="Roboto" w:hAnsi="Roboto"/>
          <w:sz w:val="22"/>
          <w:szCs w:val="22"/>
          <w:lang w:val="es-PA"/>
        </w:rPr>
        <w:footnoteReference w:id="14"/>
      </w:r>
      <w:r w:rsidRPr="00D02132">
        <w:rPr>
          <w:rFonts w:ascii="Roboto" w:hAnsi="Roboto"/>
          <w:sz w:val="22"/>
          <w:szCs w:val="22"/>
          <w:lang w:val="es-PA"/>
        </w:rPr>
        <w:t>.</w:t>
      </w:r>
    </w:p>
    <w:p w14:paraId="0ABEAA6A" w14:textId="402F1BF8" w:rsidR="00482FBD" w:rsidRDefault="00482FBD" w:rsidP="00482FBD">
      <w:pPr>
        <w:pStyle w:val="ListParagraph"/>
        <w:ind w:left="0"/>
        <w:jc w:val="both"/>
        <w:rPr>
          <w:rFonts w:ascii="Roboto" w:hAnsi="Roboto"/>
          <w:sz w:val="22"/>
          <w:szCs w:val="22"/>
          <w:lang w:val="es-PA" w:eastAsia="es-ES"/>
        </w:rPr>
      </w:pPr>
    </w:p>
    <w:p w14:paraId="6A50CDD6" w14:textId="38F5754A" w:rsidR="00501BEC" w:rsidRDefault="00501BEC" w:rsidP="00482FBD">
      <w:pPr>
        <w:pStyle w:val="ListParagraph"/>
        <w:ind w:left="0"/>
        <w:jc w:val="both"/>
        <w:rPr>
          <w:rFonts w:ascii="Roboto" w:hAnsi="Roboto"/>
          <w:sz w:val="22"/>
          <w:szCs w:val="22"/>
          <w:lang w:val="es-PA" w:eastAsia="es-ES"/>
        </w:rPr>
      </w:pPr>
    </w:p>
    <w:p w14:paraId="3BA17CF6" w14:textId="3D43C47B" w:rsidR="00501BEC" w:rsidRDefault="00501BEC" w:rsidP="00482FBD">
      <w:pPr>
        <w:pStyle w:val="ListParagraph"/>
        <w:ind w:left="0"/>
        <w:jc w:val="both"/>
        <w:rPr>
          <w:rFonts w:ascii="Roboto" w:hAnsi="Roboto"/>
          <w:sz w:val="22"/>
          <w:szCs w:val="22"/>
          <w:lang w:val="es-PA" w:eastAsia="es-ES"/>
        </w:rPr>
      </w:pPr>
    </w:p>
    <w:p w14:paraId="6BD577BA" w14:textId="77777777" w:rsidR="00501BEC" w:rsidRPr="00D02132" w:rsidRDefault="00501BEC" w:rsidP="00482FBD">
      <w:pPr>
        <w:pStyle w:val="ListParagraph"/>
        <w:ind w:left="0"/>
        <w:jc w:val="both"/>
        <w:rPr>
          <w:rFonts w:ascii="Roboto" w:hAnsi="Roboto"/>
          <w:sz w:val="22"/>
          <w:szCs w:val="22"/>
          <w:lang w:val="es-PA" w:eastAsia="es-ES"/>
        </w:rPr>
      </w:pPr>
    </w:p>
    <w:p w14:paraId="1C9CF2D1" w14:textId="77777777" w:rsidR="00EE69D0" w:rsidRPr="00D02132" w:rsidRDefault="00EE69D0" w:rsidP="00E10BB1">
      <w:pPr>
        <w:pStyle w:val="ListParagraph"/>
        <w:ind w:left="0"/>
        <w:jc w:val="both"/>
        <w:outlineLvl w:val="0"/>
        <w:rPr>
          <w:rFonts w:ascii="Roboto" w:hAnsi="Roboto"/>
          <w:sz w:val="22"/>
          <w:szCs w:val="22"/>
          <w:u w:val="single"/>
          <w:lang w:val="es-PA" w:eastAsia="es-ES"/>
        </w:rPr>
      </w:pPr>
      <w:r w:rsidRPr="00D02132">
        <w:rPr>
          <w:rFonts w:ascii="Roboto" w:hAnsi="Roboto"/>
          <w:sz w:val="22"/>
          <w:szCs w:val="22"/>
          <w:u w:val="single"/>
          <w:lang w:val="es-PA" w:eastAsia="es-ES"/>
        </w:rPr>
        <w:t>Recomendaciones para seguir implementando esta decisión:</w:t>
      </w:r>
    </w:p>
    <w:p w14:paraId="4C1C0CC6" w14:textId="77777777" w:rsidR="00EE69D0" w:rsidRPr="00D02132" w:rsidRDefault="00EE69D0" w:rsidP="00EE69D0">
      <w:pPr>
        <w:pStyle w:val="ListParagraph"/>
        <w:numPr>
          <w:ilvl w:val="0"/>
          <w:numId w:val="4"/>
        </w:numPr>
        <w:autoSpaceDE w:val="0"/>
        <w:autoSpaceDN w:val="0"/>
        <w:ind w:left="0" w:firstLine="0"/>
        <w:jc w:val="both"/>
        <w:rPr>
          <w:rFonts w:ascii="Roboto" w:hAnsi="Roboto"/>
          <w:sz w:val="22"/>
          <w:szCs w:val="22"/>
          <w:lang w:val="es-PA"/>
        </w:rPr>
      </w:pPr>
      <w:r w:rsidRPr="00D02132">
        <w:rPr>
          <w:rFonts w:ascii="Roboto" w:hAnsi="Roboto"/>
          <w:sz w:val="22"/>
          <w:szCs w:val="22"/>
          <w:lang w:val="es-PA"/>
        </w:rPr>
        <w:t>Algunas de las recomendaciones más importantes incluyen la necesidad de:</w:t>
      </w:r>
    </w:p>
    <w:p w14:paraId="6B22E164" w14:textId="77777777" w:rsidR="00EE69D0" w:rsidRPr="00D02132" w:rsidRDefault="00EE69D0" w:rsidP="00EE69D0">
      <w:pPr>
        <w:pStyle w:val="ListParagraph"/>
        <w:numPr>
          <w:ilvl w:val="0"/>
          <w:numId w:val="31"/>
        </w:numPr>
        <w:autoSpaceDE w:val="0"/>
        <w:autoSpaceDN w:val="0"/>
        <w:ind w:left="709" w:hanging="709"/>
        <w:jc w:val="both"/>
        <w:rPr>
          <w:rFonts w:ascii="Roboto" w:hAnsi="Roboto"/>
          <w:sz w:val="22"/>
          <w:szCs w:val="22"/>
          <w:lang w:val="es-PA"/>
        </w:rPr>
      </w:pPr>
      <w:r w:rsidRPr="00D02132">
        <w:rPr>
          <w:rFonts w:ascii="Roboto" w:hAnsi="Roboto"/>
          <w:sz w:val="22"/>
          <w:szCs w:val="22"/>
          <w:lang w:val="es-PA"/>
        </w:rPr>
        <w:t xml:space="preserve">Incluir a las autoridades ambientales desde el más alto nivel político en los arreglos institucionales establecidos para coordinar y dar seguimiento a la Agenda 2030. </w:t>
      </w:r>
    </w:p>
    <w:p w14:paraId="342DB4E3" w14:textId="77777777" w:rsidR="00EE69D0" w:rsidRPr="00D02132" w:rsidRDefault="00EE69D0" w:rsidP="00EE69D0">
      <w:pPr>
        <w:pStyle w:val="ListParagraph"/>
        <w:numPr>
          <w:ilvl w:val="0"/>
          <w:numId w:val="31"/>
        </w:numPr>
        <w:autoSpaceDE w:val="0"/>
        <w:autoSpaceDN w:val="0"/>
        <w:ind w:left="709" w:hanging="709"/>
        <w:jc w:val="both"/>
        <w:rPr>
          <w:rFonts w:ascii="Roboto" w:hAnsi="Roboto"/>
          <w:sz w:val="22"/>
          <w:szCs w:val="22"/>
          <w:lang w:val="es-PA"/>
        </w:rPr>
      </w:pPr>
      <w:r w:rsidRPr="00D02132">
        <w:rPr>
          <w:rFonts w:ascii="Roboto" w:hAnsi="Roboto"/>
          <w:sz w:val="22"/>
          <w:szCs w:val="22"/>
          <w:lang w:val="es-PA"/>
        </w:rPr>
        <w:t>Realizar un esfuerzo adicional para integrar la sostenibilidad ambiental en todos los ámbitos de las agendas nacionales: sectoriales, subnacionales, locales.</w:t>
      </w:r>
    </w:p>
    <w:p w14:paraId="5881302C" w14:textId="77777777" w:rsidR="00EE69D0" w:rsidRPr="00D02132" w:rsidRDefault="00EE69D0" w:rsidP="00EE69D0">
      <w:pPr>
        <w:pStyle w:val="ListParagraph"/>
        <w:numPr>
          <w:ilvl w:val="0"/>
          <w:numId w:val="31"/>
        </w:numPr>
        <w:autoSpaceDE w:val="0"/>
        <w:autoSpaceDN w:val="0"/>
        <w:ind w:left="709" w:hanging="709"/>
        <w:jc w:val="both"/>
        <w:rPr>
          <w:rFonts w:ascii="Roboto" w:hAnsi="Roboto"/>
          <w:sz w:val="22"/>
          <w:szCs w:val="22"/>
          <w:lang w:val="es-PA"/>
        </w:rPr>
      </w:pPr>
      <w:r w:rsidRPr="00D02132">
        <w:rPr>
          <w:rFonts w:ascii="Roboto" w:hAnsi="Roboto"/>
          <w:sz w:val="22"/>
          <w:szCs w:val="22"/>
          <w:lang w:val="es-PA"/>
        </w:rPr>
        <w:t>Robustecer la dimensión ambiental en la implementación de la Agenda 2030 a nivel nacional y subnacional (“localizar” los ODS) y reflejarlo en los Informes Voluntarios de manera práctica y no solo teórica.</w:t>
      </w:r>
    </w:p>
    <w:p w14:paraId="6F21DB4D" w14:textId="77777777" w:rsidR="00EE69D0" w:rsidRPr="00D02132" w:rsidRDefault="00EE69D0" w:rsidP="00EE69D0">
      <w:pPr>
        <w:pStyle w:val="ListParagraph"/>
        <w:numPr>
          <w:ilvl w:val="0"/>
          <w:numId w:val="31"/>
        </w:numPr>
        <w:autoSpaceDE w:val="0"/>
        <w:autoSpaceDN w:val="0"/>
        <w:ind w:left="709" w:hanging="709"/>
        <w:jc w:val="both"/>
        <w:rPr>
          <w:rFonts w:ascii="Roboto" w:hAnsi="Roboto"/>
          <w:sz w:val="22"/>
          <w:szCs w:val="22"/>
          <w:lang w:val="es-PA"/>
        </w:rPr>
      </w:pPr>
      <w:r w:rsidRPr="00D02132">
        <w:rPr>
          <w:rFonts w:ascii="Roboto" w:hAnsi="Roboto"/>
          <w:sz w:val="22"/>
          <w:szCs w:val="22"/>
          <w:lang w:val="es-PA"/>
        </w:rPr>
        <w:t>Considerar de manera explícita los esfuerzos que los países están realizando para la implementación de los Acuerdos Multilaterales Ambientales y sus aportes a metas específicas de los ODS.</w:t>
      </w:r>
    </w:p>
    <w:p w14:paraId="00E71894" w14:textId="2A91F192" w:rsidR="00EE69D0" w:rsidRPr="00D02132" w:rsidRDefault="00EE69D0" w:rsidP="00EE69D0">
      <w:pPr>
        <w:pStyle w:val="ListParagraph"/>
        <w:numPr>
          <w:ilvl w:val="0"/>
          <w:numId w:val="31"/>
        </w:numPr>
        <w:autoSpaceDE w:val="0"/>
        <w:autoSpaceDN w:val="0"/>
        <w:ind w:left="709" w:hanging="709"/>
        <w:jc w:val="both"/>
        <w:rPr>
          <w:rFonts w:ascii="Roboto" w:hAnsi="Roboto"/>
          <w:sz w:val="22"/>
          <w:szCs w:val="22"/>
          <w:lang w:val="es-PA"/>
        </w:rPr>
      </w:pPr>
      <w:r w:rsidRPr="00D02132">
        <w:rPr>
          <w:rFonts w:ascii="Roboto" w:hAnsi="Roboto"/>
          <w:sz w:val="22"/>
          <w:szCs w:val="22"/>
          <w:lang w:val="es-PA"/>
        </w:rPr>
        <w:t xml:space="preserve">Avanzar </w:t>
      </w:r>
      <w:r w:rsidR="00304B3C">
        <w:rPr>
          <w:rFonts w:ascii="Roboto" w:hAnsi="Roboto"/>
          <w:sz w:val="22"/>
          <w:szCs w:val="22"/>
          <w:lang w:val="es-PA"/>
        </w:rPr>
        <w:t>en los reportes d</w:t>
      </w:r>
      <w:r w:rsidRPr="00D02132">
        <w:rPr>
          <w:rFonts w:ascii="Roboto" w:hAnsi="Roboto"/>
          <w:sz w:val="22"/>
          <w:szCs w:val="22"/>
          <w:lang w:val="es-PA"/>
        </w:rPr>
        <w:t>el grado de coincidencia de los planes nacionales de desarrollo con la Agenda 2030, a mostrar hojas de ruta que definan los cambios necesarios para una transición real hacia el desarrollo sostenible incluyendo sinergias con la descarbonización, la descontaminación y la resiliencia climática y de los ecosistemas.</w:t>
      </w:r>
    </w:p>
    <w:p w14:paraId="3CA6A621" w14:textId="77777777" w:rsidR="00EE69D0" w:rsidRPr="00D02132" w:rsidRDefault="00EE69D0" w:rsidP="00EE69D0">
      <w:pPr>
        <w:pStyle w:val="ListParagraph"/>
        <w:numPr>
          <w:ilvl w:val="0"/>
          <w:numId w:val="31"/>
        </w:numPr>
        <w:autoSpaceDE w:val="0"/>
        <w:autoSpaceDN w:val="0"/>
        <w:ind w:left="709" w:hanging="709"/>
        <w:jc w:val="both"/>
        <w:rPr>
          <w:rFonts w:ascii="Roboto" w:hAnsi="Roboto"/>
          <w:sz w:val="22"/>
          <w:szCs w:val="22"/>
          <w:lang w:val="es-PA"/>
        </w:rPr>
      </w:pPr>
      <w:r w:rsidRPr="00D02132">
        <w:rPr>
          <w:rFonts w:ascii="Roboto" w:eastAsia="Arial" w:hAnsi="Roboto" w:cs="Arial"/>
          <w:sz w:val="22"/>
          <w:szCs w:val="22"/>
          <w:lang w:val="es-PA"/>
        </w:rPr>
        <w:t>Asegurar la producción, gestión y disponibilidad de información ambiental para una toma de decisiones balanceada e integral en materia de desarrollo sostenible.</w:t>
      </w:r>
    </w:p>
    <w:p w14:paraId="60401AF3" w14:textId="77777777" w:rsidR="00EE69D0" w:rsidRPr="00D02132" w:rsidRDefault="00EE69D0" w:rsidP="00EE69D0">
      <w:pPr>
        <w:pStyle w:val="ListParagraph"/>
        <w:numPr>
          <w:ilvl w:val="0"/>
          <w:numId w:val="31"/>
        </w:numPr>
        <w:autoSpaceDE w:val="0"/>
        <w:autoSpaceDN w:val="0"/>
        <w:ind w:left="709" w:hanging="709"/>
        <w:jc w:val="both"/>
        <w:rPr>
          <w:rFonts w:ascii="Roboto" w:hAnsi="Roboto"/>
          <w:sz w:val="22"/>
          <w:szCs w:val="22"/>
          <w:lang w:val="es-PA"/>
        </w:rPr>
      </w:pPr>
      <w:r w:rsidRPr="00D02132">
        <w:rPr>
          <w:rFonts w:ascii="Roboto" w:hAnsi="Roboto"/>
          <w:sz w:val="22"/>
          <w:szCs w:val="22"/>
          <w:lang w:val="es-PA"/>
        </w:rPr>
        <w:t>Reportar los esfuerzos a nivel regional con la implementación de las decisiones del Foro de Ministros de Medio Ambiente y la Iniciativa Latinoamericana para el Desarrollo Sostenible (ILAC) y utilizar estos ámbitos y otros foros regionales para fortalecer la dimensión ambiental de la Agenda 2030, tanto en su implementación como en su seguimiento.</w:t>
      </w:r>
    </w:p>
    <w:p w14:paraId="1656D537" w14:textId="77777777" w:rsidR="00EE69D0" w:rsidRPr="00D02132" w:rsidRDefault="00EE69D0" w:rsidP="00EE69D0">
      <w:pPr>
        <w:ind w:left="709" w:hanging="709"/>
        <w:jc w:val="both"/>
        <w:rPr>
          <w:rFonts w:ascii="Roboto" w:hAnsi="Roboto"/>
          <w:sz w:val="22"/>
          <w:szCs w:val="22"/>
        </w:rPr>
      </w:pPr>
    </w:p>
    <w:p w14:paraId="1C3E58E7" w14:textId="2E409E66" w:rsidR="00EE69D0" w:rsidRDefault="00482FBD" w:rsidP="00E10BB1">
      <w:pPr>
        <w:pStyle w:val="ListParagraph"/>
        <w:ind w:left="0"/>
        <w:jc w:val="both"/>
        <w:outlineLvl w:val="0"/>
        <w:rPr>
          <w:rFonts w:ascii="Roboto" w:hAnsi="Roboto"/>
          <w:b/>
          <w:color w:val="548DD4" w:themeColor="text2" w:themeTint="99"/>
          <w:sz w:val="22"/>
          <w:szCs w:val="22"/>
          <w:lang w:val="es-PA" w:eastAsia="es-ES"/>
        </w:rPr>
      </w:pPr>
      <w:r w:rsidRPr="00D02132">
        <w:rPr>
          <w:rFonts w:ascii="Roboto" w:hAnsi="Roboto"/>
          <w:b/>
          <w:color w:val="548DD4" w:themeColor="text2" w:themeTint="99"/>
          <w:sz w:val="22"/>
          <w:szCs w:val="22"/>
          <w:lang w:val="es-PA" w:eastAsia="es-ES"/>
        </w:rPr>
        <w:t>Actividades a futuro</w:t>
      </w:r>
    </w:p>
    <w:p w14:paraId="00098467" w14:textId="77777777" w:rsidR="00371479" w:rsidRPr="00D02132" w:rsidRDefault="00371479" w:rsidP="00EE69D0">
      <w:pPr>
        <w:pStyle w:val="ListParagraph"/>
        <w:ind w:left="0"/>
        <w:jc w:val="both"/>
        <w:rPr>
          <w:rFonts w:ascii="Roboto" w:hAnsi="Roboto"/>
          <w:b/>
          <w:color w:val="548DD4" w:themeColor="text2" w:themeTint="99"/>
          <w:sz w:val="22"/>
          <w:szCs w:val="22"/>
          <w:lang w:val="es-PA" w:eastAsia="es-ES"/>
        </w:rPr>
      </w:pPr>
    </w:p>
    <w:p w14:paraId="1EE5590E" w14:textId="77777777" w:rsidR="00EE69D0" w:rsidRPr="00D02132" w:rsidRDefault="00EE69D0" w:rsidP="00371479">
      <w:pPr>
        <w:pStyle w:val="ListParagraph"/>
        <w:numPr>
          <w:ilvl w:val="0"/>
          <w:numId w:val="4"/>
        </w:numPr>
        <w:spacing w:after="120"/>
        <w:ind w:left="0" w:firstLine="0"/>
        <w:jc w:val="both"/>
        <w:rPr>
          <w:rFonts w:ascii="Roboto" w:hAnsi="Roboto"/>
          <w:sz w:val="22"/>
          <w:szCs w:val="22"/>
          <w:lang w:val="es-PA" w:eastAsia="es-ES"/>
        </w:rPr>
      </w:pPr>
      <w:r w:rsidRPr="00D02132">
        <w:rPr>
          <w:rFonts w:ascii="Roboto" w:hAnsi="Roboto"/>
          <w:sz w:val="22"/>
          <w:szCs w:val="22"/>
          <w:lang w:val="es-PA" w:eastAsia="es-ES"/>
        </w:rPr>
        <w:t xml:space="preserve">Vincular de manera más específica el fortalecimiento de capacidades estadísticas en indicadores ambientales de la ILAC y la Agenda 2030 con los esfuerzos para la incidencia en política pública para fortalecer la dimensión ambiental de los ODS. </w:t>
      </w:r>
    </w:p>
    <w:p w14:paraId="5F963E55" w14:textId="5AACDF66" w:rsidR="00EE69D0" w:rsidRPr="00D02132" w:rsidRDefault="00EE69D0" w:rsidP="00371479">
      <w:pPr>
        <w:pStyle w:val="ListParagraph"/>
        <w:numPr>
          <w:ilvl w:val="0"/>
          <w:numId w:val="4"/>
        </w:numPr>
        <w:spacing w:after="120"/>
        <w:ind w:left="0" w:firstLine="0"/>
        <w:jc w:val="both"/>
        <w:rPr>
          <w:rFonts w:ascii="Roboto" w:hAnsi="Roboto"/>
          <w:sz w:val="22"/>
          <w:szCs w:val="22"/>
          <w:lang w:val="es-PA" w:eastAsia="es-ES"/>
        </w:rPr>
      </w:pPr>
      <w:r w:rsidRPr="00D02132">
        <w:rPr>
          <w:rFonts w:ascii="Roboto" w:hAnsi="Roboto"/>
          <w:sz w:val="22"/>
          <w:szCs w:val="22"/>
          <w:lang w:val="es-PA" w:eastAsia="es-ES"/>
        </w:rPr>
        <w:t xml:space="preserve">De parte de ONU Medio Ambiente, se prevé trabajo concreto en Colombia y Guyana </w:t>
      </w:r>
      <w:r w:rsidR="00304B3C">
        <w:rPr>
          <w:rFonts w:ascii="Roboto" w:hAnsi="Roboto"/>
          <w:sz w:val="22"/>
          <w:szCs w:val="22"/>
          <w:lang w:val="es-PA" w:eastAsia="es-ES"/>
        </w:rPr>
        <w:t>durante</w:t>
      </w:r>
      <w:r w:rsidRPr="00D02132">
        <w:rPr>
          <w:rFonts w:ascii="Roboto" w:hAnsi="Roboto"/>
          <w:sz w:val="22"/>
          <w:szCs w:val="22"/>
          <w:lang w:val="es-PA" w:eastAsia="es-ES"/>
        </w:rPr>
        <w:t xml:space="preserve"> 2018. Es necesario identificar necesidades concretas de asistencia técnica en otros países para avanzar en su implementación. </w:t>
      </w:r>
    </w:p>
    <w:p w14:paraId="21E23153" w14:textId="77777777" w:rsidR="00EE69D0" w:rsidRPr="00D02132" w:rsidRDefault="00EE69D0" w:rsidP="00371479">
      <w:pPr>
        <w:pStyle w:val="ListParagraph"/>
        <w:numPr>
          <w:ilvl w:val="0"/>
          <w:numId w:val="4"/>
        </w:numPr>
        <w:spacing w:after="120"/>
        <w:ind w:left="0" w:firstLine="0"/>
        <w:jc w:val="both"/>
        <w:rPr>
          <w:rFonts w:ascii="Roboto" w:hAnsi="Roboto"/>
          <w:sz w:val="22"/>
          <w:szCs w:val="22"/>
          <w:lang w:val="es-PA" w:eastAsia="es-ES"/>
        </w:rPr>
      </w:pPr>
      <w:r w:rsidRPr="00D02132">
        <w:rPr>
          <w:rFonts w:ascii="Roboto" w:hAnsi="Roboto"/>
          <w:sz w:val="22"/>
          <w:szCs w:val="22"/>
          <w:lang w:val="es-PA" w:eastAsia="es-ES"/>
        </w:rPr>
        <w:t>También se prevé seguir coordinando esfuerzos con los equipos de país de Naciones Unidas para seguir respondiendo a demandas concretas de los países de la región, por ejemplo, para continuar apoyando la elaboración de Informes Voluntarios Nacionales.</w:t>
      </w:r>
    </w:p>
    <w:p w14:paraId="7D8B0CF3" w14:textId="77777777" w:rsidR="00EE69D0" w:rsidRPr="00D02132" w:rsidRDefault="00EE69D0" w:rsidP="00EE69D0">
      <w:pPr>
        <w:pStyle w:val="ListParagraph"/>
        <w:numPr>
          <w:ilvl w:val="0"/>
          <w:numId w:val="4"/>
        </w:numPr>
        <w:ind w:left="0" w:firstLine="0"/>
        <w:jc w:val="both"/>
        <w:rPr>
          <w:rFonts w:ascii="Roboto" w:hAnsi="Roboto"/>
          <w:sz w:val="22"/>
          <w:szCs w:val="22"/>
          <w:lang w:val="es-PA" w:eastAsia="es-ES"/>
        </w:rPr>
      </w:pPr>
      <w:r w:rsidRPr="00D02132">
        <w:rPr>
          <w:rFonts w:ascii="Roboto" w:hAnsi="Roboto"/>
          <w:sz w:val="22"/>
          <w:szCs w:val="22"/>
          <w:lang w:val="es-PA" w:eastAsia="es-ES"/>
        </w:rPr>
        <w:t xml:space="preserve">Seguir divulgando buenas prácticas y herramientas para fortalecer la dimensión ambiental de los ODS, incluyendo las ya desarrolladas por los países de la región, y experiencias integradoras como la Iniciativa de Pobreza y Medio Ambiente. </w:t>
      </w:r>
    </w:p>
    <w:p w14:paraId="5A7CB146" w14:textId="77777777" w:rsidR="003461EE" w:rsidRPr="00D02132" w:rsidRDefault="003461EE" w:rsidP="00816572">
      <w:pPr>
        <w:spacing w:line="276" w:lineRule="auto"/>
        <w:rPr>
          <w:rFonts w:ascii="Roboto" w:eastAsia="Times New Roman" w:hAnsi="Roboto" w:cs="Tahoma"/>
          <w:bCs/>
          <w:sz w:val="22"/>
          <w:szCs w:val="22"/>
        </w:rPr>
      </w:pPr>
    </w:p>
    <w:p w14:paraId="7CA9B2F4" w14:textId="77777777" w:rsidR="003461EE" w:rsidRPr="00D02132" w:rsidRDefault="003461EE" w:rsidP="00816572">
      <w:pPr>
        <w:spacing w:line="276" w:lineRule="auto"/>
        <w:rPr>
          <w:rFonts w:ascii="Roboto" w:eastAsia="Times New Roman" w:hAnsi="Roboto" w:cs="Tahoma"/>
          <w:sz w:val="22"/>
          <w:szCs w:val="22"/>
        </w:rPr>
      </w:pPr>
    </w:p>
    <w:p w14:paraId="15432365" w14:textId="28835956" w:rsidR="00A02E4F" w:rsidRDefault="00A02E4F" w:rsidP="00816572">
      <w:pPr>
        <w:spacing w:line="276" w:lineRule="auto"/>
        <w:rPr>
          <w:rFonts w:ascii="Roboto" w:eastAsia="Times New Roman" w:hAnsi="Roboto" w:cs="Tahoma"/>
          <w:sz w:val="22"/>
          <w:szCs w:val="22"/>
        </w:rPr>
      </w:pPr>
    </w:p>
    <w:p w14:paraId="5206F6E2" w14:textId="703A103E" w:rsidR="000E7688" w:rsidRDefault="000E7688" w:rsidP="00816572">
      <w:pPr>
        <w:spacing w:line="276" w:lineRule="auto"/>
        <w:rPr>
          <w:rFonts w:ascii="Roboto" w:eastAsia="Times New Roman" w:hAnsi="Roboto" w:cs="Tahoma"/>
          <w:sz w:val="22"/>
          <w:szCs w:val="22"/>
        </w:rPr>
      </w:pPr>
    </w:p>
    <w:p w14:paraId="7E8E1A0C" w14:textId="2C8A448F" w:rsidR="000E7688" w:rsidRDefault="000E7688" w:rsidP="00816572">
      <w:pPr>
        <w:spacing w:line="276" w:lineRule="auto"/>
        <w:rPr>
          <w:rFonts w:ascii="Roboto" w:eastAsia="Times New Roman" w:hAnsi="Roboto" w:cs="Tahoma"/>
          <w:sz w:val="22"/>
          <w:szCs w:val="22"/>
        </w:rPr>
      </w:pPr>
    </w:p>
    <w:p w14:paraId="4F74E1B6" w14:textId="5203F30F" w:rsidR="000E7688" w:rsidRDefault="000E7688" w:rsidP="00816572">
      <w:pPr>
        <w:spacing w:line="276" w:lineRule="auto"/>
        <w:rPr>
          <w:rFonts w:ascii="Roboto" w:eastAsia="Times New Roman" w:hAnsi="Roboto" w:cs="Tahoma"/>
          <w:sz w:val="22"/>
          <w:szCs w:val="22"/>
        </w:rPr>
      </w:pPr>
    </w:p>
    <w:p w14:paraId="7C906E85" w14:textId="77777777" w:rsidR="000E7688" w:rsidRPr="00D02132" w:rsidRDefault="000E7688" w:rsidP="00816572">
      <w:pPr>
        <w:spacing w:line="276" w:lineRule="auto"/>
        <w:rPr>
          <w:rFonts w:ascii="Roboto" w:eastAsia="Times New Roman" w:hAnsi="Roboto" w:cs="Tahoma"/>
          <w:sz w:val="22"/>
          <w:szCs w:val="22"/>
        </w:rPr>
      </w:pPr>
    </w:p>
    <w:p w14:paraId="4BB18AC5" w14:textId="77777777" w:rsidR="003461EE" w:rsidRPr="00D02132" w:rsidRDefault="003461EE" w:rsidP="00816572">
      <w:pPr>
        <w:spacing w:line="276" w:lineRule="auto"/>
        <w:jc w:val="center"/>
        <w:rPr>
          <w:rFonts w:ascii="Roboto" w:eastAsia="Times New Roman" w:hAnsi="Roboto" w:cs="Tahoma"/>
          <w:b/>
          <w:bCs/>
          <w:sz w:val="32"/>
          <w:szCs w:val="32"/>
        </w:rPr>
      </w:pPr>
      <w:r w:rsidRPr="00D02132">
        <w:rPr>
          <w:rFonts w:ascii="Roboto" w:eastAsia="Times New Roman" w:hAnsi="Roboto" w:cs="Tahoma"/>
          <w:b/>
          <w:bCs/>
          <w:sz w:val="32"/>
          <w:szCs w:val="32"/>
        </w:rPr>
        <w:t>Decisión 5 - Principio 10 de la Declaración de Río - Acceso a la Información, Participación Pública y Acceso a la Justicia en Materia Ambiental</w:t>
      </w:r>
    </w:p>
    <w:p w14:paraId="7525806E" w14:textId="77777777" w:rsidR="003461EE" w:rsidRPr="00D02132" w:rsidRDefault="003461EE" w:rsidP="00816572">
      <w:pPr>
        <w:spacing w:line="276" w:lineRule="auto"/>
        <w:rPr>
          <w:rFonts w:ascii="Roboto" w:eastAsia="Times New Roman" w:hAnsi="Roboto" w:cs="Tahoma"/>
          <w:bCs/>
          <w:sz w:val="22"/>
          <w:szCs w:val="22"/>
        </w:rPr>
      </w:pPr>
    </w:p>
    <w:p w14:paraId="7BD58F06" w14:textId="3DC74DFC" w:rsidR="00782842" w:rsidRPr="00D02132" w:rsidRDefault="00782842" w:rsidP="00371479">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Por medio de la Decisión 5, la XX Reunión del Foro de Ministros  tomó nota de los avances  a nivel nacional para fortalecer los derechos consagrados en el Principio 10,  y los desafíos  pendientes para su implementación</w:t>
      </w:r>
      <w:r w:rsidR="00304B3C">
        <w:rPr>
          <w:rFonts w:ascii="Roboto" w:hAnsi="Roboto" w:cs="Tahoma"/>
          <w:bCs/>
          <w:sz w:val="22"/>
          <w:szCs w:val="22"/>
          <w:lang w:val="es-PA"/>
        </w:rPr>
        <w:t>,</w:t>
      </w:r>
      <w:r w:rsidRPr="00D02132">
        <w:rPr>
          <w:rFonts w:ascii="Roboto" w:hAnsi="Roboto" w:cs="Tahoma"/>
          <w:bCs/>
          <w:sz w:val="22"/>
          <w:szCs w:val="22"/>
          <w:lang w:val="es-PA"/>
        </w:rPr>
        <w:t xml:space="preserve"> las condiciones particulares de cada país,  así como del proceso  de la Declaración sobre la aplicación del Principio 10 de la Declaración de Río sobre el Medio Ambiente y el Desarrollo en América Latina y el Caribe, en particular  la conformación y funcionamiento de un Comité intergubernamental de Negociación que cuenta con CEPAL como secretaría técnic</w:t>
      </w:r>
      <w:r w:rsidR="00A74929">
        <w:rPr>
          <w:rFonts w:ascii="Roboto" w:hAnsi="Roboto" w:cs="Tahoma"/>
          <w:bCs/>
          <w:sz w:val="22"/>
          <w:szCs w:val="22"/>
          <w:lang w:val="es-PA"/>
        </w:rPr>
        <w:t>a.</w:t>
      </w:r>
      <w:r w:rsidRPr="00D02132">
        <w:rPr>
          <w:rFonts w:ascii="Roboto" w:hAnsi="Roboto" w:cs="Tahoma"/>
          <w:bCs/>
          <w:sz w:val="22"/>
          <w:szCs w:val="22"/>
          <w:lang w:val="es-PA"/>
        </w:rPr>
        <w:t xml:space="preserve">  </w:t>
      </w:r>
    </w:p>
    <w:p w14:paraId="4ADCCFDE" w14:textId="7597ECE5" w:rsidR="00782842" w:rsidRPr="00D02132" w:rsidRDefault="00782842" w:rsidP="00371479">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En este contexto, se decidió : 1).Reafirmar el compromiso de trabajar hacia el logro de la plena implementación en América Latina y el Caribe del Principio 10 de la Declaración de Río de Janeiro sobre Medio Ambiente y Desarrollo, y 2) Continuar  los esfuerzos para el  fortalecimiento del diálogo y la cooperación regional,  la asistencia técnica y la creación de capacidades, en apoyo a la construcción e implementación de una agenda regional propia en materia de derechos de acceso, considerando los  avances, instrumentos, experiencias y prácticas existentes en la materia desde la consagración del Principio 10 de la Declaración de Río sobre el Medio Ambiente y el Desarrollo, incluido el proceso de negociación intergubernamental en curso en el que participan los países de la región que han adherido a la Declaración </w:t>
      </w:r>
      <w:r w:rsidR="006E0A83">
        <w:rPr>
          <w:rFonts w:ascii="Roboto" w:hAnsi="Roboto" w:cs="Tahoma"/>
          <w:bCs/>
          <w:sz w:val="22"/>
          <w:szCs w:val="22"/>
          <w:lang w:val="es-PA"/>
        </w:rPr>
        <w:t xml:space="preserve">No. </w:t>
      </w:r>
      <w:r w:rsidRPr="00D02132">
        <w:rPr>
          <w:rFonts w:ascii="Roboto" w:hAnsi="Roboto" w:cs="Tahoma"/>
          <w:bCs/>
          <w:sz w:val="22"/>
          <w:szCs w:val="22"/>
          <w:lang w:val="es-PA"/>
        </w:rPr>
        <w:t>A/CONF.216/13 sobre la aplicación del Principio 10.</w:t>
      </w:r>
    </w:p>
    <w:p w14:paraId="141F46B3" w14:textId="31E1BE17" w:rsidR="00782842" w:rsidRPr="00D02132" w:rsidRDefault="00782842" w:rsidP="00371479">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En  Mayo de 2016, la Asamblea de las Naciones Unidas para el Medio Ambiente adoptó  la Resolución  2 /25 “ Aplicación del Principio 10 de la Declaración de Río sobre el Medio Ambiente y el Desarrollo en la región de América Latina y el Caribe” </w:t>
      </w:r>
      <w:r w:rsidR="00304B3C">
        <w:rPr>
          <w:rFonts w:ascii="Roboto" w:hAnsi="Roboto" w:cs="Tahoma"/>
          <w:bCs/>
          <w:sz w:val="22"/>
          <w:szCs w:val="22"/>
          <w:lang w:val="es-PA"/>
        </w:rPr>
        <w:t xml:space="preserve"> y</w:t>
      </w:r>
      <w:r w:rsidRPr="00D02132">
        <w:rPr>
          <w:rFonts w:ascii="Roboto" w:hAnsi="Roboto" w:cs="Tahoma"/>
          <w:bCs/>
          <w:sz w:val="22"/>
          <w:szCs w:val="22"/>
          <w:lang w:val="es-PA"/>
        </w:rPr>
        <w:t xml:space="preserve"> </w:t>
      </w:r>
      <w:r w:rsidR="00A74929" w:rsidRPr="00D02132">
        <w:rPr>
          <w:rFonts w:ascii="Roboto" w:hAnsi="Roboto" w:cs="Tahoma"/>
          <w:bCs/>
          <w:sz w:val="22"/>
          <w:szCs w:val="22"/>
          <w:lang w:val="es-PA"/>
        </w:rPr>
        <w:t>tomó</w:t>
      </w:r>
      <w:r w:rsidRPr="00D02132">
        <w:rPr>
          <w:rFonts w:ascii="Roboto" w:hAnsi="Roboto" w:cs="Tahoma"/>
          <w:bCs/>
          <w:sz w:val="22"/>
          <w:szCs w:val="22"/>
          <w:lang w:val="es-PA"/>
        </w:rPr>
        <w:t xml:space="preserve"> nota del progreso logrado en la región de América Latina y el Caribe para favorecer la concreción de un acuerdo regional sobre el acceso a la información, la participación pública y el acceso a la justicia en asuntos ambientales, consagrados en el Principio 10 de la Declaración de Río de 1992, con el respaldo de la Comisión Económica para América Latina y el Caribe en calidad de secretaría técnica.</w:t>
      </w:r>
    </w:p>
    <w:p w14:paraId="0EE80CB5" w14:textId="518490DF" w:rsidR="00782842" w:rsidRPr="00D02132" w:rsidRDefault="00782842" w:rsidP="00371479">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ONU Medio Ambiente desarrolló y presentó en la región la guía de implementación "Poner en práctica el Principio 10 de Río</w:t>
      </w:r>
      <w:r w:rsidR="00870578">
        <w:rPr>
          <w:rStyle w:val="FootnoteReference"/>
          <w:rFonts w:ascii="Roboto" w:hAnsi="Roboto" w:cs="Tahoma"/>
          <w:bCs/>
          <w:sz w:val="22"/>
          <w:szCs w:val="22"/>
          <w:lang w:val="es-PA"/>
        </w:rPr>
        <w:footnoteReference w:id="15"/>
      </w:r>
      <w:r w:rsidRPr="00D02132">
        <w:rPr>
          <w:rFonts w:ascii="Roboto" w:hAnsi="Roboto" w:cs="Tahoma"/>
          <w:bCs/>
          <w:sz w:val="22"/>
          <w:szCs w:val="22"/>
          <w:lang w:val="es-PA"/>
        </w:rPr>
        <w:t>" (octubre de 201</w:t>
      </w:r>
      <w:r w:rsidR="00870578">
        <w:rPr>
          <w:rFonts w:ascii="Roboto" w:hAnsi="Roboto" w:cs="Tahoma"/>
          <w:bCs/>
          <w:sz w:val="22"/>
          <w:szCs w:val="22"/>
          <w:lang w:val="es-PA"/>
        </w:rPr>
        <w:t>5</w:t>
      </w:r>
      <w:r w:rsidRPr="00D02132">
        <w:rPr>
          <w:rFonts w:ascii="Roboto" w:hAnsi="Roboto" w:cs="Tahoma"/>
          <w:bCs/>
          <w:sz w:val="22"/>
          <w:szCs w:val="22"/>
          <w:lang w:val="es-PA"/>
        </w:rPr>
        <w:t xml:space="preserve">), organizó el Conversatorio de Alto Nivel sobre Justicia Ambiental y Derechos de Acceso para el Desarrollo Sostenible en </w:t>
      </w:r>
      <w:r w:rsidRPr="00D02132">
        <w:rPr>
          <w:rFonts w:ascii="Roboto" w:hAnsi="Roboto" w:cs="Tahoma"/>
          <w:bCs/>
          <w:sz w:val="22"/>
          <w:szCs w:val="22"/>
          <w:lang w:val="es-PA"/>
        </w:rPr>
        <w:lastRenderedPageBreak/>
        <w:t xml:space="preserve">América Latina y el Caribe, con la participación de magistrados de tribunales supremos de países de la región, y </w:t>
      </w:r>
      <w:r w:rsidR="000B00F2" w:rsidRPr="00D02132">
        <w:rPr>
          <w:rFonts w:ascii="Roboto" w:hAnsi="Roboto" w:cs="Tahoma"/>
          <w:bCs/>
          <w:sz w:val="22"/>
          <w:szCs w:val="22"/>
          <w:lang w:val="es-PA"/>
        </w:rPr>
        <w:t>apoy</w:t>
      </w:r>
      <w:r w:rsidR="000B00F2">
        <w:rPr>
          <w:rFonts w:ascii="Roboto" w:hAnsi="Roboto" w:cs="Tahoma"/>
          <w:bCs/>
          <w:sz w:val="22"/>
          <w:szCs w:val="22"/>
          <w:lang w:val="es-PA"/>
        </w:rPr>
        <w:t>ó</w:t>
      </w:r>
      <w:r w:rsidRPr="00D02132">
        <w:rPr>
          <w:rFonts w:ascii="Roboto" w:hAnsi="Roboto" w:cs="Tahoma"/>
          <w:bCs/>
          <w:sz w:val="22"/>
          <w:szCs w:val="22"/>
          <w:lang w:val="es-PA"/>
        </w:rPr>
        <w:t xml:space="preserve"> </w:t>
      </w:r>
      <w:r w:rsidR="000B00F2">
        <w:rPr>
          <w:rFonts w:ascii="Roboto" w:hAnsi="Roboto" w:cs="Tahoma"/>
          <w:bCs/>
          <w:sz w:val="22"/>
          <w:szCs w:val="22"/>
          <w:lang w:val="es-PA"/>
        </w:rPr>
        <w:t>a</w:t>
      </w:r>
      <w:r w:rsidRPr="00D02132">
        <w:rPr>
          <w:rFonts w:ascii="Roboto" w:hAnsi="Roboto" w:cs="Tahoma"/>
          <w:bCs/>
          <w:sz w:val="22"/>
          <w:szCs w:val="22"/>
          <w:lang w:val="es-PA"/>
        </w:rPr>
        <w:t xml:space="preserve">l Observatorio Regional  del  Principio 10, una iniciativa  hospedada por CEPAL para contribuir a un mejor conocimiento, difusión e implementación de los derechos de acceso a la información, la participación pública y el acceso a la justicia en asuntos ambientales. </w:t>
      </w:r>
    </w:p>
    <w:p w14:paraId="773C40C3" w14:textId="77777777" w:rsidR="00782842" w:rsidRPr="00D02132" w:rsidRDefault="00782842" w:rsidP="00371479">
      <w:pPr>
        <w:pStyle w:val="NormalWeb"/>
        <w:numPr>
          <w:ilvl w:val="0"/>
          <w:numId w:val="4"/>
        </w:numPr>
        <w:shd w:val="clear" w:color="auto" w:fill="FFFFFF"/>
        <w:spacing w:before="0" w:beforeAutospacing="0" w:after="120" w:afterAutospacing="0" w:line="276" w:lineRule="auto"/>
        <w:ind w:left="0" w:firstLine="0"/>
        <w:jc w:val="both"/>
        <w:rPr>
          <w:rFonts w:ascii="Roboto" w:hAnsi="Roboto"/>
          <w:sz w:val="22"/>
          <w:szCs w:val="22"/>
        </w:rPr>
      </w:pPr>
      <w:r w:rsidRPr="00D02132">
        <w:rPr>
          <w:rFonts w:ascii="Roboto" w:hAnsi="Roboto"/>
          <w:sz w:val="22"/>
          <w:szCs w:val="22"/>
        </w:rPr>
        <w:t>En marzo de 2018, ONU Medio Ambiente lanzó la Iniciativa sobre Derechos Ambientales, cuyo objetivo general es “dar acceso más cercano a la población en materia de protección ambiental brindando asistencia al Estado y demás actores, para promover, proteger y respetar los derechos ambientales”. Los objetivos particulares son: promover la sensibilización y crear conciencia sobre los derechos ambientales y las violaciones que sufren, inclusive alertando sobre la situación de vulnerabilidad que enfrentan los defensores ambientales.</w:t>
      </w:r>
    </w:p>
    <w:p w14:paraId="5D8D5DD7" w14:textId="77777777" w:rsidR="00782842" w:rsidRPr="00D02132" w:rsidRDefault="00782842" w:rsidP="00371479">
      <w:pPr>
        <w:pStyle w:val="NormalWeb"/>
        <w:numPr>
          <w:ilvl w:val="0"/>
          <w:numId w:val="4"/>
        </w:numPr>
        <w:spacing w:before="0" w:beforeAutospacing="0" w:after="120" w:afterAutospacing="0" w:line="276" w:lineRule="auto"/>
        <w:ind w:left="0" w:firstLine="0"/>
        <w:rPr>
          <w:rFonts w:ascii="Roboto" w:hAnsi="Roboto"/>
          <w:sz w:val="22"/>
          <w:szCs w:val="22"/>
        </w:rPr>
      </w:pPr>
      <w:r w:rsidRPr="00D02132">
        <w:rPr>
          <w:rFonts w:ascii="Roboto" w:hAnsi="Roboto"/>
          <w:sz w:val="22"/>
          <w:szCs w:val="22"/>
        </w:rPr>
        <w:t>Luego de nueve rondas de negociación, el Comité de Negociación aprobó el Acuerdo Regional sobre el Acceso a la Información, la Participación Pública y el Acceso a la Justicia en Asuntos Ambientales en América Latina y el Caribe, en Escazú, Costa Rica, el 4 de marzo de 2018.</w:t>
      </w:r>
    </w:p>
    <w:p w14:paraId="1355FB9E" w14:textId="431F4A0C" w:rsidR="00782842" w:rsidRPr="00D02132" w:rsidRDefault="00782842" w:rsidP="00FC64D5">
      <w:pPr>
        <w:pStyle w:val="NormalWeb"/>
        <w:numPr>
          <w:ilvl w:val="0"/>
          <w:numId w:val="4"/>
        </w:numPr>
        <w:spacing w:before="0" w:beforeAutospacing="0" w:after="0" w:afterAutospacing="0" w:line="276" w:lineRule="auto"/>
        <w:ind w:left="0" w:firstLine="0"/>
        <w:rPr>
          <w:rFonts w:ascii="Roboto" w:hAnsi="Roboto"/>
          <w:sz w:val="22"/>
          <w:szCs w:val="22"/>
        </w:rPr>
      </w:pPr>
      <w:r w:rsidRPr="00D02132">
        <w:rPr>
          <w:rFonts w:ascii="Roboto" w:hAnsi="Roboto"/>
          <w:sz w:val="22"/>
          <w:szCs w:val="22"/>
        </w:rPr>
        <w:t xml:space="preserve">El Acuerdo de Escazú se abrirá a la firma de los 33 países de la región el 27 de septiembre de 2018 en la sede de las Naciones Unidas en Nueva York, coincidiendo con la apertura del debate anual de la Asamblea General de la ONU. A partir de ese momento, estará sujeto a la ratificación de aquellos países que lo hayan firmado. Para entrar en vigor, requerirá de 11 Estados Parte.  Durante el Foro Político de Alto Nivel de las Naciones Unidas se realizó un </w:t>
      </w:r>
      <w:r w:rsidR="00C9128C" w:rsidRPr="00D02132">
        <w:rPr>
          <w:rFonts w:ascii="Roboto" w:hAnsi="Roboto"/>
          <w:sz w:val="22"/>
          <w:szCs w:val="22"/>
        </w:rPr>
        <w:t>evento paralelo</w:t>
      </w:r>
      <w:r w:rsidRPr="00D02132">
        <w:rPr>
          <w:rFonts w:ascii="Roboto" w:hAnsi="Roboto"/>
          <w:sz w:val="22"/>
          <w:szCs w:val="22"/>
        </w:rPr>
        <w:t xml:space="preserve"> para la difusión del Acuerdo y la promoción de su firma. </w:t>
      </w:r>
    </w:p>
    <w:p w14:paraId="64A28F33" w14:textId="77777777" w:rsidR="00733DEF" w:rsidRPr="00D02132" w:rsidRDefault="00733DEF" w:rsidP="00816572">
      <w:pPr>
        <w:spacing w:line="276" w:lineRule="auto"/>
        <w:rPr>
          <w:rFonts w:ascii="Roboto" w:eastAsia="Times New Roman" w:hAnsi="Roboto" w:cs="Tahoma"/>
          <w:bCs/>
          <w:sz w:val="22"/>
          <w:szCs w:val="22"/>
        </w:rPr>
      </w:pPr>
    </w:p>
    <w:p w14:paraId="4B5C7736" w14:textId="77777777" w:rsidR="001A46B2" w:rsidRPr="00D02132" w:rsidRDefault="001A46B2" w:rsidP="00816572">
      <w:pPr>
        <w:spacing w:line="276" w:lineRule="auto"/>
        <w:rPr>
          <w:rFonts w:ascii="Roboto" w:eastAsia="Times New Roman" w:hAnsi="Roboto" w:cs="Tahoma"/>
          <w:bCs/>
          <w:sz w:val="22"/>
          <w:szCs w:val="22"/>
        </w:rPr>
      </w:pPr>
    </w:p>
    <w:p w14:paraId="35562ABC" w14:textId="77777777" w:rsidR="00A92EF3" w:rsidRPr="00D02132" w:rsidRDefault="00A92EF3" w:rsidP="00E10BB1">
      <w:pPr>
        <w:spacing w:line="276" w:lineRule="auto"/>
        <w:jc w:val="center"/>
        <w:outlineLvl w:val="0"/>
        <w:rPr>
          <w:rFonts w:ascii="Roboto" w:eastAsia="Times New Roman" w:hAnsi="Roboto" w:cs="Tahoma"/>
          <w:b/>
          <w:bCs/>
          <w:sz w:val="32"/>
          <w:szCs w:val="32"/>
        </w:rPr>
      </w:pPr>
      <w:r w:rsidRPr="00D02132">
        <w:rPr>
          <w:rFonts w:ascii="Roboto" w:eastAsia="Times New Roman" w:hAnsi="Roboto" w:cs="Tahoma"/>
          <w:b/>
          <w:bCs/>
          <w:sz w:val="32"/>
          <w:szCs w:val="32"/>
        </w:rPr>
        <w:t>Decisión 6 – Consumo y Producción Sostenible</w:t>
      </w:r>
    </w:p>
    <w:p w14:paraId="45B23926" w14:textId="77777777" w:rsidR="00A92EF3" w:rsidRPr="00D02132" w:rsidRDefault="00A92EF3" w:rsidP="00816572">
      <w:pPr>
        <w:spacing w:line="276" w:lineRule="auto"/>
        <w:rPr>
          <w:rFonts w:ascii="Roboto" w:eastAsia="Times New Roman" w:hAnsi="Roboto" w:cs="Tahoma"/>
          <w:bCs/>
          <w:sz w:val="22"/>
          <w:szCs w:val="22"/>
        </w:rPr>
      </w:pPr>
    </w:p>
    <w:p w14:paraId="61475240" w14:textId="06FFE83F" w:rsidR="00BF679E" w:rsidRPr="007A31FC" w:rsidRDefault="001A11B2" w:rsidP="00BF679E">
      <w:pPr>
        <w:pStyle w:val="ListParagraph"/>
        <w:spacing w:after="120" w:line="276" w:lineRule="auto"/>
        <w:ind w:left="0"/>
        <w:rPr>
          <w:rFonts w:ascii="Roboto" w:hAnsi="Roboto" w:cs="Tahoma"/>
          <w:bCs/>
          <w:sz w:val="22"/>
          <w:szCs w:val="22"/>
          <w:u w:val="single"/>
          <w:lang w:val="es-PA"/>
        </w:rPr>
      </w:pPr>
      <w:r>
        <w:rPr>
          <w:rFonts w:ascii="Roboto" w:hAnsi="Roboto" w:cs="Tahoma"/>
          <w:bCs/>
          <w:sz w:val="22"/>
          <w:szCs w:val="22"/>
          <w:u w:val="single"/>
          <w:lang w:val="es-PA"/>
        </w:rPr>
        <w:t xml:space="preserve">Marco Decenal de Programas </w:t>
      </w:r>
      <w:r w:rsidR="00734067">
        <w:rPr>
          <w:rFonts w:ascii="Roboto" w:hAnsi="Roboto" w:cs="Tahoma"/>
          <w:bCs/>
          <w:sz w:val="22"/>
          <w:szCs w:val="22"/>
          <w:u w:val="single"/>
          <w:lang w:val="es-PA"/>
        </w:rPr>
        <w:t>sobre</w:t>
      </w:r>
      <w:r>
        <w:rPr>
          <w:rFonts w:ascii="Roboto" w:hAnsi="Roboto" w:cs="Tahoma"/>
          <w:bCs/>
          <w:sz w:val="22"/>
          <w:szCs w:val="22"/>
          <w:u w:val="single"/>
          <w:lang w:val="es-PA"/>
        </w:rPr>
        <w:t xml:space="preserve"> Consumo y Producción Sostenible (</w:t>
      </w:r>
      <w:r w:rsidR="00BF679E" w:rsidRPr="007A31FC">
        <w:rPr>
          <w:rFonts w:ascii="Roboto" w:hAnsi="Roboto" w:cs="Tahoma"/>
          <w:bCs/>
          <w:sz w:val="22"/>
          <w:szCs w:val="22"/>
          <w:u w:val="single"/>
          <w:lang w:val="es-PA"/>
        </w:rPr>
        <w:t>10YFP</w:t>
      </w:r>
      <w:r>
        <w:rPr>
          <w:rFonts w:ascii="Roboto" w:hAnsi="Roboto" w:cs="Tahoma"/>
          <w:bCs/>
          <w:sz w:val="22"/>
          <w:szCs w:val="22"/>
          <w:u w:val="single"/>
          <w:lang w:val="es-PA"/>
        </w:rPr>
        <w:t>)</w:t>
      </w:r>
      <w:r w:rsidR="00BF679E" w:rsidRPr="007A31FC">
        <w:rPr>
          <w:rFonts w:ascii="Roboto" w:hAnsi="Roboto" w:cs="Tahoma"/>
          <w:bCs/>
          <w:sz w:val="22"/>
          <w:szCs w:val="22"/>
          <w:u w:val="single"/>
          <w:lang w:val="es-PA"/>
        </w:rPr>
        <w:t xml:space="preserve"> y Estrategia Regional de Consumo y Producción Sostenible </w:t>
      </w:r>
    </w:p>
    <w:p w14:paraId="003E53BC" w14:textId="75BD5100"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Los países de la región han mantenido su constante compromiso y trabajo en la elaboración e implementación de política</w:t>
      </w:r>
      <w:r w:rsidR="00DB5DCA" w:rsidRPr="00D02132">
        <w:rPr>
          <w:rFonts w:ascii="Roboto" w:hAnsi="Roboto" w:cs="Tahoma"/>
          <w:bCs/>
          <w:sz w:val="22"/>
          <w:szCs w:val="22"/>
          <w:lang w:val="es-PA"/>
        </w:rPr>
        <w:t>s</w:t>
      </w:r>
      <w:r w:rsidRPr="00D02132">
        <w:rPr>
          <w:rFonts w:ascii="Roboto" w:hAnsi="Roboto" w:cs="Tahoma"/>
          <w:bCs/>
          <w:sz w:val="22"/>
          <w:szCs w:val="22"/>
          <w:lang w:val="es-PA"/>
        </w:rPr>
        <w:t xml:space="preserve"> e iniciativas para promover patrones de consumo y producción sostenibles.  Con ello han avanzado en la implementación de la Estrategia Regional de Consumo y Producción Sostenibles y su Plan de Acción, los cuales están enmarcados en la Agenda 2030 para el Desarrollo Sostenible y alineados a la consecución de los ODS. Asimismo, han contribuido activamente en la implementación del Marco Decenal de Programas sobre Consumo y Producción Sostenible (10YFP, por sus siglas en inglés), incluyendo la participaron en la encuesta sobre el ODS 12.1.1, y el reporte de Medio término del 10YFP, los cuales fueron incorporados en el reporte del 10YFP al Foro Político de Alto Nivel sobre Desarrollo Sostenible en Nueva York (Julio, 2018).</w:t>
      </w:r>
    </w:p>
    <w:p w14:paraId="721F0678" w14:textId="6B9ED03E"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Algunos países como Colombia, México, Ecuador, República Dominicana y Jamaica incluyeron las acciones desarrolladas en el marco del ODS 12 en sus Reportes Voluntarios </w:t>
      </w:r>
      <w:r w:rsidRPr="00D02132">
        <w:rPr>
          <w:rFonts w:ascii="Roboto" w:hAnsi="Roboto" w:cs="Tahoma"/>
          <w:bCs/>
          <w:sz w:val="22"/>
          <w:szCs w:val="22"/>
          <w:lang w:val="es-PA"/>
        </w:rPr>
        <w:lastRenderedPageBreak/>
        <w:t>de Progreso de los ODS, los cuales fueron presentados en el Foro Político de Alto Nivel sobre Desarrollo Sostenible.</w:t>
      </w:r>
    </w:p>
    <w:p w14:paraId="2B482C1F" w14:textId="45F120C3"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Durante los últimos años, los países han lanzado y/o avanzando en la implementación de Estrategias Nacionales de </w:t>
      </w:r>
      <w:r w:rsidR="00B73FC2" w:rsidRPr="00D02132">
        <w:rPr>
          <w:rFonts w:ascii="Roboto" w:hAnsi="Roboto" w:cs="Tahoma"/>
          <w:bCs/>
          <w:sz w:val="22"/>
          <w:szCs w:val="22"/>
          <w:lang w:val="es-PA"/>
        </w:rPr>
        <w:t xml:space="preserve">Consumo y </w:t>
      </w:r>
      <w:r w:rsidR="00DD06C7" w:rsidRPr="00D02132">
        <w:rPr>
          <w:rFonts w:ascii="Roboto" w:hAnsi="Roboto" w:cs="Tahoma"/>
          <w:bCs/>
          <w:sz w:val="22"/>
          <w:szCs w:val="22"/>
          <w:lang w:val="es-PA"/>
        </w:rPr>
        <w:t>Producción</w:t>
      </w:r>
      <w:r w:rsidR="00B73FC2" w:rsidRPr="00D02132">
        <w:rPr>
          <w:rFonts w:ascii="Roboto" w:hAnsi="Roboto" w:cs="Tahoma"/>
          <w:bCs/>
          <w:sz w:val="22"/>
          <w:szCs w:val="22"/>
          <w:lang w:val="es-PA"/>
        </w:rPr>
        <w:t xml:space="preserve"> Sostenible (</w:t>
      </w:r>
      <w:r w:rsidRPr="00D02132">
        <w:rPr>
          <w:rFonts w:ascii="Roboto" w:hAnsi="Roboto" w:cs="Tahoma"/>
          <w:bCs/>
          <w:sz w:val="22"/>
          <w:szCs w:val="22"/>
          <w:lang w:val="es-PA"/>
        </w:rPr>
        <w:t>CPS</w:t>
      </w:r>
      <w:r w:rsidR="00B73FC2" w:rsidRPr="00D02132">
        <w:rPr>
          <w:rFonts w:ascii="Roboto" w:hAnsi="Roboto" w:cs="Tahoma"/>
          <w:bCs/>
          <w:sz w:val="22"/>
          <w:szCs w:val="22"/>
          <w:lang w:val="es-PA"/>
        </w:rPr>
        <w:t>)</w:t>
      </w:r>
      <w:r w:rsidRPr="00D02132">
        <w:rPr>
          <w:rFonts w:ascii="Roboto" w:hAnsi="Roboto" w:cs="Tahoma"/>
          <w:bCs/>
          <w:sz w:val="22"/>
          <w:szCs w:val="22"/>
          <w:lang w:val="es-PA"/>
        </w:rPr>
        <w:t xml:space="preserve"> (p. ej. Costa Rica, Honduras), implementación de proyectos en las áreas de compras públicas sostenibles (p. ej. Argentina, Costa Rica, Ecuador, Perú), eco-innovación (Colombia, Perú), eco-etiquetado (Chile, Costa Rica, México, Perú), educación ambiental y estilos de vida sostenible (Barbados, Brasil, Colombia), entre otros. Se han </w:t>
      </w:r>
      <w:r w:rsidR="000B00F2">
        <w:rPr>
          <w:rFonts w:ascii="Roboto" w:hAnsi="Roboto" w:cs="Tahoma"/>
          <w:bCs/>
          <w:sz w:val="22"/>
          <w:szCs w:val="22"/>
          <w:lang w:val="es-PA"/>
        </w:rPr>
        <w:t xml:space="preserve">realizado </w:t>
      </w:r>
      <w:r w:rsidRPr="00D02132">
        <w:rPr>
          <w:rFonts w:ascii="Roboto" w:hAnsi="Roboto" w:cs="Tahoma"/>
          <w:bCs/>
          <w:sz w:val="22"/>
          <w:szCs w:val="22"/>
          <w:lang w:val="es-PA"/>
        </w:rPr>
        <w:t>más de 8 reuniones regionales, talleres y conferencias con el objetivo de fortalecer la capacidad de los países para avanzar en la implementación de sus agendas nacionales de consumo y producción sostenible.</w:t>
      </w:r>
    </w:p>
    <w:p w14:paraId="0AD17329" w14:textId="34674474"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sz w:val="22"/>
          <w:szCs w:val="22"/>
          <w:lang w:val="es-PA"/>
        </w:rPr>
        <w:t>En junio de 2017, la</w:t>
      </w:r>
      <w:r w:rsidR="00E25A04" w:rsidRPr="00D02132">
        <w:rPr>
          <w:rFonts w:ascii="Roboto" w:hAnsi="Roboto"/>
          <w:sz w:val="22"/>
          <w:szCs w:val="22"/>
          <w:lang w:val="es-PA"/>
        </w:rPr>
        <w:t xml:space="preserve"> </w:t>
      </w:r>
      <w:r w:rsidR="00DD06C7" w:rsidRPr="00D02132">
        <w:rPr>
          <w:rFonts w:ascii="Roboto" w:hAnsi="Roboto"/>
          <w:sz w:val="22"/>
          <w:szCs w:val="22"/>
          <w:lang w:val="es-PA"/>
        </w:rPr>
        <w:t>Organización</w:t>
      </w:r>
      <w:r w:rsidR="00E25A04" w:rsidRPr="00D02132">
        <w:rPr>
          <w:rFonts w:ascii="Roboto" w:hAnsi="Roboto"/>
          <w:sz w:val="22"/>
          <w:szCs w:val="22"/>
          <w:lang w:val="es-PA"/>
        </w:rPr>
        <w:t xml:space="preserve"> de las Naciones Unidas para la </w:t>
      </w:r>
      <w:r w:rsidR="00DD06C7" w:rsidRPr="00D02132">
        <w:rPr>
          <w:rFonts w:ascii="Roboto" w:hAnsi="Roboto"/>
          <w:sz w:val="22"/>
          <w:szCs w:val="22"/>
          <w:lang w:val="es-PA"/>
        </w:rPr>
        <w:t>Alimentación</w:t>
      </w:r>
      <w:r w:rsidR="00E25A04" w:rsidRPr="00D02132">
        <w:rPr>
          <w:rFonts w:ascii="Roboto" w:hAnsi="Roboto"/>
          <w:sz w:val="22"/>
          <w:szCs w:val="22"/>
          <w:lang w:val="es-PA"/>
        </w:rPr>
        <w:t xml:space="preserve"> y la </w:t>
      </w:r>
      <w:r w:rsidR="009E1AC3" w:rsidRPr="00D02132">
        <w:rPr>
          <w:rFonts w:ascii="Roboto" w:hAnsi="Roboto"/>
          <w:sz w:val="22"/>
          <w:szCs w:val="22"/>
          <w:lang w:val="es-PA"/>
        </w:rPr>
        <w:t>Agricultura</w:t>
      </w:r>
      <w:r w:rsidRPr="00D02132">
        <w:rPr>
          <w:rFonts w:ascii="Roboto" w:hAnsi="Roboto"/>
          <w:sz w:val="22"/>
          <w:szCs w:val="22"/>
          <w:lang w:val="es-PA"/>
        </w:rPr>
        <w:t xml:space="preserve"> </w:t>
      </w:r>
      <w:r w:rsidR="00E25A04" w:rsidRPr="00D02132">
        <w:rPr>
          <w:rFonts w:ascii="Roboto" w:hAnsi="Roboto"/>
          <w:sz w:val="22"/>
          <w:szCs w:val="22"/>
          <w:lang w:val="es-PA"/>
        </w:rPr>
        <w:t>(</w:t>
      </w:r>
      <w:r w:rsidRPr="00D02132">
        <w:rPr>
          <w:rFonts w:ascii="Roboto" w:hAnsi="Roboto"/>
          <w:sz w:val="22"/>
          <w:szCs w:val="22"/>
          <w:lang w:val="es-PA"/>
        </w:rPr>
        <w:t>FAO</w:t>
      </w:r>
      <w:r w:rsidR="00E25A04" w:rsidRPr="00D02132">
        <w:rPr>
          <w:rFonts w:ascii="Roboto" w:hAnsi="Roboto"/>
          <w:sz w:val="22"/>
          <w:szCs w:val="22"/>
          <w:lang w:val="es-PA"/>
        </w:rPr>
        <w:t>)</w:t>
      </w:r>
      <w:r w:rsidRPr="00D02132">
        <w:rPr>
          <w:rFonts w:ascii="Roboto" w:hAnsi="Roboto"/>
          <w:sz w:val="22"/>
          <w:szCs w:val="22"/>
          <w:lang w:val="es-PA"/>
        </w:rPr>
        <w:t xml:space="preserve"> y ONU Medio Ambiente, con el apoyo de los Gobiernos de Costa Rica y Honduras, organizaron el Taller Internacional sobre “Oportunidades y Desafíos de los Sistemas Agroalimentarios Sostenibles en América Latina</w:t>
      </w:r>
      <w:r w:rsidR="007E5BB4" w:rsidRPr="00D02132">
        <w:rPr>
          <w:rStyle w:val="FootnoteReference"/>
          <w:rFonts w:ascii="Roboto" w:hAnsi="Roboto"/>
          <w:sz w:val="22"/>
          <w:szCs w:val="22"/>
          <w:lang w:val="es-PA"/>
        </w:rPr>
        <w:footnoteReference w:id="16"/>
      </w:r>
      <w:r w:rsidRPr="00D02132">
        <w:rPr>
          <w:rFonts w:ascii="Roboto" w:hAnsi="Roboto"/>
          <w:sz w:val="22"/>
          <w:szCs w:val="22"/>
          <w:lang w:val="es-PA"/>
        </w:rPr>
        <w:t xml:space="preserve">”. Expertos técnicos definieron recomendaciones técnicas y de políticas en temas prioritarios para la región como: i) </w:t>
      </w:r>
      <w:r w:rsidR="000B00F2" w:rsidRPr="00D02132">
        <w:rPr>
          <w:rFonts w:ascii="Roboto" w:hAnsi="Roboto"/>
          <w:sz w:val="22"/>
          <w:szCs w:val="22"/>
          <w:lang w:val="es-PA"/>
        </w:rPr>
        <w:t>pé</w:t>
      </w:r>
      <w:r w:rsidR="000B00F2">
        <w:rPr>
          <w:rFonts w:ascii="Roboto" w:hAnsi="Roboto"/>
          <w:sz w:val="22"/>
          <w:szCs w:val="22"/>
          <w:lang w:val="es-PA"/>
        </w:rPr>
        <w:t>r</w:t>
      </w:r>
      <w:r w:rsidR="000B00F2" w:rsidRPr="00D02132">
        <w:rPr>
          <w:rFonts w:ascii="Roboto" w:hAnsi="Roboto"/>
          <w:sz w:val="22"/>
          <w:szCs w:val="22"/>
          <w:lang w:val="es-PA"/>
        </w:rPr>
        <w:t>dida</w:t>
      </w:r>
      <w:r w:rsidRPr="00D02132">
        <w:rPr>
          <w:rFonts w:ascii="Roboto" w:hAnsi="Roboto"/>
          <w:sz w:val="22"/>
          <w:szCs w:val="22"/>
          <w:lang w:val="es-PA"/>
        </w:rPr>
        <w:t xml:space="preserve"> y desperdicio de alimentos, ii) agricultura sostenible y adaptada al clima, iii) mercados inclusivos y iv) </w:t>
      </w:r>
      <w:r w:rsidRPr="00D02132">
        <w:rPr>
          <w:rFonts w:ascii="Roboto" w:hAnsi="Roboto" w:cs="Tahoma"/>
          <w:bCs/>
          <w:sz w:val="22"/>
          <w:szCs w:val="22"/>
          <w:lang w:val="es-PA"/>
        </w:rPr>
        <w:t xml:space="preserve">mecanismos financieros. </w:t>
      </w:r>
    </w:p>
    <w:p w14:paraId="203BB3D4" w14:textId="654A44C2"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A través </w:t>
      </w:r>
      <w:r w:rsidR="00B73FC2" w:rsidRPr="00D02132">
        <w:rPr>
          <w:rFonts w:ascii="Roboto" w:hAnsi="Roboto" w:cs="Tahoma"/>
          <w:bCs/>
          <w:sz w:val="22"/>
          <w:szCs w:val="22"/>
          <w:lang w:val="es-PA"/>
        </w:rPr>
        <w:t>d</w:t>
      </w:r>
      <w:r w:rsidRPr="00D02132">
        <w:rPr>
          <w:rFonts w:ascii="Roboto" w:hAnsi="Roboto" w:cs="Tahoma"/>
          <w:bCs/>
          <w:sz w:val="22"/>
          <w:szCs w:val="22"/>
          <w:lang w:val="es-PA"/>
        </w:rPr>
        <w:t>el proyecto “Apoyando a los países en desarrollo para generar servicios de consumo y producción sostenible a nivel país”, financiado por la Cuenta de las Naciones Unidas para el Desarrollo (UNDA</w:t>
      </w:r>
      <w:r w:rsidR="00FF6B1E">
        <w:rPr>
          <w:rFonts w:ascii="Roboto" w:hAnsi="Roboto" w:cs="Tahoma"/>
          <w:bCs/>
          <w:sz w:val="22"/>
          <w:szCs w:val="22"/>
          <w:lang w:val="es-PA"/>
        </w:rPr>
        <w:t xml:space="preserve"> por sus siglas en </w:t>
      </w:r>
      <w:r w:rsidR="00083989">
        <w:rPr>
          <w:rFonts w:ascii="Roboto" w:hAnsi="Roboto" w:cs="Tahoma"/>
          <w:bCs/>
          <w:sz w:val="22"/>
          <w:szCs w:val="22"/>
          <w:lang w:val="es-PA"/>
        </w:rPr>
        <w:t>inglés</w:t>
      </w:r>
      <w:r w:rsidRPr="00D02132">
        <w:rPr>
          <w:rFonts w:ascii="Roboto" w:hAnsi="Roboto" w:cs="Tahoma"/>
          <w:bCs/>
          <w:sz w:val="22"/>
          <w:szCs w:val="22"/>
          <w:lang w:val="es-PA"/>
        </w:rPr>
        <w:t xml:space="preserve">), se apoyó al Gobierno de Colombia en sus esfuerzos para reducir las pérdidas y desperdicios de alimentos. Particularmente, mediante la identificación de buenas prácticas en la reducción de pérdidas y desperdicios de alimentos en el sector gastronómico de Bogotá. Además, Honduras recibió apoyo en el desarrollo de su Marco Estratégico de Consumo y Producción Sostenible, el cual se lanzó en abril de 2018.  </w:t>
      </w:r>
    </w:p>
    <w:p w14:paraId="2D6E8DE1" w14:textId="66B42B01"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El papel de los puntos focales de CPS ha sido de vital importancia para el avance de políticas de CPS, desarrollo de proyectos y la identificación de sinergias y cooperación con otros ministerios, sectores e iniciativas tanto a nivel nacional y regional, como global. Se requiere seguir fortaleciendo a los puntos focales y brindarles mayor apoyo político. </w:t>
      </w:r>
    </w:p>
    <w:p w14:paraId="0545BD9E" w14:textId="77777777" w:rsidR="00BF679E" w:rsidRPr="00D02132" w:rsidRDefault="00BF679E" w:rsidP="00BF679E">
      <w:pPr>
        <w:pStyle w:val="ListParagraph"/>
        <w:jc w:val="both"/>
        <w:rPr>
          <w:rFonts w:ascii="Roboto" w:hAnsi="Roboto" w:cs="Tahoma"/>
          <w:bCs/>
          <w:sz w:val="22"/>
          <w:szCs w:val="22"/>
          <w:lang w:val="es-PA"/>
        </w:rPr>
      </w:pPr>
    </w:p>
    <w:p w14:paraId="5F8817CF" w14:textId="6625D6D7" w:rsidR="00BF679E" w:rsidRPr="007A31FC" w:rsidRDefault="00BF679E" w:rsidP="00E10BB1">
      <w:pPr>
        <w:spacing w:line="276" w:lineRule="auto"/>
        <w:jc w:val="both"/>
        <w:outlineLvl w:val="0"/>
        <w:rPr>
          <w:rFonts w:ascii="Roboto" w:eastAsia="Times New Roman" w:hAnsi="Roboto" w:cs="Tahoma"/>
          <w:bCs/>
          <w:sz w:val="22"/>
          <w:szCs w:val="22"/>
          <w:u w:val="single"/>
        </w:rPr>
      </w:pPr>
      <w:r w:rsidRPr="007A31FC">
        <w:rPr>
          <w:rFonts w:ascii="Roboto" w:eastAsia="Times New Roman" w:hAnsi="Roboto" w:cs="Tahoma"/>
          <w:bCs/>
          <w:sz w:val="22"/>
          <w:szCs w:val="22"/>
          <w:u w:val="single"/>
        </w:rPr>
        <w:t xml:space="preserve">Eco-innovación y </w:t>
      </w:r>
      <w:r w:rsidR="000B564D" w:rsidRPr="007A31FC">
        <w:rPr>
          <w:rFonts w:ascii="Roboto" w:eastAsia="Times New Roman" w:hAnsi="Roboto" w:cs="Tahoma"/>
          <w:bCs/>
          <w:sz w:val="22"/>
          <w:szCs w:val="22"/>
          <w:u w:val="single"/>
        </w:rPr>
        <w:t>Pequeñas y Medianas Empre</w:t>
      </w:r>
      <w:r w:rsidR="004A395D" w:rsidRPr="007A31FC">
        <w:rPr>
          <w:rFonts w:ascii="Roboto" w:eastAsia="Times New Roman" w:hAnsi="Roboto" w:cs="Tahoma"/>
          <w:bCs/>
          <w:sz w:val="22"/>
          <w:szCs w:val="22"/>
          <w:u w:val="single"/>
        </w:rPr>
        <w:t>sas (</w:t>
      </w:r>
      <w:r w:rsidRPr="007A31FC">
        <w:rPr>
          <w:rFonts w:ascii="Roboto" w:eastAsia="Times New Roman" w:hAnsi="Roboto" w:cs="Tahoma"/>
          <w:bCs/>
          <w:sz w:val="22"/>
          <w:szCs w:val="22"/>
          <w:u w:val="single"/>
        </w:rPr>
        <w:t>PyMEs</w:t>
      </w:r>
      <w:r w:rsidR="004A395D" w:rsidRPr="007A31FC">
        <w:rPr>
          <w:rFonts w:ascii="Roboto" w:eastAsia="Times New Roman" w:hAnsi="Roboto" w:cs="Tahoma"/>
          <w:bCs/>
          <w:sz w:val="22"/>
          <w:szCs w:val="22"/>
          <w:u w:val="single"/>
        </w:rPr>
        <w:t>)</w:t>
      </w:r>
      <w:r w:rsidRPr="007A31FC">
        <w:rPr>
          <w:rFonts w:ascii="Roboto" w:eastAsia="Times New Roman" w:hAnsi="Roboto" w:cs="Tahoma"/>
          <w:bCs/>
          <w:sz w:val="22"/>
          <w:szCs w:val="22"/>
          <w:u w:val="single"/>
        </w:rPr>
        <w:t xml:space="preserve"> </w:t>
      </w:r>
    </w:p>
    <w:p w14:paraId="24379D6A" w14:textId="4D0C907F"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Varios países han desarrollado iniciativas y programas para fomentar la eco-innovación y apoyo a PyMES.  Por ejemplo, Colombia y Perú desarrollaron un reporte estratégico llamado “Integración de la eco-innovación en los marcos de consumo y producción sostenibles nacionales”, establecieron una Hoja de Ruta política de 5 años para la implementación de acciones de eco-innovación y realizaron 10 casos de estudio en P</w:t>
      </w:r>
      <w:r w:rsidR="00083989">
        <w:rPr>
          <w:rFonts w:ascii="Roboto" w:hAnsi="Roboto" w:cs="Tahoma"/>
          <w:bCs/>
          <w:sz w:val="22"/>
          <w:szCs w:val="22"/>
          <w:lang w:val="es-PA"/>
        </w:rPr>
        <w:t>y</w:t>
      </w:r>
      <w:r w:rsidRPr="00D02132">
        <w:rPr>
          <w:rFonts w:ascii="Roboto" w:hAnsi="Roboto" w:cs="Tahoma"/>
          <w:bCs/>
          <w:sz w:val="22"/>
          <w:szCs w:val="22"/>
          <w:lang w:val="es-PA"/>
        </w:rPr>
        <w:t xml:space="preserve">MES del sector químico (5 en Colombia) y metalmecánico (5 en Perú) que indican los beneficios económicos, ambientales y sociales de la eco-innovación. </w:t>
      </w:r>
    </w:p>
    <w:p w14:paraId="049EB2B2" w14:textId="77777777"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lastRenderedPageBreak/>
        <w:t>Se ha brindado capacitación y promovido la adopción de herramientas de eco-innovación y eficiencia de recursos en las PyMEs de Argentina, Brasil, Chile y República Dominicana.</w:t>
      </w:r>
    </w:p>
    <w:p w14:paraId="698CAE46" w14:textId="54AFD663" w:rsidR="00BF679E" w:rsidRPr="007A31FC" w:rsidRDefault="00BF679E" w:rsidP="00E10BB1">
      <w:pPr>
        <w:spacing w:line="276" w:lineRule="auto"/>
        <w:jc w:val="both"/>
        <w:outlineLvl w:val="0"/>
        <w:rPr>
          <w:rFonts w:ascii="Roboto" w:hAnsi="Roboto" w:cs="Tahoma"/>
          <w:bCs/>
          <w:sz w:val="22"/>
          <w:szCs w:val="22"/>
          <w:u w:val="single"/>
        </w:rPr>
      </w:pPr>
      <w:r w:rsidRPr="007A31FC">
        <w:rPr>
          <w:rFonts w:ascii="Roboto" w:hAnsi="Roboto" w:cs="Tahoma"/>
          <w:bCs/>
          <w:sz w:val="22"/>
          <w:szCs w:val="22"/>
          <w:u w:val="single"/>
        </w:rPr>
        <w:t xml:space="preserve">Compras públicas sostenibles </w:t>
      </w:r>
    </w:p>
    <w:p w14:paraId="790CEEB9" w14:textId="07DBEFED"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Con el apoyo financiero de la Comisión Europea, ONU Medio Ambiente implementó, entre 2014 y 2018, el proyecto “Estimulando la oferta y demanda de bienes y servicios sostenibles a través de las compras públicas sostenibles y el Eco-etiquetado” (SPPEL</w:t>
      </w:r>
      <w:r w:rsidR="00A23B75" w:rsidRPr="00D02132">
        <w:rPr>
          <w:rFonts w:ascii="Roboto" w:hAnsi="Roboto" w:cs="Tahoma"/>
          <w:bCs/>
          <w:sz w:val="22"/>
          <w:szCs w:val="22"/>
          <w:lang w:val="es-PA"/>
        </w:rPr>
        <w:t xml:space="preserve"> por sus siglas en ingles</w:t>
      </w:r>
      <w:r w:rsidRPr="00D02132">
        <w:rPr>
          <w:rFonts w:ascii="Roboto" w:hAnsi="Roboto" w:cs="Tahoma"/>
          <w:bCs/>
          <w:sz w:val="22"/>
          <w:szCs w:val="22"/>
          <w:lang w:val="es-PA"/>
        </w:rPr>
        <w:t xml:space="preserve">), por medio del cual se brindó apoyo a los países en sus necesidades para desarrollar y aplicar políticas y planes de acción para las compras públicas sostenibles. </w:t>
      </w:r>
    </w:p>
    <w:p w14:paraId="002F36FB" w14:textId="77777777"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En enero de 2016, Costa Rica lanzó la primera política de compras públicas sostenibles de la región. Además, Colombia, Ecuador, Perú, Argentina, Chile, Uruguay, y México han avanzado en el desarrollo e implementación de Planes o Estrategias de Acción Nacional de Compras Públicas Sostenibles, así como herramientas que contribuyen a su implementación. </w:t>
      </w:r>
    </w:p>
    <w:p w14:paraId="2E5CF3C2" w14:textId="1685A20C"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En Mayo del 2018, se lanzó la Plataforma Regional en línea para la implementación de las compras públicas sostenibles, coordinado por ONU Medio Ambiente y en colaboración</w:t>
      </w:r>
      <w:r w:rsidR="00083989">
        <w:rPr>
          <w:rFonts w:ascii="Roboto" w:hAnsi="Roboto" w:cs="Tahoma"/>
          <w:bCs/>
          <w:sz w:val="22"/>
          <w:szCs w:val="22"/>
          <w:lang w:val="es-PA"/>
        </w:rPr>
        <w:t xml:space="preserve"> con</w:t>
      </w:r>
      <w:r w:rsidRPr="00D02132">
        <w:rPr>
          <w:rFonts w:ascii="Roboto" w:hAnsi="Roboto" w:cs="Tahoma"/>
          <w:bCs/>
          <w:sz w:val="22"/>
          <w:szCs w:val="22"/>
          <w:lang w:val="es-PA"/>
        </w:rPr>
        <w:t xml:space="preserve"> la Organización de Estados Americanos (OEA) que coordina la Red Interamericana de Compras Gubernamentales (RICG). Así mismo, se ha cooperado con la </w:t>
      </w:r>
      <w:r w:rsidR="00453BB1">
        <w:rPr>
          <w:rFonts w:ascii="Roboto" w:hAnsi="Roboto" w:cs="Tahoma"/>
          <w:bCs/>
          <w:sz w:val="22"/>
          <w:szCs w:val="22"/>
          <w:lang w:val="es-PA"/>
        </w:rPr>
        <w:t xml:space="preserve"> Corporación Alemana para la Cooperación Internacional (</w:t>
      </w:r>
      <w:r w:rsidRPr="00D02132">
        <w:rPr>
          <w:rFonts w:ascii="Roboto" w:hAnsi="Roboto" w:cs="Tahoma"/>
          <w:bCs/>
          <w:sz w:val="22"/>
          <w:szCs w:val="22"/>
          <w:lang w:val="es-PA"/>
        </w:rPr>
        <w:t>GIZ</w:t>
      </w:r>
      <w:r w:rsidR="00453BB1">
        <w:rPr>
          <w:rFonts w:ascii="Roboto" w:hAnsi="Roboto" w:cs="Tahoma"/>
          <w:bCs/>
          <w:sz w:val="22"/>
          <w:szCs w:val="22"/>
          <w:lang w:val="es-PA"/>
        </w:rPr>
        <w:t xml:space="preserve"> por sus iniciales en alemán)</w:t>
      </w:r>
      <w:r w:rsidRPr="00D02132">
        <w:rPr>
          <w:rFonts w:ascii="Roboto" w:hAnsi="Roboto" w:cs="Tahoma"/>
          <w:bCs/>
          <w:sz w:val="22"/>
          <w:szCs w:val="22"/>
          <w:lang w:val="es-PA"/>
        </w:rPr>
        <w:t xml:space="preserve"> en un proyecto de la Alianza del Pacífico</w:t>
      </w:r>
      <w:r w:rsidR="000904DB">
        <w:rPr>
          <w:rStyle w:val="FootnoteReference"/>
          <w:rFonts w:ascii="Roboto" w:hAnsi="Roboto" w:cs="Tahoma"/>
          <w:bCs/>
          <w:sz w:val="22"/>
          <w:szCs w:val="22"/>
          <w:lang w:val="es-PA"/>
        </w:rPr>
        <w:footnoteReference w:id="17"/>
      </w:r>
      <w:r w:rsidRPr="00D02132">
        <w:rPr>
          <w:rFonts w:ascii="Roboto" w:hAnsi="Roboto" w:cs="Tahoma"/>
          <w:bCs/>
          <w:sz w:val="22"/>
          <w:szCs w:val="22"/>
          <w:lang w:val="es-PA"/>
        </w:rPr>
        <w:t xml:space="preserve"> sobre consumo y producción sostenible, en el cual había un componente de compras públicas sostenibles, para articular los esfuerzos con las actividades adelantadas por el proyecto SPPEL en Chile, Colombia y Perú.</w:t>
      </w:r>
    </w:p>
    <w:p w14:paraId="00C9E385" w14:textId="78C07D76" w:rsidR="00BF679E" w:rsidRPr="007A31FC" w:rsidRDefault="00BF679E" w:rsidP="00BF679E">
      <w:pPr>
        <w:pStyle w:val="ListParagraph"/>
        <w:spacing w:after="120" w:line="276" w:lineRule="auto"/>
        <w:ind w:left="0"/>
        <w:rPr>
          <w:rFonts w:ascii="Roboto" w:hAnsi="Roboto" w:cs="Tahoma"/>
          <w:bCs/>
          <w:sz w:val="22"/>
          <w:szCs w:val="22"/>
          <w:u w:val="single"/>
          <w:lang w:val="es-PA"/>
        </w:rPr>
      </w:pPr>
      <w:r w:rsidRPr="007A31FC">
        <w:rPr>
          <w:rFonts w:ascii="Roboto" w:hAnsi="Roboto" w:cs="Tahoma"/>
          <w:bCs/>
          <w:sz w:val="22"/>
          <w:szCs w:val="22"/>
          <w:u w:val="single"/>
          <w:lang w:val="es-PA"/>
        </w:rPr>
        <w:t xml:space="preserve">Fortalecimiento de consumo y producción sostenible en las acciones de cambio climático y </w:t>
      </w:r>
      <w:r w:rsidR="00744F3F" w:rsidRPr="007A31FC">
        <w:rPr>
          <w:rFonts w:ascii="Roboto" w:hAnsi="Roboto" w:cs="Tahoma"/>
          <w:bCs/>
          <w:sz w:val="22"/>
          <w:szCs w:val="22"/>
          <w:u w:val="single"/>
          <w:lang w:val="es-PA"/>
        </w:rPr>
        <w:t xml:space="preserve">ciudades </w:t>
      </w:r>
    </w:p>
    <w:p w14:paraId="5761C5C5" w14:textId="77777777"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La Nueva Agenda Urbana reconoce la importancia de la eficiencia de recursos y la necesidad de promover patrones de consumo y producción sostenibles en las ciudades. Los países de la región reconocen lo anterior y están realizando acciones para fomentar estándares de sostenibilidad en la edificaciones y construcciones, la adopción de estilos de vida sostenibles en la ciudad, y la integración de eficiencia de recursos dentro de la planeación urbana (usando el concepto de metabolismo urbano y economía circular en las ciudades).  </w:t>
      </w:r>
    </w:p>
    <w:p w14:paraId="5CECFB7E" w14:textId="16E72149"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Los enfoques de metabolismo urbano y economía circular en ciudades fueron reconocidos y presentados en diversas conferencias internacionales en </w:t>
      </w:r>
      <w:r w:rsidR="00744F3F" w:rsidRPr="00D02132">
        <w:rPr>
          <w:rFonts w:ascii="Roboto" w:hAnsi="Roboto" w:cs="Tahoma"/>
          <w:bCs/>
          <w:sz w:val="22"/>
          <w:szCs w:val="22"/>
          <w:lang w:val="es-PA"/>
        </w:rPr>
        <w:t xml:space="preserve">Costa Rica, Chile, </w:t>
      </w:r>
      <w:r w:rsidRPr="00D02132">
        <w:rPr>
          <w:rFonts w:ascii="Roboto" w:hAnsi="Roboto" w:cs="Tahoma"/>
          <w:bCs/>
          <w:sz w:val="22"/>
          <w:szCs w:val="22"/>
          <w:lang w:val="es-PA"/>
        </w:rPr>
        <w:t xml:space="preserve">Ecuador y </w:t>
      </w:r>
      <w:r w:rsidR="00AA3A84" w:rsidRPr="00D02132">
        <w:rPr>
          <w:rFonts w:ascii="Roboto" w:hAnsi="Roboto" w:cs="Tahoma"/>
          <w:bCs/>
          <w:sz w:val="22"/>
          <w:szCs w:val="22"/>
          <w:lang w:val="es-PA"/>
        </w:rPr>
        <w:t>Panamá</w:t>
      </w:r>
      <w:r w:rsidRPr="00D02132">
        <w:rPr>
          <w:rFonts w:ascii="Roboto" w:hAnsi="Roboto" w:cs="Tahoma"/>
          <w:bCs/>
          <w:sz w:val="22"/>
          <w:szCs w:val="22"/>
          <w:lang w:val="es-PA"/>
        </w:rPr>
        <w:t xml:space="preserve">, entre las cuales se destacan la Conferencia de Hábitat III (octubre, 2016) y el Foro de Desarrollo Sostenible organizado por la CEPAL (abril, 2018).  </w:t>
      </w:r>
    </w:p>
    <w:p w14:paraId="0A790451" w14:textId="62672EBF"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Ciudades como Sao Paulo (Brasil), Medellín (Colombia), </w:t>
      </w:r>
      <w:r w:rsidR="00B60846" w:rsidRPr="00D02132">
        <w:rPr>
          <w:rFonts w:ascii="Roboto" w:hAnsi="Roboto" w:cs="Tahoma"/>
          <w:bCs/>
          <w:sz w:val="22"/>
          <w:szCs w:val="22"/>
          <w:lang w:val="es-PA"/>
        </w:rPr>
        <w:t xml:space="preserve">y </w:t>
      </w:r>
      <w:r w:rsidRPr="00D02132">
        <w:rPr>
          <w:rFonts w:ascii="Roboto" w:hAnsi="Roboto" w:cs="Tahoma"/>
          <w:bCs/>
          <w:sz w:val="22"/>
          <w:szCs w:val="22"/>
          <w:lang w:val="es-PA"/>
        </w:rPr>
        <w:t>Cuzco (Perú) avanzan en la implementación del “</w:t>
      </w:r>
      <w:r w:rsidRPr="00083989">
        <w:rPr>
          <w:rFonts w:ascii="Roboto" w:hAnsi="Roboto" w:cs="Tahoma"/>
          <w:bCs/>
          <w:i/>
          <w:sz w:val="22"/>
          <w:szCs w:val="22"/>
          <w:lang w:val="es-PA"/>
        </w:rPr>
        <w:t>Neighbourhood approach</w:t>
      </w:r>
      <w:r w:rsidRPr="00D02132">
        <w:rPr>
          <w:rFonts w:ascii="Roboto" w:hAnsi="Roboto" w:cs="Tahoma"/>
          <w:bCs/>
          <w:sz w:val="22"/>
          <w:szCs w:val="22"/>
          <w:lang w:val="es-PA"/>
        </w:rPr>
        <w:t xml:space="preserve">” que tiene como objetivo demostrar </w:t>
      </w:r>
      <w:r w:rsidR="00B60846" w:rsidRPr="00D02132">
        <w:rPr>
          <w:rFonts w:ascii="Roboto" w:hAnsi="Roboto" w:cs="Tahoma"/>
          <w:bCs/>
          <w:sz w:val="22"/>
          <w:szCs w:val="22"/>
          <w:lang w:val="es-PA"/>
        </w:rPr>
        <w:t>cómo</w:t>
      </w:r>
      <w:r w:rsidRPr="00D02132">
        <w:rPr>
          <w:rFonts w:ascii="Roboto" w:hAnsi="Roboto" w:cs="Tahoma"/>
          <w:bCs/>
          <w:sz w:val="22"/>
          <w:szCs w:val="22"/>
          <w:lang w:val="es-PA"/>
        </w:rPr>
        <w:t xml:space="preserve"> acciones a escala local pueden alterar positivamente los flujos de recursos de las ciudades. Así mismo, Bartica (Guyana), avanza en la implementación de consideraciones </w:t>
      </w:r>
      <w:r w:rsidRPr="00D02132">
        <w:rPr>
          <w:rFonts w:ascii="Roboto" w:hAnsi="Roboto" w:cs="Tahoma"/>
          <w:bCs/>
          <w:sz w:val="22"/>
          <w:szCs w:val="22"/>
          <w:lang w:val="es-PA"/>
        </w:rPr>
        <w:lastRenderedPageBreak/>
        <w:t xml:space="preserve">ambientales en su Plan Municipal de Desarrollo, además de un estudio sobre oportunidades de economía circular.  </w:t>
      </w:r>
    </w:p>
    <w:p w14:paraId="5FA74E59" w14:textId="2B794ED9"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Por su parte, Chile y Perú están realizando esfuerzos de reducción de emisiones mediante el desarrollo de políticas y herramientas de análisis de ciclo de vida que promuevan la adopción de un enfoque de consumo y producción sostenible en sectores estratégicos. </w:t>
      </w:r>
    </w:p>
    <w:p w14:paraId="287AEE38" w14:textId="5C40551C" w:rsidR="00BF679E" w:rsidRPr="007A31FC" w:rsidRDefault="00BF679E" w:rsidP="00BF679E">
      <w:pPr>
        <w:spacing w:line="276" w:lineRule="auto"/>
        <w:jc w:val="both"/>
        <w:rPr>
          <w:rFonts w:ascii="Roboto" w:eastAsia="Times New Roman" w:hAnsi="Roboto" w:cs="Tahoma"/>
          <w:bCs/>
          <w:sz w:val="22"/>
          <w:szCs w:val="22"/>
          <w:u w:val="single"/>
        </w:rPr>
      </w:pPr>
      <w:r w:rsidRPr="007A31FC">
        <w:rPr>
          <w:rFonts w:ascii="Roboto" w:eastAsia="Times New Roman" w:hAnsi="Roboto" w:cs="Tahoma"/>
          <w:bCs/>
          <w:sz w:val="22"/>
          <w:szCs w:val="22"/>
          <w:u w:val="single"/>
        </w:rPr>
        <w:t xml:space="preserve">Conocimiento científico sobre el manejo eficiente de recursos (Panel Internacional de Recursos) </w:t>
      </w:r>
    </w:p>
    <w:p w14:paraId="30521943" w14:textId="16310147"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En noviembre de 2017, expertos de la región se reunieron co</w:t>
      </w:r>
      <w:r w:rsidR="00B60846" w:rsidRPr="00D02132">
        <w:rPr>
          <w:rFonts w:ascii="Roboto" w:hAnsi="Roboto" w:cs="Tahoma"/>
          <w:bCs/>
          <w:sz w:val="22"/>
          <w:szCs w:val="22"/>
          <w:lang w:val="es-PA"/>
        </w:rPr>
        <w:t>n</w:t>
      </w:r>
      <w:r w:rsidRPr="00D02132">
        <w:rPr>
          <w:rFonts w:ascii="Roboto" w:hAnsi="Roboto" w:cs="Tahoma"/>
          <w:bCs/>
          <w:sz w:val="22"/>
          <w:szCs w:val="22"/>
          <w:lang w:val="es-PA"/>
        </w:rPr>
        <w:t xml:space="preserve"> ocasión de la Reunión del Panel Internacional de Recursos en Lima, en la cual se discutieron temas prioritarios para la región como la gobernanza del sector minero y la adopción de herramientas que promuevan la economía circular en diferentes sectores. </w:t>
      </w:r>
    </w:p>
    <w:p w14:paraId="589FF68E" w14:textId="129216ED" w:rsidR="00BF679E" w:rsidRPr="00D02132" w:rsidRDefault="00B60846"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También se destaca en este tema, que </w:t>
      </w:r>
      <w:r w:rsidR="00BF679E" w:rsidRPr="00D02132">
        <w:rPr>
          <w:rFonts w:ascii="Roboto" w:hAnsi="Roboto" w:cs="Tahoma"/>
          <w:bCs/>
          <w:sz w:val="22"/>
          <w:szCs w:val="22"/>
          <w:lang w:val="es-PA"/>
        </w:rPr>
        <w:t>Argentina avanza en la implementación del proyecto “Análisis de Puntos Críticos Nacionales para apoyar marcos nacionales de política sobre consumo y producción sostenible basados en la evidencia”</w:t>
      </w:r>
      <w:r w:rsidRPr="00D02132">
        <w:rPr>
          <w:rFonts w:ascii="Roboto" w:hAnsi="Roboto" w:cs="Tahoma"/>
          <w:bCs/>
          <w:sz w:val="22"/>
          <w:szCs w:val="22"/>
          <w:lang w:val="es-PA"/>
        </w:rPr>
        <w:t>,</w:t>
      </w:r>
      <w:r w:rsidR="00BF679E" w:rsidRPr="00D02132">
        <w:rPr>
          <w:rFonts w:ascii="Roboto" w:hAnsi="Roboto" w:cs="Tahoma"/>
          <w:bCs/>
          <w:sz w:val="22"/>
          <w:szCs w:val="22"/>
          <w:lang w:val="es-PA"/>
        </w:rPr>
        <w:t xml:space="preserve"> </w:t>
      </w:r>
      <w:r w:rsidRPr="00D02132">
        <w:rPr>
          <w:rFonts w:ascii="Roboto" w:hAnsi="Roboto" w:cs="Tahoma"/>
          <w:bCs/>
          <w:sz w:val="22"/>
          <w:szCs w:val="22"/>
          <w:lang w:val="es-PA"/>
        </w:rPr>
        <w:t xml:space="preserve">con el apoyo de la Secretaría del 10YFP y expertos internacionales. </w:t>
      </w:r>
      <w:r w:rsidR="00BF679E" w:rsidRPr="00D02132">
        <w:rPr>
          <w:rFonts w:ascii="Roboto" w:hAnsi="Roboto" w:cs="Tahoma"/>
          <w:bCs/>
          <w:sz w:val="22"/>
          <w:szCs w:val="22"/>
          <w:lang w:val="es-PA"/>
        </w:rPr>
        <w:t xml:space="preserve">Con los resultados de este proyecto el país definirá los sectores prioritarios susceptibles de una política de consumo y producción sostenible. </w:t>
      </w:r>
    </w:p>
    <w:p w14:paraId="21741267" w14:textId="1C481E62" w:rsidR="00BF679E" w:rsidRPr="007A31FC" w:rsidRDefault="00BF679E" w:rsidP="00E10BB1">
      <w:pPr>
        <w:spacing w:after="120" w:line="276" w:lineRule="auto"/>
        <w:jc w:val="both"/>
        <w:outlineLvl w:val="0"/>
        <w:rPr>
          <w:rFonts w:ascii="Roboto" w:hAnsi="Roboto" w:cs="Tahoma"/>
          <w:bCs/>
          <w:sz w:val="22"/>
          <w:szCs w:val="22"/>
          <w:u w:val="single"/>
        </w:rPr>
      </w:pPr>
      <w:r w:rsidRPr="007A31FC">
        <w:rPr>
          <w:rFonts w:ascii="Roboto" w:hAnsi="Roboto" w:cs="Tahoma"/>
          <w:bCs/>
          <w:sz w:val="22"/>
          <w:szCs w:val="22"/>
          <w:u w:val="single"/>
        </w:rPr>
        <w:t xml:space="preserve">Procesos de educación y capacitación </w:t>
      </w:r>
    </w:p>
    <w:p w14:paraId="09BC46DE" w14:textId="46B9C426" w:rsidR="00BF679E" w:rsidRPr="00D02132" w:rsidRDefault="00BF679E" w:rsidP="00B60846">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Las herramientas de consumo y producción sostenible han sido promovidas en diversos talleres presenciales y virtuales, entre los cuales vale la pena resaltar la VII Conferencia Internacional sobre Evaluación del Ciclo del Vida (junio, 2017) y el Curso de E-learning "Enfoques y Herramientas Prácticas para el Consumo y la Producción Sostenibles en América Latina y el Caribe". Este último, con la participación de más de 60 representantes de Gobierno y actores del sector privado y la sociedad civil. Este curso fue desarrollado por ONU Medio Ambiente y </w:t>
      </w:r>
      <w:r w:rsidR="00B60846" w:rsidRPr="00D02132">
        <w:rPr>
          <w:rFonts w:ascii="Roboto" w:hAnsi="Roboto" w:cs="Tahoma"/>
          <w:bCs/>
          <w:sz w:val="22"/>
          <w:szCs w:val="22"/>
          <w:lang w:val="es-PA"/>
        </w:rPr>
        <w:t>el Instituto de las Naciones Unidas para la Formación Profesional y la Investigación (</w:t>
      </w:r>
      <w:r w:rsidRPr="00D02132">
        <w:rPr>
          <w:rFonts w:ascii="Roboto" w:hAnsi="Roboto" w:cs="Tahoma"/>
          <w:bCs/>
          <w:sz w:val="22"/>
          <w:szCs w:val="22"/>
          <w:lang w:val="es-PA"/>
        </w:rPr>
        <w:t>UNITAR</w:t>
      </w:r>
      <w:r w:rsidR="00083989">
        <w:rPr>
          <w:rFonts w:ascii="Roboto" w:hAnsi="Roboto" w:cs="Tahoma"/>
          <w:bCs/>
          <w:sz w:val="22"/>
          <w:szCs w:val="22"/>
          <w:lang w:val="es-PA"/>
        </w:rPr>
        <w:t xml:space="preserve"> por sus siglas en inglés</w:t>
      </w:r>
      <w:r w:rsidR="00B60846" w:rsidRPr="00D02132">
        <w:rPr>
          <w:rFonts w:ascii="Roboto" w:hAnsi="Roboto" w:cs="Tahoma"/>
          <w:bCs/>
          <w:sz w:val="22"/>
          <w:szCs w:val="22"/>
          <w:lang w:val="es-PA"/>
        </w:rPr>
        <w:t>)</w:t>
      </w:r>
      <w:r w:rsidRPr="00D02132">
        <w:rPr>
          <w:rFonts w:ascii="Roboto" w:hAnsi="Roboto" w:cs="Tahoma"/>
          <w:bCs/>
          <w:sz w:val="22"/>
          <w:szCs w:val="22"/>
          <w:lang w:val="es-PA"/>
        </w:rPr>
        <w:t xml:space="preserve">. </w:t>
      </w:r>
    </w:p>
    <w:p w14:paraId="16F77869" w14:textId="639EB370" w:rsidR="00BF679E" w:rsidRPr="00D02132" w:rsidRDefault="00BF679E" w:rsidP="00BF679E">
      <w:pPr>
        <w:pStyle w:val="ListParagraph"/>
        <w:numPr>
          <w:ilvl w:val="0"/>
          <w:numId w:val="4"/>
        </w:numPr>
        <w:spacing w:after="120" w:line="276" w:lineRule="auto"/>
        <w:ind w:left="0" w:firstLine="0"/>
        <w:jc w:val="both"/>
        <w:rPr>
          <w:rFonts w:ascii="Roboto" w:hAnsi="Roboto" w:cs="Tahoma"/>
          <w:b/>
          <w:bCs/>
          <w:sz w:val="22"/>
          <w:szCs w:val="22"/>
          <w:u w:val="single"/>
          <w:lang w:val="es-PA"/>
        </w:rPr>
      </w:pPr>
      <w:r w:rsidRPr="00D02132">
        <w:rPr>
          <w:rFonts w:ascii="Roboto" w:hAnsi="Roboto" w:cs="Tahoma"/>
          <w:bCs/>
          <w:sz w:val="22"/>
          <w:szCs w:val="22"/>
          <w:lang w:val="es-PA"/>
        </w:rPr>
        <w:t xml:space="preserve">La cooperación con la Red de Formación Ambiental ha sido fortalecida durante la asistencia a la reunión de puntos focales de la Red en Montevideo, Uruguay. La reunión fue llevada a cabo del 7 al 9 de agosto de 2018. Fueron presentadas las experiencias de la región en cuanto a </w:t>
      </w:r>
      <w:r w:rsidR="00B60846" w:rsidRPr="00D02132">
        <w:rPr>
          <w:rFonts w:ascii="Roboto" w:hAnsi="Roboto" w:cs="Tahoma"/>
          <w:bCs/>
          <w:sz w:val="22"/>
          <w:szCs w:val="22"/>
          <w:lang w:val="es-PA"/>
        </w:rPr>
        <w:t>CPS</w:t>
      </w:r>
      <w:r w:rsidRPr="00D02132">
        <w:rPr>
          <w:rFonts w:ascii="Roboto" w:hAnsi="Roboto" w:cs="Tahoma"/>
          <w:bCs/>
          <w:sz w:val="22"/>
          <w:szCs w:val="22"/>
          <w:lang w:val="es-PA"/>
        </w:rPr>
        <w:t xml:space="preserve"> y estilos de vida sostenible. </w:t>
      </w:r>
    </w:p>
    <w:p w14:paraId="2ED30BBE" w14:textId="75EBDCAD" w:rsidR="00BF679E" w:rsidRPr="00D02132" w:rsidRDefault="00BF679E" w:rsidP="00BF679E">
      <w:pPr>
        <w:pStyle w:val="ListParagraph"/>
        <w:numPr>
          <w:ilvl w:val="0"/>
          <w:numId w:val="4"/>
        </w:numPr>
        <w:spacing w:after="120" w:line="276" w:lineRule="auto"/>
        <w:ind w:left="0" w:firstLine="0"/>
        <w:jc w:val="both"/>
        <w:rPr>
          <w:rFonts w:ascii="Roboto" w:hAnsi="Roboto" w:cs="Tahoma"/>
          <w:b/>
          <w:bCs/>
          <w:sz w:val="22"/>
          <w:szCs w:val="22"/>
          <w:u w:val="single"/>
          <w:lang w:val="es-PA"/>
        </w:rPr>
      </w:pPr>
      <w:r w:rsidRPr="00D02132">
        <w:rPr>
          <w:rFonts w:ascii="Roboto" w:hAnsi="Roboto" w:cs="Tahoma"/>
          <w:bCs/>
          <w:sz w:val="22"/>
          <w:szCs w:val="22"/>
          <w:lang w:val="es-PA"/>
        </w:rPr>
        <w:t xml:space="preserve">Antes de septiembre de 2018, se llevarán a cabo talleres de formación sobre educación, estilos de vida sostenibles y adaptación al cambio climático a través de una alianza con la Comunidad </w:t>
      </w:r>
      <w:r w:rsidR="002E01DC" w:rsidRPr="00D02132">
        <w:rPr>
          <w:rFonts w:ascii="Roboto" w:hAnsi="Roboto" w:cs="Tahoma"/>
          <w:bCs/>
          <w:sz w:val="22"/>
          <w:szCs w:val="22"/>
          <w:lang w:val="es-PA"/>
        </w:rPr>
        <w:t>Práctica</w:t>
      </w:r>
      <w:r w:rsidRPr="00D02132">
        <w:rPr>
          <w:rFonts w:ascii="Roboto" w:hAnsi="Roboto" w:cs="Tahoma"/>
          <w:bCs/>
          <w:sz w:val="22"/>
          <w:szCs w:val="22"/>
          <w:lang w:val="es-PA"/>
        </w:rPr>
        <w:t xml:space="preserve"> de Planes Nacionales de Adaptación al Cambio Climático, del proyecto </w:t>
      </w:r>
      <w:r w:rsidR="002E01DC" w:rsidRPr="00D02132">
        <w:rPr>
          <w:rFonts w:ascii="Roboto" w:hAnsi="Roboto" w:cs="Tahoma"/>
          <w:bCs/>
          <w:sz w:val="22"/>
          <w:szCs w:val="22"/>
          <w:lang w:val="es-PA"/>
        </w:rPr>
        <w:t>Portal Regional para la Trasferencia de Tecnología y la Acción frente al Cambio Climático en América Latina y el Caribe (</w:t>
      </w:r>
      <w:r w:rsidRPr="00D02132">
        <w:rPr>
          <w:rFonts w:ascii="Roboto" w:hAnsi="Roboto" w:cs="Tahoma"/>
          <w:bCs/>
          <w:sz w:val="22"/>
          <w:szCs w:val="22"/>
          <w:lang w:val="es-PA"/>
        </w:rPr>
        <w:t>REGATTA</w:t>
      </w:r>
      <w:r w:rsidR="002E01DC" w:rsidRPr="00D02132">
        <w:rPr>
          <w:rFonts w:ascii="Roboto" w:hAnsi="Roboto" w:cs="Tahoma"/>
          <w:bCs/>
          <w:sz w:val="22"/>
          <w:szCs w:val="22"/>
          <w:lang w:val="es-PA"/>
        </w:rPr>
        <w:t>)</w:t>
      </w:r>
      <w:r w:rsidRPr="00D02132">
        <w:rPr>
          <w:rFonts w:ascii="Roboto" w:hAnsi="Roboto" w:cs="Tahoma"/>
          <w:bCs/>
          <w:sz w:val="22"/>
          <w:szCs w:val="22"/>
          <w:lang w:val="es-PA"/>
        </w:rPr>
        <w:t>.</w:t>
      </w:r>
    </w:p>
    <w:p w14:paraId="61E7ABB3" w14:textId="196B13F1" w:rsidR="00BF679E" w:rsidRPr="007A31FC" w:rsidRDefault="00BF679E" w:rsidP="00E10BB1">
      <w:pPr>
        <w:pStyle w:val="ListParagraph"/>
        <w:spacing w:after="120" w:line="276" w:lineRule="auto"/>
        <w:ind w:left="0"/>
        <w:jc w:val="both"/>
        <w:outlineLvl w:val="0"/>
        <w:rPr>
          <w:rFonts w:ascii="Roboto" w:hAnsi="Roboto" w:cs="Tahoma"/>
          <w:bCs/>
          <w:sz w:val="22"/>
          <w:szCs w:val="22"/>
          <w:u w:val="single"/>
          <w:lang w:val="es-PA"/>
        </w:rPr>
      </w:pPr>
      <w:r w:rsidRPr="007A31FC">
        <w:rPr>
          <w:rFonts w:ascii="Roboto" w:hAnsi="Roboto" w:cs="Tahoma"/>
          <w:bCs/>
          <w:sz w:val="22"/>
          <w:szCs w:val="22"/>
          <w:u w:val="single"/>
          <w:lang w:val="es-PA"/>
        </w:rPr>
        <w:t xml:space="preserve">Participación del sector productivo y de los servicios </w:t>
      </w:r>
    </w:p>
    <w:p w14:paraId="0FB2D4DC" w14:textId="4ECA0989" w:rsidR="00BF679E" w:rsidRPr="00D02132" w:rsidRDefault="00BF679E" w:rsidP="00083989">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Se ha fortalecido el trabajo con el sector empresarial, mediante una alianza con </w:t>
      </w:r>
      <w:r w:rsidR="00083989">
        <w:rPr>
          <w:rFonts w:ascii="Roboto" w:hAnsi="Roboto" w:cs="Tahoma"/>
          <w:bCs/>
          <w:sz w:val="22"/>
          <w:szCs w:val="22"/>
          <w:lang w:val="es-PA"/>
        </w:rPr>
        <w:t xml:space="preserve">el </w:t>
      </w:r>
      <w:r w:rsidR="00083989" w:rsidRPr="00083989">
        <w:rPr>
          <w:rFonts w:ascii="Roboto" w:hAnsi="Roboto" w:cs="Tahoma"/>
          <w:bCs/>
          <w:sz w:val="22"/>
          <w:szCs w:val="22"/>
          <w:lang w:val="es-PA"/>
        </w:rPr>
        <w:t xml:space="preserve">Programa de acción sobre residuos y recursos del Reino Unido </w:t>
      </w:r>
      <w:r w:rsidR="00083989">
        <w:rPr>
          <w:rFonts w:ascii="Roboto" w:hAnsi="Roboto" w:cs="Tahoma"/>
          <w:bCs/>
          <w:sz w:val="22"/>
          <w:szCs w:val="22"/>
          <w:lang w:val="es-PA"/>
        </w:rPr>
        <w:t>(</w:t>
      </w:r>
      <w:r w:rsidRPr="00D02132">
        <w:rPr>
          <w:rFonts w:ascii="Roboto" w:hAnsi="Roboto" w:cs="Tahoma"/>
          <w:bCs/>
          <w:sz w:val="22"/>
          <w:szCs w:val="22"/>
          <w:lang w:val="es-PA"/>
        </w:rPr>
        <w:t xml:space="preserve">Waste and Resources Action Programme </w:t>
      </w:r>
      <w:r w:rsidR="00083989">
        <w:rPr>
          <w:rFonts w:ascii="Roboto" w:hAnsi="Roboto" w:cs="Tahoma"/>
          <w:bCs/>
          <w:sz w:val="22"/>
          <w:szCs w:val="22"/>
          <w:lang w:val="es-PA"/>
        </w:rPr>
        <w:t>-</w:t>
      </w:r>
      <w:r w:rsidRPr="00D02132">
        <w:rPr>
          <w:rFonts w:ascii="Roboto" w:hAnsi="Roboto" w:cs="Tahoma"/>
          <w:bCs/>
          <w:sz w:val="22"/>
          <w:szCs w:val="22"/>
          <w:lang w:val="es-PA"/>
        </w:rPr>
        <w:t>WRAP), the Travel Foundation</w:t>
      </w:r>
      <w:r w:rsidR="00083989">
        <w:rPr>
          <w:rFonts w:ascii="Roboto" w:hAnsi="Roboto" w:cs="Tahoma"/>
          <w:bCs/>
          <w:sz w:val="22"/>
          <w:szCs w:val="22"/>
          <w:lang w:val="es-PA"/>
        </w:rPr>
        <w:t xml:space="preserve"> (Fundación de Viajes)</w:t>
      </w:r>
      <w:r w:rsidRPr="00D02132">
        <w:rPr>
          <w:rFonts w:ascii="Roboto" w:hAnsi="Roboto" w:cs="Tahoma"/>
          <w:bCs/>
          <w:sz w:val="22"/>
          <w:szCs w:val="22"/>
          <w:lang w:val="es-PA"/>
        </w:rPr>
        <w:t xml:space="preserve">, la Universidad Técnica de Dinamarca (DTU), en colaboración con las Asociaciones de Hoteles en </w:t>
      </w:r>
      <w:r w:rsidRPr="00D02132">
        <w:rPr>
          <w:rFonts w:ascii="Roboto" w:hAnsi="Roboto" w:cs="Tahoma"/>
          <w:bCs/>
          <w:sz w:val="22"/>
          <w:szCs w:val="22"/>
          <w:lang w:val="es-PA"/>
        </w:rPr>
        <w:lastRenderedPageBreak/>
        <w:t>República Dominicana y Santa Lucía. Se encuentra en desarrollo un proyecto que pretende analizar las cadenas de valor del turismo, preparar recomendaciones de políticas y desarrollar planes de acción concretos que ayuden a la reducción de emisiones de efecto invernadero en las cadenas de valor del sector turístico de ambos países.</w:t>
      </w:r>
    </w:p>
    <w:p w14:paraId="5A9CC5CD" w14:textId="37DCBDE9" w:rsidR="00BF679E" w:rsidRDefault="00BF679E" w:rsidP="00BF679E">
      <w:pPr>
        <w:pStyle w:val="ListParagraph"/>
        <w:spacing w:after="120" w:line="276" w:lineRule="auto"/>
        <w:ind w:left="0"/>
        <w:jc w:val="both"/>
        <w:rPr>
          <w:rFonts w:ascii="Roboto" w:hAnsi="Roboto" w:cs="Tahoma"/>
          <w:b/>
          <w:bCs/>
          <w:sz w:val="22"/>
          <w:szCs w:val="22"/>
          <w:u w:val="single"/>
          <w:lang w:val="es-PA"/>
        </w:rPr>
      </w:pPr>
    </w:p>
    <w:p w14:paraId="2A6E7820" w14:textId="77777777" w:rsidR="00083989" w:rsidRPr="00D02132" w:rsidRDefault="00083989" w:rsidP="00BF679E">
      <w:pPr>
        <w:pStyle w:val="ListParagraph"/>
        <w:spacing w:after="120" w:line="276" w:lineRule="auto"/>
        <w:ind w:left="0"/>
        <w:jc w:val="both"/>
        <w:rPr>
          <w:rFonts w:ascii="Roboto" w:hAnsi="Roboto" w:cs="Tahoma"/>
          <w:b/>
          <w:bCs/>
          <w:sz w:val="22"/>
          <w:szCs w:val="22"/>
          <w:u w:val="single"/>
          <w:lang w:val="es-PA"/>
        </w:rPr>
      </w:pPr>
    </w:p>
    <w:p w14:paraId="4B5D270F" w14:textId="087805AC" w:rsidR="00BF679E" w:rsidRPr="007A31FC" w:rsidRDefault="00BF679E" w:rsidP="00E10BB1">
      <w:pPr>
        <w:pStyle w:val="ListParagraph"/>
        <w:spacing w:after="120" w:line="276" w:lineRule="auto"/>
        <w:ind w:left="0"/>
        <w:jc w:val="both"/>
        <w:outlineLvl w:val="0"/>
        <w:rPr>
          <w:rFonts w:ascii="Roboto" w:hAnsi="Roboto" w:cs="Tahoma"/>
          <w:bCs/>
          <w:sz w:val="22"/>
          <w:szCs w:val="22"/>
          <w:u w:val="single"/>
          <w:lang w:val="es-PA"/>
        </w:rPr>
      </w:pPr>
      <w:r w:rsidRPr="007A31FC">
        <w:rPr>
          <w:rFonts w:ascii="Roboto" w:hAnsi="Roboto" w:cs="Tahoma"/>
          <w:bCs/>
          <w:sz w:val="22"/>
          <w:szCs w:val="22"/>
          <w:u w:val="single"/>
          <w:lang w:val="es-PA"/>
        </w:rPr>
        <w:t xml:space="preserve">Cooperación Sur-Sur </w:t>
      </w:r>
    </w:p>
    <w:p w14:paraId="4FB03F44" w14:textId="73EFCBB4"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En abril de 2017 tuvo lugar la Conferencia de Cooperación Sur-Sur sobre Consumo y Producción Sostenibles en Brasil. El evento reunió a 200 funcionarios gubernamentales, representantes de instituciones regionales, agencias de desarrollo, sociedad civil y el sector empresarial de África y América Latina y el Caribe. Algunas de las recomendaciones destacadas son: i) la creación de un “grupo asesor financiero” que brinde apoyo a los esfuerzos de movilización de recursos del 10YFP y sus programas: ii) incentivar a la banca de desarrollo a establecer líneas de crédito para financiar proyectos de consumo y producción sostenible; </w:t>
      </w:r>
      <w:r w:rsidR="00083989">
        <w:rPr>
          <w:rFonts w:ascii="Roboto" w:hAnsi="Roboto" w:cs="Tahoma"/>
          <w:bCs/>
          <w:sz w:val="22"/>
          <w:szCs w:val="22"/>
          <w:lang w:val="es-PA"/>
        </w:rPr>
        <w:t xml:space="preserve">y </w:t>
      </w:r>
      <w:r w:rsidRPr="00D02132">
        <w:rPr>
          <w:rFonts w:ascii="Roboto" w:hAnsi="Roboto" w:cs="Tahoma"/>
          <w:bCs/>
          <w:sz w:val="22"/>
          <w:szCs w:val="22"/>
          <w:lang w:val="es-PA"/>
        </w:rPr>
        <w:t xml:space="preserve">iii) fomentar intercambios de cooperación sur-sur para la transferencia de conocimiento y tecnología. </w:t>
      </w:r>
    </w:p>
    <w:p w14:paraId="37780538" w14:textId="77777777"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En agosto de 2017, en el marco del desarrollo del Plan Nacional de Consumo y Producción Sostenible de Honduras, se llevó a cabo un intercambio de experiencias entre funcionarios de Gobierno de Brasil, Chile y Honduras. El evento sirvió para lograr un alto nivel de compromiso político que aceleró el proceso de desarrollo del Plan. </w:t>
      </w:r>
    </w:p>
    <w:p w14:paraId="126D164E" w14:textId="037B19DC"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En junio de 2018, representantes de Gobierno de </w:t>
      </w:r>
      <w:r w:rsidR="00E56C0F" w:rsidRPr="00D02132">
        <w:rPr>
          <w:rFonts w:ascii="Roboto" w:hAnsi="Roboto" w:cs="Tahoma"/>
          <w:bCs/>
          <w:sz w:val="22"/>
          <w:szCs w:val="22"/>
          <w:lang w:val="es-PA"/>
        </w:rPr>
        <w:t xml:space="preserve">Brasil y </w:t>
      </w:r>
      <w:r w:rsidRPr="00D02132">
        <w:rPr>
          <w:rFonts w:ascii="Roboto" w:hAnsi="Roboto" w:cs="Tahoma"/>
          <w:bCs/>
          <w:sz w:val="22"/>
          <w:szCs w:val="22"/>
          <w:lang w:val="es-PA"/>
        </w:rPr>
        <w:t xml:space="preserve">Guyana se reunieron para intercambiar experiencias sobre planificación urbana integrada y sostenible. </w:t>
      </w:r>
    </w:p>
    <w:p w14:paraId="7DFD6375" w14:textId="66C5F8E4"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Dando respuesta al Acuerdo Ministerial 21 de Gestión Integral sobre el Consumo y Producción Sostenible del Ecuador, el cual establece que en el país se deben implementar lineamientos específicos para el sector financiero, se inició un proceso de acercamiento con la Iniciativa Financiera de ONU Medio Ambiente</w:t>
      </w:r>
      <w:r w:rsidR="00083989">
        <w:rPr>
          <w:rFonts w:ascii="Roboto" w:hAnsi="Roboto" w:cs="Tahoma"/>
          <w:bCs/>
          <w:sz w:val="22"/>
          <w:szCs w:val="22"/>
          <w:lang w:val="es-PA"/>
        </w:rPr>
        <w:t xml:space="preserve"> (UNEP FI)</w:t>
      </w:r>
      <w:r w:rsidRPr="00D02132">
        <w:rPr>
          <w:rFonts w:ascii="Roboto" w:hAnsi="Roboto" w:cs="Tahoma"/>
          <w:bCs/>
          <w:sz w:val="22"/>
          <w:szCs w:val="22"/>
          <w:lang w:val="es-PA"/>
        </w:rPr>
        <w:t xml:space="preserve"> para explorar mecanismos de fomento similares en los planes a nivel nacional que se están trabajando.</w:t>
      </w:r>
    </w:p>
    <w:p w14:paraId="573A02C8" w14:textId="276AC6D1" w:rsidR="00BF679E" w:rsidRPr="007A31FC" w:rsidRDefault="00BF679E" w:rsidP="00E10BB1">
      <w:pPr>
        <w:pStyle w:val="ListParagraph"/>
        <w:spacing w:after="120" w:line="276" w:lineRule="auto"/>
        <w:ind w:left="0"/>
        <w:jc w:val="both"/>
        <w:outlineLvl w:val="0"/>
        <w:rPr>
          <w:rFonts w:ascii="Roboto" w:hAnsi="Roboto" w:cs="Tahoma"/>
          <w:bCs/>
          <w:sz w:val="22"/>
          <w:szCs w:val="22"/>
          <w:u w:val="single"/>
          <w:lang w:val="es-PA"/>
        </w:rPr>
      </w:pPr>
      <w:r w:rsidRPr="007A31FC">
        <w:rPr>
          <w:rFonts w:ascii="Roboto" w:hAnsi="Roboto" w:cs="Tahoma"/>
          <w:bCs/>
          <w:sz w:val="22"/>
          <w:szCs w:val="22"/>
          <w:u w:val="single"/>
          <w:lang w:val="es-PA"/>
        </w:rPr>
        <w:t xml:space="preserve">Indicadores de Consumo y Producción Sostenible  </w:t>
      </w:r>
    </w:p>
    <w:p w14:paraId="22613B80" w14:textId="7CD411DC" w:rsidR="00BF679E" w:rsidRPr="00D02132" w:rsidRDefault="00BF679E" w:rsidP="00BF679E">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En agosto de 2016, se llevó a cabo la Reunión Regional de Expertos sobre indicadores del Consumo y Producción Sostenibles</w:t>
      </w:r>
      <w:r w:rsidR="00385572" w:rsidRPr="00D02132">
        <w:rPr>
          <w:rStyle w:val="FootnoteReference"/>
          <w:rFonts w:ascii="Roboto" w:hAnsi="Roboto" w:cs="Tahoma"/>
          <w:bCs/>
          <w:sz w:val="22"/>
          <w:szCs w:val="22"/>
          <w:lang w:val="es-PA"/>
        </w:rPr>
        <w:footnoteReference w:id="18"/>
      </w:r>
      <w:r w:rsidRPr="00D02132">
        <w:rPr>
          <w:rFonts w:ascii="Roboto" w:hAnsi="Roboto" w:cs="Tahoma"/>
          <w:bCs/>
          <w:sz w:val="22"/>
          <w:szCs w:val="22"/>
          <w:lang w:val="es-PA"/>
        </w:rPr>
        <w:t xml:space="preserve"> en Ciudad de Panamá (Panamá), con la participación de representantes gobiernos de 18 países de la región. Durante la reunión se discutió el alineamiento de los indicadores de la Iniciativa Latinoamericana y Caribeña para el Desarrollo Sostenible (ILAC) con las metas e indicadores de los Objetivos de Desarrollo Sostenible. Como resultado, se revisaron 43 indicadores, de los cuales se priorizaron 16. </w:t>
      </w:r>
    </w:p>
    <w:p w14:paraId="07346C67" w14:textId="295F9047" w:rsidR="006754C6" w:rsidRDefault="006754C6" w:rsidP="00816572">
      <w:pPr>
        <w:spacing w:line="276" w:lineRule="auto"/>
        <w:rPr>
          <w:rFonts w:ascii="Roboto" w:hAnsi="Roboto"/>
        </w:rPr>
      </w:pPr>
    </w:p>
    <w:p w14:paraId="012F692A" w14:textId="77777777" w:rsidR="00B54D94" w:rsidRPr="00D02132" w:rsidRDefault="00B54D94" w:rsidP="00816572">
      <w:pPr>
        <w:spacing w:line="276" w:lineRule="auto"/>
        <w:rPr>
          <w:rFonts w:ascii="Roboto" w:eastAsia="Times New Roman" w:hAnsi="Roboto" w:cs="Tahoma"/>
          <w:b/>
          <w:bCs/>
          <w:sz w:val="22"/>
          <w:szCs w:val="22"/>
        </w:rPr>
      </w:pPr>
    </w:p>
    <w:p w14:paraId="12E21726" w14:textId="53EA280E" w:rsidR="003461EE" w:rsidRPr="00D02132" w:rsidRDefault="003461EE" w:rsidP="00E10BB1">
      <w:pPr>
        <w:spacing w:line="276" w:lineRule="auto"/>
        <w:outlineLvl w:val="0"/>
        <w:rPr>
          <w:rFonts w:ascii="Roboto" w:eastAsia="Times New Roman" w:hAnsi="Roboto" w:cs="Tahoma"/>
          <w:b/>
          <w:bCs/>
          <w:sz w:val="32"/>
          <w:szCs w:val="32"/>
        </w:rPr>
      </w:pPr>
      <w:r w:rsidRPr="00D02132">
        <w:rPr>
          <w:rFonts w:ascii="Roboto" w:eastAsia="Times New Roman" w:hAnsi="Roboto" w:cs="Tahoma"/>
          <w:b/>
          <w:bCs/>
          <w:sz w:val="32"/>
          <w:szCs w:val="32"/>
        </w:rPr>
        <w:t xml:space="preserve">Decisión 7 - Plataforma Regional de Cambio Climático </w:t>
      </w:r>
    </w:p>
    <w:p w14:paraId="069ECAB3" w14:textId="77777777" w:rsidR="003461EE" w:rsidRPr="00D02132" w:rsidRDefault="003461EE" w:rsidP="00816572">
      <w:pPr>
        <w:spacing w:line="276" w:lineRule="auto"/>
        <w:rPr>
          <w:rFonts w:ascii="Roboto" w:eastAsia="Times New Roman" w:hAnsi="Roboto" w:cs="Tahoma"/>
          <w:bCs/>
          <w:sz w:val="22"/>
          <w:szCs w:val="22"/>
        </w:rPr>
      </w:pPr>
    </w:p>
    <w:p w14:paraId="427F4768" w14:textId="36FF184D" w:rsidR="009B0EBF" w:rsidRPr="00D02132" w:rsidRDefault="009B0EBF" w:rsidP="00F651EC">
      <w:pPr>
        <w:pStyle w:val="ListParagraph"/>
        <w:spacing w:after="120" w:line="276" w:lineRule="auto"/>
        <w:ind w:left="0"/>
        <w:jc w:val="both"/>
        <w:rPr>
          <w:rFonts w:ascii="Roboto" w:hAnsi="Roboto" w:cs="Tahoma"/>
          <w:bCs/>
          <w:sz w:val="22"/>
          <w:szCs w:val="22"/>
          <w:lang w:val="es-PA"/>
        </w:rPr>
      </w:pPr>
    </w:p>
    <w:p w14:paraId="6E7D26C2" w14:textId="163A12E5" w:rsidR="00EB573B" w:rsidRPr="00D02132" w:rsidRDefault="00EB573B" w:rsidP="00AA0405">
      <w:pPr>
        <w:pStyle w:val="ListParagraph"/>
        <w:numPr>
          <w:ilvl w:val="0"/>
          <w:numId w:val="4"/>
        </w:numPr>
        <w:spacing w:after="120" w:line="276" w:lineRule="auto"/>
        <w:ind w:left="0" w:firstLine="0"/>
        <w:jc w:val="both"/>
        <w:rPr>
          <w:rFonts w:ascii="Roboto" w:hAnsi="Roboto"/>
          <w:sz w:val="22"/>
          <w:szCs w:val="22"/>
          <w:lang w:val="es-PA"/>
        </w:rPr>
      </w:pPr>
      <w:r w:rsidRPr="00D02132">
        <w:rPr>
          <w:rFonts w:ascii="Roboto" w:hAnsi="Roboto"/>
          <w:sz w:val="22"/>
          <w:szCs w:val="22"/>
          <w:lang w:val="es-PA"/>
        </w:rPr>
        <w:t xml:space="preserve">La Decisión 7 </w:t>
      </w:r>
      <w:r w:rsidR="00B77388" w:rsidRPr="00D02132">
        <w:rPr>
          <w:rFonts w:ascii="Roboto" w:hAnsi="Roboto"/>
          <w:sz w:val="22"/>
          <w:szCs w:val="22"/>
          <w:lang w:val="es-PA"/>
        </w:rPr>
        <w:t xml:space="preserve">de la XX Reunión del </w:t>
      </w:r>
      <w:r w:rsidRPr="00D02132">
        <w:rPr>
          <w:rFonts w:ascii="Roboto" w:hAnsi="Roboto"/>
          <w:sz w:val="22"/>
          <w:szCs w:val="22"/>
          <w:lang w:val="es-PA"/>
        </w:rPr>
        <w:t>Foro de Ministros de Medio Ambiente de América Latina y el Caribe de 2016 relativa a la Plataforma Regional de Cambio Climático, tiene por objetivo crear un espacio de intercambio y cooperación sur-sur en materia de cambio climático en tres áreas principales de intervención: (i) diálogo político, (ii) acción climática (incluyendo adaptación y mitigación), y (iii) financiación y otros medios de implementación.</w:t>
      </w:r>
    </w:p>
    <w:p w14:paraId="5F6B937C" w14:textId="62B446EE" w:rsidR="00B77388" w:rsidRPr="00D02132" w:rsidRDefault="00083989" w:rsidP="00620CF5">
      <w:pPr>
        <w:pStyle w:val="ListParagraph"/>
        <w:numPr>
          <w:ilvl w:val="0"/>
          <w:numId w:val="4"/>
        </w:numPr>
        <w:spacing w:after="120" w:line="276" w:lineRule="auto"/>
        <w:ind w:left="0" w:firstLine="0"/>
        <w:jc w:val="both"/>
        <w:rPr>
          <w:rFonts w:ascii="Roboto" w:hAnsi="Roboto"/>
          <w:sz w:val="22"/>
          <w:szCs w:val="22"/>
          <w:lang w:val="es-PA"/>
        </w:rPr>
      </w:pPr>
      <w:r>
        <w:rPr>
          <w:rFonts w:ascii="Roboto" w:hAnsi="Roboto"/>
          <w:sz w:val="22"/>
          <w:szCs w:val="22"/>
          <w:lang w:val="es-PA"/>
        </w:rPr>
        <w:t>En l</w:t>
      </w:r>
      <w:r w:rsidR="00EB573B" w:rsidRPr="00D02132">
        <w:rPr>
          <w:rFonts w:ascii="Roboto" w:hAnsi="Roboto"/>
          <w:sz w:val="22"/>
          <w:szCs w:val="22"/>
          <w:lang w:val="es-PA"/>
        </w:rPr>
        <w:t xml:space="preserve">a pasada Reunión Intersesional de Alto Nivel del Foro de Ministros de Medio Ambiente de América Latina y el Caribe, </w:t>
      </w:r>
      <w:r>
        <w:rPr>
          <w:rFonts w:ascii="Roboto" w:hAnsi="Roboto"/>
          <w:sz w:val="22"/>
          <w:szCs w:val="22"/>
          <w:lang w:val="es-PA"/>
        </w:rPr>
        <w:t xml:space="preserve">se </w:t>
      </w:r>
      <w:r w:rsidR="00EB573B" w:rsidRPr="00D02132">
        <w:rPr>
          <w:rFonts w:ascii="Roboto" w:hAnsi="Roboto"/>
          <w:sz w:val="22"/>
          <w:szCs w:val="22"/>
          <w:lang w:val="es-PA"/>
        </w:rPr>
        <w:t xml:space="preserve">alcanzó un consenso de aprovechar la oportunidad que representa la existencia de plataformas regionales en materia de cambio climático que ya cuentan con financiación y con una trayectoria de trabajo en cambio climático – específicamente las iniciativas </w:t>
      </w:r>
      <w:r>
        <w:rPr>
          <w:rFonts w:ascii="Roboto" w:hAnsi="Roboto"/>
          <w:sz w:val="22"/>
          <w:szCs w:val="22"/>
          <w:lang w:val="es-PA"/>
        </w:rPr>
        <w:t xml:space="preserve">del </w:t>
      </w:r>
      <w:r w:rsidR="00620CF5" w:rsidRPr="00D02132">
        <w:rPr>
          <w:rFonts w:ascii="Roboto" w:hAnsi="Roboto"/>
          <w:sz w:val="22"/>
          <w:szCs w:val="22"/>
          <w:lang w:val="es-PA"/>
        </w:rPr>
        <w:t>Portal Regional para la Transferencia de Tecnología y Acción frente al Cambio (</w:t>
      </w:r>
      <w:r w:rsidR="00EB573B" w:rsidRPr="00D02132">
        <w:rPr>
          <w:rFonts w:ascii="Roboto" w:hAnsi="Roboto"/>
          <w:sz w:val="22"/>
          <w:szCs w:val="22"/>
          <w:lang w:val="es-PA"/>
        </w:rPr>
        <w:t>Regatta</w:t>
      </w:r>
      <w:r w:rsidR="00620CF5" w:rsidRPr="00D02132">
        <w:rPr>
          <w:rFonts w:ascii="Roboto" w:hAnsi="Roboto"/>
          <w:sz w:val="22"/>
          <w:szCs w:val="22"/>
          <w:lang w:val="es-PA"/>
        </w:rPr>
        <w:t xml:space="preserve"> por sus siglas en ingles)</w:t>
      </w:r>
      <w:r w:rsidR="00EB573B" w:rsidRPr="00D02132">
        <w:rPr>
          <w:rFonts w:ascii="Roboto" w:hAnsi="Roboto"/>
          <w:sz w:val="22"/>
          <w:szCs w:val="22"/>
          <w:lang w:val="es-PA"/>
        </w:rPr>
        <w:t xml:space="preserve"> y Euroclima – en la implementación del plan de trabajo de esta plataforma.</w:t>
      </w:r>
    </w:p>
    <w:p w14:paraId="05B58983" w14:textId="104C030C" w:rsidR="00EB573B" w:rsidRPr="00D02132" w:rsidRDefault="00EB573B" w:rsidP="00AA0405">
      <w:pPr>
        <w:pStyle w:val="ListParagraph"/>
        <w:numPr>
          <w:ilvl w:val="0"/>
          <w:numId w:val="4"/>
        </w:numPr>
        <w:spacing w:after="120" w:line="276" w:lineRule="auto"/>
        <w:ind w:left="0" w:firstLine="0"/>
        <w:jc w:val="both"/>
        <w:rPr>
          <w:rFonts w:ascii="Roboto" w:hAnsi="Roboto"/>
          <w:sz w:val="22"/>
          <w:szCs w:val="22"/>
          <w:lang w:val="es-PA"/>
        </w:rPr>
      </w:pPr>
      <w:r w:rsidRPr="00D02132">
        <w:rPr>
          <w:rFonts w:ascii="Roboto" w:hAnsi="Roboto"/>
          <w:sz w:val="22"/>
          <w:szCs w:val="22"/>
          <w:lang w:val="es-PA"/>
        </w:rPr>
        <w:t xml:space="preserve">Desde </w:t>
      </w:r>
      <w:r w:rsidR="00B77388" w:rsidRPr="00D02132">
        <w:rPr>
          <w:rFonts w:ascii="Roboto" w:hAnsi="Roboto"/>
          <w:sz w:val="22"/>
          <w:szCs w:val="22"/>
          <w:lang w:val="es-PA"/>
        </w:rPr>
        <w:t xml:space="preserve">la pasada Reuniòn del </w:t>
      </w:r>
      <w:r w:rsidRPr="00D02132">
        <w:rPr>
          <w:rFonts w:ascii="Roboto" w:hAnsi="Roboto"/>
          <w:sz w:val="22"/>
          <w:szCs w:val="22"/>
          <w:lang w:val="es-PA"/>
        </w:rPr>
        <w:t xml:space="preserve">Foro de Ministros </w:t>
      </w:r>
      <w:r w:rsidR="00B77388" w:rsidRPr="00D02132">
        <w:rPr>
          <w:rFonts w:ascii="Roboto" w:hAnsi="Roboto"/>
          <w:sz w:val="22"/>
          <w:szCs w:val="22"/>
          <w:lang w:val="es-PA"/>
        </w:rPr>
        <w:t>en</w:t>
      </w:r>
      <w:r w:rsidRPr="00D02132">
        <w:rPr>
          <w:rFonts w:ascii="Roboto" w:hAnsi="Roboto"/>
          <w:sz w:val="22"/>
          <w:szCs w:val="22"/>
          <w:lang w:val="es-PA"/>
        </w:rPr>
        <w:t xml:space="preserve"> Cartagena</w:t>
      </w:r>
      <w:r w:rsidR="00B77388" w:rsidRPr="00D02132">
        <w:rPr>
          <w:rFonts w:ascii="Roboto" w:hAnsi="Roboto"/>
          <w:sz w:val="22"/>
          <w:szCs w:val="22"/>
          <w:lang w:val="es-PA"/>
        </w:rPr>
        <w:t>,</w:t>
      </w:r>
      <w:r w:rsidRPr="00D02132">
        <w:rPr>
          <w:rFonts w:ascii="Roboto" w:hAnsi="Roboto"/>
          <w:sz w:val="22"/>
          <w:szCs w:val="22"/>
          <w:lang w:val="es-PA"/>
        </w:rPr>
        <w:t xml:space="preserve"> la Plataforma Regatta “Portal Regional para la Transferencia de Tecnología y la Acción frente al Cambio Climático en América Latina y el Caribe” puso a disposición de la Plataforma Regional de Cambio Climático su equipo y recursos para poder llevar a cabo acciones de refuerzo de capacidades y asistencia técnica en el marco de los objetivos de la Decisión 7 del Foro. Adicionalmente ONU Medio Ambiente, a través del financiamiento facilitado por la iniciativa Euroclima+ de la Unión Europea, ha realizado actividades en contribución al plan de trabajo de la Plataforma durante este periodo de reporte. </w:t>
      </w:r>
    </w:p>
    <w:p w14:paraId="7C58E17D" w14:textId="77777777" w:rsidR="00EB573B" w:rsidRPr="00D02132" w:rsidRDefault="00EB573B" w:rsidP="00E10BB1">
      <w:pPr>
        <w:pStyle w:val="ListParagraph"/>
        <w:spacing w:after="120" w:line="276" w:lineRule="auto"/>
        <w:jc w:val="both"/>
        <w:outlineLvl w:val="0"/>
        <w:rPr>
          <w:rFonts w:ascii="Roboto" w:hAnsi="Roboto"/>
          <w:b/>
          <w:color w:val="8DB3E2" w:themeColor="text2" w:themeTint="66"/>
          <w:sz w:val="22"/>
          <w:szCs w:val="22"/>
          <w:lang w:val="es-PA"/>
        </w:rPr>
      </w:pPr>
      <w:r w:rsidRPr="00D02132">
        <w:rPr>
          <w:rFonts w:ascii="Roboto" w:hAnsi="Roboto"/>
          <w:b/>
          <w:color w:val="8DB3E2" w:themeColor="text2" w:themeTint="66"/>
          <w:sz w:val="22"/>
          <w:szCs w:val="22"/>
          <w:lang w:val="es-PA"/>
        </w:rPr>
        <w:t xml:space="preserve">Adaptación al Cambio Climático </w:t>
      </w:r>
    </w:p>
    <w:p w14:paraId="78CF7B15" w14:textId="5B0A9FE7" w:rsidR="00EB573B" w:rsidRPr="00F05EDF" w:rsidRDefault="00A51B2C" w:rsidP="00E10BB1">
      <w:pPr>
        <w:spacing w:after="120" w:line="276" w:lineRule="auto"/>
        <w:jc w:val="both"/>
        <w:outlineLvl w:val="0"/>
        <w:rPr>
          <w:rFonts w:ascii="Roboto" w:hAnsi="Roboto"/>
          <w:sz w:val="22"/>
          <w:szCs w:val="22"/>
          <w:u w:val="single"/>
        </w:rPr>
      </w:pPr>
      <w:r w:rsidRPr="00F05EDF">
        <w:rPr>
          <w:rFonts w:ascii="Roboto" w:hAnsi="Roboto"/>
          <w:sz w:val="22"/>
          <w:szCs w:val="22"/>
          <w:u w:val="single"/>
        </w:rPr>
        <w:t>Apoyo a Planes Nacionales de Adaptación (Regatta):</w:t>
      </w:r>
    </w:p>
    <w:p w14:paraId="4AB1CC70" w14:textId="7DDE7A66" w:rsidR="00EB573B" w:rsidRPr="00D02132" w:rsidRDefault="00EB573B" w:rsidP="00620CF5">
      <w:pPr>
        <w:pStyle w:val="ListParagraph"/>
        <w:numPr>
          <w:ilvl w:val="0"/>
          <w:numId w:val="4"/>
        </w:numPr>
        <w:spacing w:after="120" w:line="276" w:lineRule="auto"/>
        <w:ind w:left="0" w:firstLine="0"/>
        <w:jc w:val="both"/>
        <w:rPr>
          <w:rFonts w:ascii="Roboto" w:hAnsi="Roboto"/>
          <w:sz w:val="22"/>
          <w:szCs w:val="22"/>
          <w:lang w:val="es-PA"/>
        </w:rPr>
      </w:pPr>
      <w:r w:rsidRPr="00D02132">
        <w:rPr>
          <w:rFonts w:ascii="Roboto" w:hAnsi="Roboto"/>
          <w:sz w:val="22"/>
          <w:szCs w:val="22"/>
          <w:lang w:val="es-PA"/>
        </w:rPr>
        <w:t xml:space="preserve">En este ámbito se ha brindado asistencia técnica para acceso a financiamiento climático a cinco países y se ha proporcionado formación y espacios para el intercambio de experiencias, tanto de manera presencial como on-line a más de 800 especialistas y funcionarios: </w:t>
      </w:r>
    </w:p>
    <w:p w14:paraId="4232DA8B" w14:textId="6717BAD2" w:rsidR="00EB573B" w:rsidRPr="00D02132" w:rsidRDefault="00EB573B" w:rsidP="00AA0405">
      <w:pPr>
        <w:pStyle w:val="ListParagraph"/>
        <w:numPr>
          <w:ilvl w:val="1"/>
          <w:numId w:val="31"/>
        </w:numPr>
        <w:spacing w:after="120" w:line="276" w:lineRule="auto"/>
        <w:jc w:val="both"/>
        <w:rPr>
          <w:rFonts w:ascii="Roboto" w:hAnsi="Roboto"/>
          <w:sz w:val="22"/>
          <w:szCs w:val="22"/>
          <w:lang w:val="es-PA"/>
        </w:rPr>
      </w:pPr>
      <w:r w:rsidRPr="00D02132">
        <w:rPr>
          <w:rFonts w:ascii="Roboto" w:hAnsi="Roboto"/>
          <w:sz w:val="22"/>
          <w:szCs w:val="22"/>
          <w:lang w:val="es-PA"/>
        </w:rPr>
        <w:t xml:space="preserve">Acceso a financiamiento: se ha brindado asistencia técnica a cinco de países de la región para obtener acceso a financiamiento del Fondo Verde para el Clima a través de su programa Readiness. Las asistencias técnicas se han dirigido </w:t>
      </w:r>
      <w:r w:rsidR="00083989">
        <w:rPr>
          <w:rFonts w:ascii="Roboto" w:hAnsi="Roboto"/>
          <w:sz w:val="22"/>
          <w:szCs w:val="22"/>
          <w:lang w:val="es-PA"/>
        </w:rPr>
        <w:t>a</w:t>
      </w:r>
      <w:r w:rsidRPr="00D02132">
        <w:rPr>
          <w:rFonts w:ascii="Roboto" w:hAnsi="Roboto"/>
          <w:sz w:val="22"/>
          <w:szCs w:val="22"/>
          <w:lang w:val="es-PA"/>
        </w:rPr>
        <w:t xml:space="preserve"> apoyar a los países </w:t>
      </w:r>
      <w:r w:rsidR="00083989">
        <w:rPr>
          <w:rFonts w:ascii="Roboto" w:hAnsi="Roboto"/>
          <w:sz w:val="22"/>
          <w:szCs w:val="22"/>
          <w:lang w:val="es-PA"/>
        </w:rPr>
        <w:t>en</w:t>
      </w:r>
      <w:r w:rsidRPr="00D02132">
        <w:rPr>
          <w:rFonts w:ascii="Roboto" w:hAnsi="Roboto"/>
          <w:sz w:val="22"/>
          <w:szCs w:val="22"/>
          <w:lang w:val="es-PA"/>
        </w:rPr>
        <w:t xml:space="preserve"> la preparación de sus Planes Nacionales de Adaptación y el fortalecimiento de sus marcos nacionales y sectoriales de planificación de la adaptación (Regatta). Regatta, junto con la Convención Marco de las Naciones Unidas sobre el Cambio Climático (CMNUCC) y el programa conjunto PNUD-ONU Medio Ambiente de apoyo global a los Planes Nacionales de Adaptación (NAP-GSP, por sus siglas en inglés), se encuentra actualmente coordinando la Exposición Regional sobre Planes Nacionales de Adaptación (NAP Expo, por sus siglas en inglés) para América Latina, y el Taller de Capacitación sobre innovación en los Planes Nacionales de Adaptación, los cuales tendrían lugar de forma tentativa los días 22 y 23 de octubre, y 24 al 26 de octubre de 2018 respectivamente.</w:t>
      </w:r>
    </w:p>
    <w:p w14:paraId="658E5151" w14:textId="51C37D22" w:rsidR="00EB573B" w:rsidRPr="00D02132" w:rsidRDefault="00EB573B" w:rsidP="00AA0405">
      <w:pPr>
        <w:pStyle w:val="ListParagraph"/>
        <w:numPr>
          <w:ilvl w:val="1"/>
          <w:numId w:val="31"/>
        </w:numPr>
        <w:spacing w:after="120" w:line="276" w:lineRule="auto"/>
        <w:jc w:val="both"/>
        <w:rPr>
          <w:rFonts w:ascii="Roboto" w:hAnsi="Roboto"/>
          <w:sz w:val="22"/>
          <w:szCs w:val="22"/>
          <w:lang w:val="es-PA"/>
        </w:rPr>
      </w:pPr>
      <w:r w:rsidRPr="00D02132">
        <w:rPr>
          <w:rFonts w:ascii="Roboto" w:hAnsi="Roboto"/>
          <w:sz w:val="22"/>
          <w:szCs w:val="22"/>
          <w:lang w:val="es-PA"/>
        </w:rPr>
        <w:lastRenderedPageBreak/>
        <w:t>Comunidad de práctica online: Regatta cuenta actualmente con tres comunidades de práctica online orientadas hacia crear y fortalecer capacidades técnicas en torno a la planificación de la adaptación. La comunidad de apoyo a la elaboración e implementación de los Planes Nacionales de Adaptación (Comunidad PNACC) es una comunidad que tiene como objetivo apoyar el proceso NAP de los 33 países de América Latina y el Caribe. Actualmente, esta Comunidad tiene 140 miembros activos, de los cuales la mitad son funcionarios públicos que trabajan directamente en los Planes Nacionales de Adaptación. A través de sus actividades online, más de 700 personas, incluidos funcionarios gubernamentales y miembros de ONG</w:t>
      </w:r>
      <w:r w:rsidR="00453BB1">
        <w:rPr>
          <w:rFonts w:ascii="Roboto" w:hAnsi="Roboto"/>
          <w:sz w:val="22"/>
          <w:szCs w:val="22"/>
          <w:lang w:val="es-PA"/>
        </w:rPr>
        <w:t>s</w:t>
      </w:r>
      <w:r w:rsidRPr="00D02132">
        <w:rPr>
          <w:rFonts w:ascii="Roboto" w:hAnsi="Roboto"/>
          <w:sz w:val="22"/>
          <w:szCs w:val="22"/>
          <w:lang w:val="es-PA"/>
        </w:rPr>
        <w:t xml:space="preserve"> y el sector privado y académico han participado y han sido capacitados en un amplio rango de temáticas relacionados a la planificación de la adaptación.</w:t>
      </w:r>
      <w:r w:rsidR="0040366E" w:rsidRPr="00D02132">
        <w:rPr>
          <w:rFonts w:ascii="Roboto" w:hAnsi="Roboto"/>
          <w:sz w:val="22"/>
          <w:szCs w:val="22"/>
          <w:lang w:val="es-PA"/>
        </w:rPr>
        <w:t xml:space="preserve"> </w:t>
      </w:r>
      <w:r w:rsidRPr="00D02132">
        <w:rPr>
          <w:rFonts w:ascii="Roboto" w:hAnsi="Roboto"/>
          <w:sz w:val="22"/>
          <w:szCs w:val="22"/>
          <w:lang w:val="es-PA"/>
        </w:rPr>
        <w:t xml:space="preserve">Adicionalmente, a través de la comunidad </w:t>
      </w:r>
      <w:r w:rsidR="00453BB1">
        <w:rPr>
          <w:rFonts w:ascii="Roboto" w:hAnsi="Roboto"/>
          <w:sz w:val="22"/>
          <w:szCs w:val="22"/>
          <w:lang w:val="es-PA"/>
        </w:rPr>
        <w:t xml:space="preserve">de práctica </w:t>
      </w:r>
      <w:r w:rsidRPr="00D02132">
        <w:rPr>
          <w:rFonts w:ascii="Roboto" w:hAnsi="Roboto"/>
          <w:sz w:val="22"/>
          <w:szCs w:val="22"/>
          <w:lang w:val="es-PA"/>
        </w:rPr>
        <w:t>sobre Planes Nacionales de Adaptación al Cambio Climático, PNACC, se ha desarrollado una sinergia con la Red de Formación Ambiental para América Latina y el Caribe, desarrollada bajo la Decisión 3 sobre Educación Ambiental para el Desarrollo Sostenible, para la cooperación entre las directoras y directores de las unidades de Educación Ambiental de los ministerios de Medio Ambiente. Para esto actualmente se está desarrollando un módulo virtual de tres seminarios en educación y adaptación al cambio climático los cuales se implementan entre agosto y septiembre de 2018.</w:t>
      </w:r>
    </w:p>
    <w:p w14:paraId="668B6124" w14:textId="5276A61E" w:rsidR="00EB573B" w:rsidRPr="00D02132" w:rsidRDefault="00EB573B" w:rsidP="0040366E">
      <w:pPr>
        <w:pStyle w:val="ListParagraph"/>
        <w:numPr>
          <w:ilvl w:val="1"/>
          <w:numId w:val="31"/>
        </w:numPr>
        <w:spacing w:after="120" w:line="276" w:lineRule="auto"/>
        <w:jc w:val="both"/>
        <w:rPr>
          <w:rFonts w:ascii="Roboto" w:hAnsi="Roboto"/>
          <w:sz w:val="22"/>
          <w:szCs w:val="22"/>
          <w:lang w:val="es-PA"/>
        </w:rPr>
      </w:pPr>
      <w:r w:rsidRPr="00D02132">
        <w:rPr>
          <w:rFonts w:ascii="Roboto" w:hAnsi="Roboto"/>
          <w:sz w:val="22"/>
          <w:szCs w:val="22"/>
          <w:lang w:val="es-PA"/>
        </w:rPr>
        <w:t>Intercambios de aprendizaje sobre herramientas para la adaptación: Con el apoyo adicional de la Red Global de Adaptación (GAN) y la Red y Centro de Tecnología para el Clima del Convenio Marco (CTCN), Regatta implementó en 2017 dos experiencias de Cooperación Sur-Sur dirigidas a fomentar el intercambio de conocimiento, lecciones aprendidas y buenas prácticas en adaptación en América Latina. Participaron organizaciones de gobierno, ONG</w:t>
      </w:r>
      <w:r w:rsidR="00453BB1">
        <w:rPr>
          <w:rFonts w:ascii="Roboto" w:hAnsi="Roboto"/>
          <w:sz w:val="22"/>
          <w:szCs w:val="22"/>
          <w:lang w:val="es-PA"/>
        </w:rPr>
        <w:t>s</w:t>
      </w:r>
      <w:r w:rsidRPr="00D02132">
        <w:rPr>
          <w:rFonts w:ascii="Roboto" w:hAnsi="Roboto"/>
          <w:sz w:val="22"/>
          <w:szCs w:val="22"/>
          <w:lang w:val="es-PA"/>
        </w:rPr>
        <w:t xml:space="preserve"> y sector civil de México</w:t>
      </w:r>
      <w:r w:rsidR="00453BB1">
        <w:rPr>
          <w:rFonts w:ascii="Roboto" w:hAnsi="Roboto"/>
          <w:sz w:val="22"/>
          <w:szCs w:val="22"/>
          <w:lang w:val="es-PA"/>
        </w:rPr>
        <w:t xml:space="preserve">, </w:t>
      </w:r>
      <w:r w:rsidRPr="00D02132">
        <w:rPr>
          <w:rFonts w:ascii="Roboto" w:hAnsi="Roboto"/>
          <w:sz w:val="22"/>
          <w:szCs w:val="22"/>
          <w:lang w:val="es-PA"/>
        </w:rPr>
        <w:t xml:space="preserve"> Chile, Colombia</w:t>
      </w:r>
      <w:r w:rsidR="00453BB1">
        <w:rPr>
          <w:rFonts w:ascii="Roboto" w:hAnsi="Roboto"/>
          <w:sz w:val="22"/>
          <w:szCs w:val="22"/>
          <w:lang w:val="es-PA"/>
        </w:rPr>
        <w:t xml:space="preserve">, y </w:t>
      </w:r>
      <w:r w:rsidRPr="00D02132">
        <w:rPr>
          <w:rFonts w:ascii="Roboto" w:hAnsi="Roboto"/>
          <w:sz w:val="22"/>
          <w:szCs w:val="22"/>
          <w:lang w:val="es-PA"/>
        </w:rPr>
        <w:t>Honduras</w:t>
      </w:r>
      <w:r w:rsidR="00453BB1">
        <w:rPr>
          <w:rFonts w:ascii="Roboto" w:hAnsi="Roboto"/>
          <w:sz w:val="22"/>
          <w:szCs w:val="22"/>
          <w:lang w:val="es-PA"/>
        </w:rPr>
        <w:t xml:space="preserve">, en donde </w:t>
      </w:r>
      <w:r w:rsidRPr="00D02132">
        <w:rPr>
          <w:rFonts w:ascii="Roboto" w:hAnsi="Roboto"/>
          <w:sz w:val="22"/>
          <w:szCs w:val="22"/>
          <w:lang w:val="es-PA"/>
        </w:rPr>
        <w:t xml:space="preserve">se intercambiaron buenas prácticas y lecciones aprendidas en materia de gobernabilidad climática, metodologías innovadoras de análisis de vulnerabilidad y de procesos participativos entre México y Chile, y experiencias en el uso de medidas de adaptación basada en ecosistemas a nivel comunitario, transferencia de tecnologías e implementación de buenas prácticas agrícolas adaptadas al clima entre Colombia y Honduras. </w:t>
      </w:r>
    </w:p>
    <w:p w14:paraId="20D22127" w14:textId="77777777" w:rsidR="0040366E" w:rsidRPr="00D02132" w:rsidRDefault="00EB573B" w:rsidP="00E10BB1">
      <w:pPr>
        <w:spacing w:after="120" w:line="276" w:lineRule="auto"/>
        <w:jc w:val="both"/>
        <w:outlineLvl w:val="0"/>
        <w:rPr>
          <w:rFonts w:ascii="Roboto" w:hAnsi="Roboto"/>
          <w:sz w:val="22"/>
          <w:szCs w:val="22"/>
          <w:u w:val="single"/>
        </w:rPr>
      </w:pPr>
      <w:r w:rsidRPr="00D02132">
        <w:rPr>
          <w:rFonts w:ascii="Roboto" w:hAnsi="Roboto"/>
          <w:sz w:val="22"/>
          <w:szCs w:val="22"/>
          <w:u w:val="single"/>
        </w:rPr>
        <w:t xml:space="preserve">Otras comunidades de práctica online: </w:t>
      </w:r>
    </w:p>
    <w:p w14:paraId="70CE43FF" w14:textId="3BA319D0" w:rsidR="00EB573B" w:rsidRPr="00D02132" w:rsidRDefault="00EB573B" w:rsidP="0040366E">
      <w:pPr>
        <w:pStyle w:val="ListParagraph"/>
        <w:numPr>
          <w:ilvl w:val="0"/>
          <w:numId w:val="4"/>
        </w:numPr>
        <w:spacing w:after="120" w:line="276" w:lineRule="auto"/>
        <w:ind w:left="0" w:firstLine="0"/>
        <w:jc w:val="both"/>
        <w:rPr>
          <w:rFonts w:ascii="Roboto" w:hAnsi="Roboto"/>
          <w:sz w:val="22"/>
          <w:szCs w:val="22"/>
          <w:lang w:val="es-PA"/>
        </w:rPr>
      </w:pPr>
      <w:r w:rsidRPr="00D02132">
        <w:rPr>
          <w:rFonts w:ascii="Roboto" w:hAnsi="Roboto"/>
          <w:sz w:val="22"/>
          <w:szCs w:val="22"/>
          <w:lang w:val="es-PA"/>
        </w:rPr>
        <w:t xml:space="preserve">Además de la comunidad de apoyo a la elaboración e implementación de los Planes Nacionales de Adaptación (Comunidad PNACC), Regatta tiene otras dos comunidades de práctica: en Adaptación basada en Ecosistema (Comunidad EbA) y Cambio Climático y Salud (CoPSaCC). Por un lado, la Comunidad EbA que actualmente cuenta con más de 3.000 miembros y se ha expandido a otras regiones, incluidas África y Asia, y ha implementado 18 módulos temáticos sobre Adaptación basada en ecosistemas y colaborado con otras instituciones clave en la región, incluidas GIZ y </w:t>
      </w:r>
      <w:r w:rsidR="00453BB1">
        <w:rPr>
          <w:rFonts w:ascii="Roboto" w:hAnsi="Roboto"/>
          <w:sz w:val="22"/>
          <w:szCs w:val="22"/>
          <w:lang w:val="es-PA"/>
        </w:rPr>
        <w:t>el Centro Regional para el hemisferio occidental (</w:t>
      </w:r>
      <w:r w:rsidRPr="00D02132">
        <w:rPr>
          <w:rFonts w:ascii="Roboto" w:hAnsi="Roboto"/>
          <w:sz w:val="22"/>
          <w:szCs w:val="22"/>
          <w:lang w:val="es-PA"/>
        </w:rPr>
        <w:t>CREHO</w:t>
      </w:r>
      <w:r w:rsidR="00453BB1">
        <w:rPr>
          <w:rFonts w:ascii="Roboto" w:hAnsi="Roboto"/>
          <w:sz w:val="22"/>
          <w:szCs w:val="22"/>
          <w:lang w:val="es-PA"/>
        </w:rPr>
        <w:t>)</w:t>
      </w:r>
      <w:r w:rsidRPr="00D02132">
        <w:rPr>
          <w:rFonts w:ascii="Roboto" w:hAnsi="Roboto"/>
          <w:sz w:val="22"/>
          <w:szCs w:val="22"/>
          <w:lang w:val="es-PA"/>
        </w:rPr>
        <w:t xml:space="preserve">. Actualmente, se encuentran en fase final la elaboración </w:t>
      </w:r>
      <w:r w:rsidR="00453BB1">
        <w:rPr>
          <w:rFonts w:ascii="Roboto" w:hAnsi="Roboto"/>
          <w:sz w:val="22"/>
          <w:szCs w:val="22"/>
          <w:lang w:val="es-PA"/>
        </w:rPr>
        <w:t xml:space="preserve">de </w:t>
      </w:r>
      <w:r w:rsidRPr="00D02132">
        <w:rPr>
          <w:rFonts w:ascii="Roboto" w:hAnsi="Roboto"/>
          <w:sz w:val="22"/>
          <w:szCs w:val="22"/>
          <w:lang w:val="es-PA"/>
        </w:rPr>
        <w:t xml:space="preserve">tres publicaciones sobre experiencias y buenas prácticas del enfoque de Adaptación basada en Ecosistemas en la región, que se finalizarán antes de fin de año. Por otro lado, la Comunidad de Cambio Climático y Salud ha </w:t>
      </w:r>
      <w:r w:rsidR="00453BB1">
        <w:rPr>
          <w:rFonts w:ascii="Roboto" w:hAnsi="Roboto"/>
          <w:sz w:val="22"/>
          <w:szCs w:val="22"/>
          <w:lang w:val="es-PA"/>
        </w:rPr>
        <w:t>realizado</w:t>
      </w:r>
      <w:r w:rsidRPr="00D02132">
        <w:rPr>
          <w:rFonts w:ascii="Roboto" w:hAnsi="Roboto"/>
          <w:sz w:val="22"/>
          <w:szCs w:val="22"/>
          <w:lang w:val="es-PA"/>
        </w:rPr>
        <w:t xml:space="preserve"> cuatro </w:t>
      </w:r>
      <w:r w:rsidR="00453BB1">
        <w:rPr>
          <w:rFonts w:ascii="Roboto" w:hAnsi="Roboto"/>
          <w:sz w:val="22"/>
          <w:szCs w:val="22"/>
          <w:lang w:val="es-PA"/>
        </w:rPr>
        <w:t>w</w:t>
      </w:r>
      <w:r w:rsidRPr="00D02132">
        <w:rPr>
          <w:rFonts w:ascii="Roboto" w:hAnsi="Roboto"/>
          <w:sz w:val="22"/>
          <w:szCs w:val="22"/>
          <w:lang w:val="es-PA"/>
        </w:rPr>
        <w:t>eb</w:t>
      </w:r>
      <w:r w:rsidR="00453BB1">
        <w:rPr>
          <w:rFonts w:ascii="Roboto" w:hAnsi="Roboto"/>
          <w:sz w:val="22"/>
          <w:szCs w:val="22"/>
          <w:lang w:val="es-PA"/>
        </w:rPr>
        <w:t>inars</w:t>
      </w:r>
      <w:r w:rsidRPr="00D02132">
        <w:rPr>
          <w:rFonts w:ascii="Roboto" w:hAnsi="Roboto"/>
          <w:sz w:val="22"/>
          <w:szCs w:val="22"/>
          <w:lang w:val="es-PA"/>
        </w:rPr>
        <w:t xml:space="preserve"> en los </w:t>
      </w:r>
      <w:r w:rsidRPr="00D02132">
        <w:rPr>
          <w:rFonts w:ascii="Roboto" w:hAnsi="Roboto"/>
          <w:sz w:val="22"/>
          <w:szCs w:val="22"/>
          <w:lang w:val="es-PA"/>
        </w:rPr>
        <w:lastRenderedPageBreak/>
        <w:t xml:space="preserve">que han participado más de 1.500 personas de todos los sectores principalmente gobierno y academia. </w:t>
      </w:r>
    </w:p>
    <w:p w14:paraId="03D38636" w14:textId="77777777" w:rsidR="00CD0D92" w:rsidRPr="00D02132" w:rsidRDefault="009C2877" w:rsidP="009C2877">
      <w:pPr>
        <w:spacing w:after="120" w:line="276" w:lineRule="auto"/>
        <w:jc w:val="both"/>
        <w:rPr>
          <w:rFonts w:ascii="Roboto" w:hAnsi="Roboto"/>
          <w:sz w:val="22"/>
          <w:szCs w:val="22"/>
          <w:u w:val="single"/>
        </w:rPr>
      </w:pPr>
      <w:r w:rsidRPr="00D02132">
        <w:rPr>
          <w:rFonts w:ascii="Roboto" w:hAnsi="Roboto"/>
          <w:sz w:val="22"/>
          <w:szCs w:val="22"/>
          <w:u w:val="single"/>
        </w:rPr>
        <w:t>A</w:t>
      </w:r>
      <w:r w:rsidR="00EB573B" w:rsidRPr="00D02132">
        <w:rPr>
          <w:rFonts w:ascii="Roboto" w:hAnsi="Roboto"/>
          <w:sz w:val="22"/>
          <w:szCs w:val="22"/>
          <w:u w:val="single"/>
        </w:rPr>
        <w:t>poyo a la implementación de la Agenda Estratégica de Adaptación al Cambio Climático de la Iniciativa Andina de Montañas.</w:t>
      </w:r>
    </w:p>
    <w:p w14:paraId="6966CE9E" w14:textId="3D6EDE19" w:rsidR="00EB573B" w:rsidRPr="00D02132" w:rsidRDefault="00EB573B" w:rsidP="00CD0D92">
      <w:pPr>
        <w:pStyle w:val="ListParagraph"/>
        <w:numPr>
          <w:ilvl w:val="0"/>
          <w:numId w:val="4"/>
        </w:numPr>
        <w:spacing w:after="120" w:line="276" w:lineRule="auto"/>
        <w:ind w:left="0" w:firstLine="0"/>
        <w:jc w:val="both"/>
        <w:rPr>
          <w:rFonts w:ascii="Roboto" w:hAnsi="Roboto"/>
          <w:sz w:val="22"/>
          <w:szCs w:val="22"/>
          <w:lang w:val="es-PA"/>
        </w:rPr>
      </w:pPr>
      <w:r w:rsidRPr="00D02132">
        <w:rPr>
          <w:rFonts w:ascii="Roboto" w:hAnsi="Roboto"/>
          <w:sz w:val="22"/>
          <w:szCs w:val="22"/>
          <w:lang w:val="es-PA"/>
        </w:rPr>
        <w:t xml:space="preserve"> Esta agenda, facilitada por ONU Medio Ambiente a través de la iniciativa Euroclima+ y el apoyo d</w:t>
      </w:r>
      <w:r w:rsidR="00453BB1">
        <w:rPr>
          <w:rFonts w:ascii="Roboto" w:hAnsi="Roboto"/>
          <w:sz w:val="22"/>
          <w:szCs w:val="22"/>
          <w:lang w:val="es-PA"/>
        </w:rPr>
        <w:t>el Consorcio para el desarrollo de la Ecorregión Andina (</w:t>
      </w:r>
      <w:r w:rsidRPr="00D02132">
        <w:rPr>
          <w:rFonts w:ascii="Roboto" w:hAnsi="Roboto"/>
          <w:sz w:val="22"/>
          <w:szCs w:val="22"/>
          <w:lang w:val="es-PA"/>
        </w:rPr>
        <w:t>Condesan</w:t>
      </w:r>
      <w:r w:rsidR="00453BB1">
        <w:rPr>
          <w:rFonts w:ascii="Roboto" w:hAnsi="Roboto"/>
          <w:sz w:val="22"/>
          <w:szCs w:val="22"/>
          <w:lang w:val="es-PA"/>
        </w:rPr>
        <w:t>)</w:t>
      </w:r>
      <w:r w:rsidRPr="00D02132">
        <w:rPr>
          <w:rFonts w:ascii="Roboto" w:hAnsi="Roboto"/>
          <w:sz w:val="22"/>
          <w:szCs w:val="22"/>
          <w:lang w:val="es-PA"/>
        </w:rPr>
        <w:t>, fue creada por los 7 países andinos (Venezuela, Colombia, Ecuador, Perú, Chile, Bolivia, Argentina). A petición de los puntos focales de</w:t>
      </w:r>
      <w:r w:rsidR="00453BB1">
        <w:rPr>
          <w:rFonts w:ascii="Roboto" w:hAnsi="Roboto"/>
          <w:sz w:val="22"/>
          <w:szCs w:val="22"/>
          <w:lang w:val="es-PA"/>
        </w:rPr>
        <w:t>l tema de</w:t>
      </w:r>
      <w:r w:rsidRPr="00D02132">
        <w:rPr>
          <w:rFonts w:ascii="Roboto" w:hAnsi="Roboto"/>
          <w:sz w:val="22"/>
          <w:szCs w:val="22"/>
          <w:lang w:val="es-PA"/>
        </w:rPr>
        <w:t xml:space="preserve"> montaña de los países andinos, se tiene prevista una evaluación de las vías de acceso </w:t>
      </w:r>
      <w:r w:rsidR="00453BB1">
        <w:rPr>
          <w:rFonts w:ascii="Roboto" w:hAnsi="Roboto"/>
          <w:sz w:val="22"/>
          <w:szCs w:val="22"/>
          <w:lang w:val="es-PA"/>
        </w:rPr>
        <w:t>para el</w:t>
      </w:r>
      <w:r w:rsidRPr="00D02132">
        <w:rPr>
          <w:rFonts w:ascii="Roboto" w:hAnsi="Roboto"/>
          <w:sz w:val="22"/>
          <w:szCs w:val="22"/>
          <w:lang w:val="es-PA"/>
        </w:rPr>
        <w:t xml:space="preserve"> financiamiento climático, y el apoyo para el desarrollo de una propuesta de financiamiento de actividades de Adaptación basada en Ecosistemas en el sector hídrico en sistemas montañosos. Igualmente, se promoverá el diálogo de políticas a través del apoyo al Encuentro Anual de la Iniciativa.</w:t>
      </w:r>
    </w:p>
    <w:p w14:paraId="28116CC0" w14:textId="77777777" w:rsidR="00EB573B" w:rsidRPr="00D02132" w:rsidRDefault="00EB573B" w:rsidP="00E10BB1">
      <w:pPr>
        <w:spacing w:after="120" w:line="276" w:lineRule="auto"/>
        <w:jc w:val="both"/>
        <w:outlineLvl w:val="0"/>
        <w:rPr>
          <w:rFonts w:ascii="Roboto" w:hAnsi="Roboto"/>
          <w:sz w:val="22"/>
          <w:szCs w:val="22"/>
          <w:u w:val="single"/>
        </w:rPr>
      </w:pPr>
      <w:r w:rsidRPr="00D02132">
        <w:rPr>
          <w:rFonts w:ascii="Roboto" w:hAnsi="Roboto"/>
          <w:sz w:val="22"/>
          <w:szCs w:val="22"/>
          <w:u w:val="single"/>
        </w:rPr>
        <w:t xml:space="preserve">Mitigación del cambio climático </w:t>
      </w:r>
    </w:p>
    <w:p w14:paraId="3F85C410" w14:textId="60680886" w:rsidR="00EB573B" w:rsidRPr="00D02132" w:rsidRDefault="007B1D4F" w:rsidP="00CD0D92">
      <w:pPr>
        <w:pStyle w:val="ListParagraph"/>
        <w:numPr>
          <w:ilvl w:val="0"/>
          <w:numId w:val="4"/>
        </w:numPr>
        <w:spacing w:after="120" w:line="276" w:lineRule="auto"/>
        <w:ind w:left="0" w:firstLine="0"/>
        <w:jc w:val="both"/>
        <w:rPr>
          <w:rFonts w:ascii="Roboto" w:hAnsi="Roboto"/>
          <w:sz w:val="22"/>
          <w:szCs w:val="22"/>
          <w:lang w:val="es-PA"/>
        </w:rPr>
      </w:pPr>
      <w:r w:rsidRPr="00D02132">
        <w:rPr>
          <w:rFonts w:ascii="Roboto" w:hAnsi="Roboto"/>
          <w:sz w:val="22"/>
          <w:szCs w:val="22"/>
          <w:lang w:val="es-PA"/>
        </w:rPr>
        <w:t xml:space="preserve">La </w:t>
      </w:r>
      <w:r w:rsidR="00EB573B" w:rsidRPr="00D02132">
        <w:rPr>
          <w:rFonts w:ascii="Roboto" w:hAnsi="Roboto"/>
          <w:sz w:val="22"/>
          <w:szCs w:val="22"/>
          <w:lang w:val="es-PA"/>
        </w:rPr>
        <w:t>Comunidad de práctica onlin</w:t>
      </w:r>
      <w:r w:rsidRPr="00D02132">
        <w:rPr>
          <w:rFonts w:ascii="Roboto" w:hAnsi="Roboto"/>
          <w:sz w:val="22"/>
          <w:szCs w:val="22"/>
          <w:lang w:val="es-PA"/>
        </w:rPr>
        <w:t>e</w:t>
      </w:r>
      <w:r w:rsidR="00EB573B" w:rsidRPr="00D02132">
        <w:rPr>
          <w:rFonts w:ascii="Roboto" w:hAnsi="Roboto"/>
          <w:sz w:val="22"/>
          <w:szCs w:val="22"/>
          <w:lang w:val="es-PA"/>
        </w:rPr>
        <w:t xml:space="preserve"> MOVE</w:t>
      </w:r>
      <w:r w:rsidR="006E0A83">
        <w:rPr>
          <w:rStyle w:val="FootnoteReference"/>
          <w:rFonts w:ascii="Roboto" w:hAnsi="Roboto"/>
          <w:sz w:val="22"/>
          <w:szCs w:val="22"/>
          <w:lang w:val="es-PA"/>
        </w:rPr>
        <w:footnoteReference w:id="19"/>
      </w:r>
      <w:r w:rsidR="00EB573B" w:rsidRPr="00D02132">
        <w:rPr>
          <w:rFonts w:ascii="Roboto" w:hAnsi="Roboto"/>
          <w:sz w:val="22"/>
          <w:szCs w:val="22"/>
          <w:lang w:val="es-PA"/>
        </w:rPr>
        <w:t xml:space="preserve"> – parte de Regatta – brinda capacitación a oficiales técnicos de gobierno (Ministerios de Ambiente, Transporte, Energía, Municipios y </w:t>
      </w:r>
      <w:r w:rsidR="00453BB1">
        <w:rPr>
          <w:rFonts w:ascii="Roboto" w:hAnsi="Roboto"/>
          <w:sz w:val="22"/>
          <w:szCs w:val="22"/>
          <w:lang w:val="es-PA"/>
        </w:rPr>
        <w:t>A</w:t>
      </w:r>
      <w:r w:rsidR="00EB573B" w:rsidRPr="00D02132">
        <w:rPr>
          <w:rFonts w:ascii="Roboto" w:hAnsi="Roboto"/>
          <w:sz w:val="22"/>
          <w:szCs w:val="22"/>
          <w:lang w:val="es-PA"/>
        </w:rPr>
        <w:t xml:space="preserve">cademia) a través de jornadas virtuales mensuales en distintos temas relevantes </w:t>
      </w:r>
      <w:r w:rsidR="00453BB1">
        <w:rPr>
          <w:rFonts w:ascii="Roboto" w:hAnsi="Roboto"/>
          <w:sz w:val="22"/>
          <w:szCs w:val="22"/>
          <w:lang w:val="es-PA"/>
        </w:rPr>
        <w:t>a</w:t>
      </w:r>
      <w:r w:rsidR="00EB573B" w:rsidRPr="00D02132">
        <w:rPr>
          <w:rFonts w:ascii="Roboto" w:hAnsi="Roboto"/>
          <w:sz w:val="22"/>
          <w:szCs w:val="22"/>
          <w:lang w:val="es-PA"/>
        </w:rPr>
        <w:t xml:space="preserve"> la movilidad eléctrica, con la colaboración del Centro Mario Molina Chile y el Instituto Tecnológico de Buenos Aires. Mas de 500 personas han participado en estas formaciones. En mayo 2017 se realizó la “Primera Conferencia Internacional sobre Electromovilidad y Transporte Público” en Chile, junto con el Centro Mario Molina y Euroclima+. En la conferencia participaron representantes de 15 países de la región. </w:t>
      </w:r>
    </w:p>
    <w:p w14:paraId="09BF6A24" w14:textId="56B0FF9A" w:rsidR="00EB573B" w:rsidRPr="00D02132" w:rsidRDefault="00EB573B" w:rsidP="00CD0D92">
      <w:pPr>
        <w:pStyle w:val="ListParagraph"/>
        <w:numPr>
          <w:ilvl w:val="0"/>
          <w:numId w:val="4"/>
        </w:numPr>
        <w:spacing w:after="120" w:line="276" w:lineRule="auto"/>
        <w:ind w:left="0" w:firstLine="0"/>
        <w:jc w:val="both"/>
        <w:rPr>
          <w:rFonts w:ascii="Roboto" w:hAnsi="Roboto"/>
          <w:sz w:val="22"/>
          <w:szCs w:val="22"/>
          <w:lang w:val="es-PA"/>
        </w:rPr>
      </w:pPr>
      <w:r w:rsidRPr="00D02132">
        <w:rPr>
          <w:rFonts w:ascii="Roboto" w:hAnsi="Roboto"/>
          <w:sz w:val="22"/>
          <w:szCs w:val="22"/>
          <w:lang w:val="es-PA"/>
        </w:rPr>
        <w:t xml:space="preserve">En materia de asistencia técnica MOVE ha desarrollado una “Guía Práctica para la Elaboración de Estrategias Nacionales de Movilidad Eléctrica”. Actualmente se está apoyando a Colombia (a través de Regatta), Argentina y Panamá (a través de Euroclima+) en la formulación de sus estrategias nacionales de movilidad eléctrica y se han dado comentarios técnicos para el desarrollo de la estrategia chilena. Asimismo, se está asistiendo en estos momentos a los gobiernos de Chile (a través de Euroclima+) y Costa Rica en la creación de condiciones para el escalamiento comercial de buses eléctricos en sus capitales. </w:t>
      </w:r>
    </w:p>
    <w:p w14:paraId="0F578FC4" w14:textId="77777777" w:rsidR="00EB573B" w:rsidRPr="00D02132" w:rsidRDefault="00EB573B" w:rsidP="00EB573B">
      <w:pPr>
        <w:pStyle w:val="ListParagraph"/>
        <w:spacing w:after="120" w:line="276" w:lineRule="auto"/>
        <w:jc w:val="both"/>
        <w:rPr>
          <w:rFonts w:ascii="Roboto" w:hAnsi="Roboto"/>
          <w:sz w:val="22"/>
          <w:szCs w:val="22"/>
          <w:lang w:val="es-PA"/>
        </w:rPr>
      </w:pPr>
    </w:p>
    <w:p w14:paraId="2D331DE2" w14:textId="77777777" w:rsidR="00EB573B" w:rsidRPr="00453BB1" w:rsidRDefault="00EB573B" w:rsidP="00E10BB1">
      <w:pPr>
        <w:spacing w:after="120" w:line="276" w:lineRule="auto"/>
        <w:jc w:val="both"/>
        <w:outlineLvl w:val="0"/>
        <w:rPr>
          <w:rFonts w:ascii="Roboto" w:hAnsi="Roboto"/>
          <w:sz w:val="22"/>
          <w:szCs w:val="22"/>
          <w:u w:val="single"/>
        </w:rPr>
      </w:pPr>
      <w:r w:rsidRPr="00453BB1">
        <w:rPr>
          <w:rFonts w:ascii="Roboto" w:hAnsi="Roboto"/>
          <w:sz w:val="22"/>
          <w:szCs w:val="22"/>
          <w:u w:val="single"/>
        </w:rPr>
        <w:t xml:space="preserve">Medios de implementación </w:t>
      </w:r>
    </w:p>
    <w:p w14:paraId="43BF132D" w14:textId="4D260B1B" w:rsidR="00EB573B" w:rsidRDefault="00EB573B" w:rsidP="00CD0D92">
      <w:pPr>
        <w:pStyle w:val="ListParagraph"/>
        <w:numPr>
          <w:ilvl w:val="0"/>
          <w:numId w:val="4"/>
        </w:numPr>
        <w:spacing w:after="120" w:line="276" w:lineRule="auto"/>
        <w:ind w:left="0" w:firstLine="0"/>
        <w:jc w:val="both"/>
        <w:rPr>
          <w:rFonts w:ascii="Roboto" w:hAnsi="Roboto"/>
          <w:sz w:val="22"/>
          <w:szCs w:val="22"/>
          <w:lang w:val="es-PA"/>
        </w:rPr>
      </w:pPr>
      <w:r w:rsidRPr="00D02132">
        <w:rPr>
          <w:rFonts w:ascii="Roboto" w:hAnsi="Roboto"/>
          <w:sz w:val="22"/>
          <w:szCs w:val="22"/>
          <w:lang w:val="es-PA"/>
        </w:rPr>
        <w:t xml:space="preserve">En materia de medios de implementación a través de la iniciativa Regatta, ONU Medio Ambiente junto con la Alianza DTU han facilitado la creación de un Centro de Transparencia Climática de América Latina y el Caribe para apoyar la implementación del Acuerdo de París y su marco reforzado de transparencia en la región. Este centro virtual apoya a los gobiernos de la región a reforzar sus capacidades en materia de </w:t>
      </w:r>
      <w:r w:rsidR="00453BB1">
        <w:rPr>
          <w:rFonts w:ascii="Roboto" w:hAnsi="Roboto"/>
          <w:sz w:val="22"/>
          <w:szCs w:val="22"/>
          <w:lang w:val="es-PA"/>
        </w:rPr>
        <w:t>monitoreo</w:t>
      </w:r>
      <w:r w:rsidRPr="00D02132">
        <w:rPr>
          <w:rFonts w:ascii="Roboto" w:hAnsi="Roboto"/>
          <w:sz w:val="22"/>
          <w:szCs w:val="22"/>
          <w:lang w:val="es-PA"/>
        </w:rPr>
        <w:t>, reporte y verificación (MRV) de las Contribuciones Determinadas Nacionalmente (NDC</w:t>
      </w:r>
      <w:r w:rsidR="00333422">
        <w:rPr>
          <w:rFonts w:ascii="Roboto" w:hAnsi="Roboto"/>
          <w:sz w:val="22"/>
          <w:szCs w:val="22"/>
          <w:lang w:val="es-PA"/>
        </w:rPr>
        <w:t xml:space="preserve"> por sus siglas en inglés</w:t>
      </w:r>
      <w:r w:rsidRPr="00D02132">
        <w:rPr>
          <w:rFonts w:ascii="Roboto" w:hAnsi="Roboto"/>
          <w:sz w:val="22"/>
          <w:szCs w:val="22"/>
          <w:lang w:val="es-PA"/>
        </w:rPr>
        <w:t xml:space="preserve">). Además, el centro genera una oportunidad ideal para encontrar puntos de acción conjunta e integrada a nivel regional en materia de transparencia climática. A </w:t>
      </w:r>
      <w:r w:rsidRPr="00D02132">
        <w:rPr>
          <w:rFonts w:ascii="Roboto" w:hAnsi="Roboto"/>
          <w:sz w:val="22"/>
          <w:szCs w:val="22"/>
          <w:lang w:val="es-PA"/>
        </w:rPr>
        <w:lastRenderedPageBreak/>
        <w:t xml:space="preserve">través del centro se han llevado a cabo dos talleres regionales con la participación de 14 países y </w:t>
      </w:r>
      <w:r w:rsidR="00333422">
        <w:rPr>
          <w:rFonts w:ascii="Roboto" w:hAnsi="Roboto"/>
          <w:sz w:val="22"/>
          <w:szCs w:val="22"/>
          <w:lang w:val="es-PA"/>
        </w:rPr>
        <w:t xml:space="preserve"> se han </w:t>
      </w:r>
      <w:r w:rsidRPr="00D02132">
        <w:rPr>
          <w:rFonts w:ascii="Roboto" w:hAnsi="Roboto"/>
          <w:sz w:val="22"/>
          <w:szCs w:val="22"/>
          <w:lang w:val="es-PA"/>
        </w:rPr>
        <w:t xml:space="preserve">generado iniciativas de financiamiento para la transparencia en 8 países de la región. </w:t>
      </w:r>
    </w:p>
    <w:p w14:paraId="254921EE" w14:textId="5FED5D21" w:rsidR="00453BB1" w:rsidRDefault="00453BB1" w:rsidP="00453BB1">
      <w:pPr>
        <w:spacing w:after="120" w:line="276" w:lineRule="auto"/>
        <w:jc w:val="both"/>
        <w:rPr>
          <w:rFonts w:ascii="Roboto" w:hAnsi="Roboto"/>
          <w:sz w:val="22"/>
          <w:szCs w:val="22"/>
        </w:rPr>
      </w:pPr>
    </w:p>
    <w:p w14:paraId="301A9BAF" w14:textId="77777777" w:rsidR="00453BB1" w:rsidRPr="00453BB1" w:rsidRDefault="00453BB1" w:rsidP="00453BB1">
      <w:pPr>
        <w:spacing w:after="120" w:line="276" w:lineRule="auto"/>
        <w:jc w:val="both"/>
        <w:rPr>
          <w:rFonts w:ascii="Roboto" w:hAnsi="Roboto"/>
          <w:sz w:val="22"/>
          <w:szCs w:val="22"/>
        </w:rPr>
      </w:pPr>
    </w:p>
    <w:p w14:paraId="47F4AFF0" w14:textId="77777777" w:rsidR="00EB573B" w:rsidRPr="00D02132" w:rsidRDefault="00EB573B" w:rsidP="00E10BB1">
      <w:pPr>
        <w:spacing w:after="120" w:line="276" w:lineRule="auto"/>
        <w:jc w:val="both"/>
        <w:outlineLvl w:val="0"/>
        <w:rPr>
          <w:rFonts w:ascii="Roboto" w:hAnsi="Roboto"/>
          <w:sz w:val="22"/>
          <w:szCs w:val="22"/>
          <w:u w:val="single"/>
        </w:rPr>
      </w:pPr>
      <w:r w:rsidRPr="00D02132">
        <w:rPr>
          <w:rFonts w:ascii="Roboto" w:hAnsi="Roboto"/>
          <w:sz w:val="22"/>
          <w:szCs w:val="22"/>
          <w:u w:val="single"/>
        </w:rPr>
        <w:t xml:space="preserve">Oportunidades estratégicas de cara a futuro </w:t>
      </w:r>
    </w:p>
    <w:p w14:paraId="71006820" w14:textId="7CF2AFD4" w:rsidR="00EB573B" w:rsidRPr="00D02132" w:rsidRDefault="00EB573B" w:rsidP="00CD0D92">
      <w:pPr>
        <w:pStyle w:val="ListParagraph"/>
        <w:numPr>
          <w:ilvl w:val="0"/>
          <w:numId w:val="4"/>
        </w:numPr>
        <w:spacing w:after="120" w:line="276" w:lineRule="auto"/>
        <w:ind w:left="0" w:firstLine="0"/>
        <w:jc w:val="both"/>
        <w:rPr>
          <w:rFonts w:ascii="Roboto" w:hAnsi="Roboto"/>
          <w:sz w:val="22"/>
          <w:szCs w:val="22"/>
          <w:lang w:val="es-PA"/>
        </w:rPr>
      </w:pPr>
      <w:r w:rsidRPr="00D02132">
        <w:rPr>
          <w:rFonts w:ascii="Roboto" w:hAnsi="Roboto"/>
          <w:sz w:val="22"/>
          <w:szCs w:val="22"/>
          <w:lang w:val="es-PA"/>
        </w:rPr>
        <w:t xml:space="preserve">La Reunión Intersesional del Foro de Ministros de 2017 consensuó aprovechar las iniciativas Regatta y Euroclima en materia de cambio climático en la implementación del plan de trabajo de la Plataforma Regional de Cambio Climático. De cara a seguir dotando de efectividad </w:t>
      </w:r>
      <w:r w:rsidR="00333422">
        <w:rPr>
          <w:rFonts w:ascii="Roboto" w:hAnsi="Roboto"/>
          <w:sz w:val="22"/>
          <w:szCs w:val="22"/>
          <w:lang w:val="es-PA"/>
        </w:rPr>
        <w:t>a</w:t>
      </w:r>
      <w:r w:rsidRPr="00D02132">
        <w:rPr>
          <w:rFonts w:ascii="Roboto" w:hAnsi="Roboto"/>
          <w:sz w:val="22"/>
          <w:szCs w:val="22"/>
          <w:lang w:val="es-PA"/>
        </w:rPr>
        <w:t xml:space="preserve"> la Decisión 7 del Foro de Ministros cabe la oportunidad de ahondar aún más en el rol de la Plataforma Regional de Cambio Climático </w:t>
      </w:r>
      <w:r w:rsidR="00333422">
        <w:rPr>
          <w:rFonts w:ascii="Roboto" w:hAnsi="Roboto"/>
          <w:sz w:val="22"/>
          <w:szCs w:val="22"/>
          <w:lang w:val="es-PA"/>
        </w:rPr>
        <w:t xml:space="preserve"> y en la cooperación Sur-Sur </w:t>
      </w:r>
      <w:r w:rsidRPr="00D02132">
        <w:rPr>
          <w:rFonts w:ascii="Roboto" w:hAnsi="Roboto"/>
          <w:sz w:val="22"/>
          <w:szCs w:val="22"/>
          <w:lang w:val="es-PA"/>
        </w:rPr>
        <w:t xml:space="preserve">para alinear el trabajo de otras iniciativas regionales en esta materia, de forma a crear sinergias y aumentar impactos ordenados a facilitar el cumplimiento de las decisiones del Foro de Ministros de Medio Ambiente de América Latina y el Caribe. </w:t>
      </w:r>
    </w:p>
    <w:p w14:paraId="7354252D" w14:textId="6F582CC8" w:rsidR="00EB573B" w:rsidRPr="00D02132" w:rsidRDefault="00EB573B" w:rsidP="00CD0D92">
      <w:pPr>
        <w:pStyle w:val="ListParagraph"/>
        <w:numPr>
          <w:ilvl w:val="0"/>
          <w:numId w:val="4"/>
        </w:numPr>
        <w:spacing w:after="120" w:line="276" w:lineRule="auto"/>
        <w:ind w:left="0" w:firstLine="0"/>
        <w:jc w:val="both"/>
        <w:rPr>
          <w:rFonts w:ascii="Roboto" w:hAnsi="Roboto"/>
          <w:sz w:val="22"/>
          <w:szCs w:val="22"/>
          <w:lang w:val="es-PA"/>
        </w:rPr>
      </w:pPr>
      <w:r w:rsidRPr="00D02132">
        <w:rPr>
          <w:rFonts w:ascii="Roboto" w:hAnsi="Roboto"/>
          <w:sz w:val="22"/>
          <w:szCs w:val="22"/>
          <w:lang w:val="es-PA"/>
        </w:rPr>
        <w:t xml:space="preserve">Tanto las iniciativas Regatta como Euroclima+ han demostrado durante este periodo cómo contribuir al cumplimiento de las decisiones del Foro de Ministros de Medio Ambiente. El hecho que el Secretariado de la Plataforma de Cambio Climático – que recae en ONU Medio Ambiente – gestione actividades en ambas iniciativas facilitó esta coordinación. Los importantes avances realizados en este periodo sugieren que una colaboración reforzada con las plataformas de cambio climático Euroclima+ y Regatta contribuiría a la sostenibilidad de la Plataforma Regional y de la Decisión 7, ya que pueden apoyar práctica y financieramente la implementación de los planes de trabajo de la Plataforma. </w:t>
      </w:r>
    </w:p>
    <w:p w14:paraId="27E34902" w14:textId="77777777" w:rsidR="009B0EBF" w:rsidRPr="00D02132" w:rsidRDefault="009B0EBF" w:rsidP="00F651EC">
      <w:pPr>
        <w:pStyle w:val="ListParagraph"/>
        <w:spacing w:after="120" w:line="276" w:lineRule="auto"/>
        <w:ind w:left="0"/>
        <w:jc w:val="both"/>
        <w:rPr>
          <w:rFonts w:ascii="Roboto" w:hAnsi="Roboto"/>
          <w:sz w:val="22"/>
          <w:szCs w:val="22"/>
          <w:lang w:val="es-PA"/>
        </w:rPr>
      </w:pPr>
    </w:p>
    <w:p w14:paraId="55749E9A" w14:textId="330BB593" w:rsidR="003461EE" w:rsidRDefault="003461EE" w:rsidP="00E10BB1">
      <w:pPr>
        <w:spacing w:line="276" w:lineRule="auto"/>
        <w:jc w:val="center"/>
        <w:outlineLvl w:val="0"/>
        <w:rPr>
          <w:rFonts w:ascii="Roboto" w:eastAsia="Times New Roman" w:hAnsi="Roboto" w:cs="Tahoma"/>
          <w:b/>
          <w:bCs/>
          <w:sz w:val="32"/>
          <w:szCs w:val="22"/>
        </w:rPr>
      </w:pPr>
      <w:r w:rsidRPr="00D02132">
        <w:rPr>
          <w:rFonts w:ascii="Roboto" w:eastAsia="Times New Roman" w:hAnsi="Roboto" w:cs="Tahoma"/>
          <w:b/>
          <w:bCs/>
          <w:sz w:val="32"/>
          <w:szCs w:val="22"/>
        </w:rPr>
        <w:t xml:space="preserve">Decisión 8 – Químicos y </w:t>
      </w:r>
      <w:r w:rsidR="002E7FC8" w:rsidRPr="00D02132">
        <w:rPr>
          <w:rFonts w:ascii="Roboto" w:eastAsia="Times New Roman" w:hAnsi="Roboto" w:cs="Tahoma"/>
          <w:b/>
          <w:bCs/>
          <w:sz w:val="32"/>
          <w:szCs w:val="22"/>
        </w:rPr>
        <w:t>desechos</w:t>
      </w:r>
    </w:p>
    <w:p w14:paraId="63419234" w14:textId="77777777" w:rsidR="00681B03" w:rsidRPr="00D02132" w:rsidRDefault="00681B03" w:rsidP="00F651EC">
      <w:pPr>
        <w:spacing w:line="276" w:lineRule="auto"/>
        <w:jc w:val="center"/>
        <w:rPr>
          <w:rFonts w:ascii="Roboto" w:eastAsia="Times New Roman" w:hAnsi="Roboto" w:cs="Tahoma"/>
          <w:b/>
          <w:bCs/>
          <w:sz w:val="32"/>
          <w:szCs w:val="22"/>
        </w:rPr>
      </w:pPr>
    </w:p>
    <w:p w14:paraId="75F561B8" w14:textId="445FB076" w:rsidR="00016544" w:rsidRPr="00D15D0B" w:rsidRDefault="00681B03" w:rsidP="00F40FF9">
      <w:pPr>
        <w:pStyle w:val="ListParagraph"/>
        <w:numPr>
          <w:ilvl w:val="0"/>
          <w:numId w:val="4"/>
        </w:numPr>
        <w:spacing w:line="276" w:lineRule="auto"/>
        <w:ind w:left="0" w:firstLine="0"/>
        <w:jc w:val="both"/>
        <w:rPr>
          <w:rFonts w:ascii="Roboto" w:hAnsi="Roboto" w:cs="Tahoma"/>
          <w:bCs/>
          <w:sz w:val="22"/>
          <w:szCs w:val="22"/>
          <w:lang w:val="es-PA"/>
        </w:rPr>
      </w:pPr>
      <w:r w:rsidRPr="00681B03">
        <w:rPr>
          <w:rFonts w:ascii="Roboto" w:hAnsi="Roboto" w:cs="Tahoma"/>
          <w:bCs/>
          <w:sz w:val="22"/>
          <w:szCs w:val="22"/>
          <w:lang w:val="es-PA"/>
        </w:rPr>
        <w:t xml:space="preserve">La </w:t>
      </w:r>
      <w:r w:rsidR="00D15D0B" w:rsidRPr="00681B03">
        <w:rPr>
          <w:rFonts w:ascii="Roboto" w:hAnsi="Roboto" w:cs="Tahoma"/>
          <w:bCs/>
          <w:sz w:val="22"/>
          <w:szCs w:val="22"/>
          <w:lang w:val="es-PA"/>
        </w:rPr>
        <w:t>Decisión</w:t>
      </w:r>
      <w:r w:rsidRPr="00681B03">
        <w:rPr>
          <w:rFonts w:ascii="Roboto" w:hAnsi="Roboto" w:cs="Tahoma"/>
          <w:bCs/>
          <w:sz w:val="22"/>
          <w:szCs w:val="22"/>
          <w:lang w:val="es-PA"/>
        </w:rPr>
        <w:t xml:space="preserve"> 8 sobre Químicos y desechos consta de varias secciones Cooperación Regional; el </w:t>
      </w:r>
      <w:r w:rsidRPr="00681B03">
        <w:rPr>
          <w:rFonts w:ascii="Roboto" w:hAnsi="Roboto"/>
          <w:sz w:val="22"/>
          <w:szCs w:val="22"/>
          <w:lang w:val="es-PA"/>
        </w:rPr>
        <w:t>Enfoque Estratégico para la Gestión de Productos Químicos a Nivel Internacional</w:t>
      </w:r>
      <w:r w:rsidR="00D15D0B">
        <w:rPr>
          <w:rFonts w:ascii="Roboto" w:hAnsi="Roboto"/>
          <w:sz w:val="22"/>
          <w:szCs w:val="22"/>
          <w:lang w:val="es-PA"/>
        </w:rPr>
        <w:t>/Red Intergubernamental</w:t>
      </w:r>
      <w:r w:rsidRPr="00681B03">
        <w:rPr>
          <w:rFonts w:ascii="Roboto" w:hAnsi="Roboto"/>
          <w:sz w:val="22"/>
          <w:szCs w:val="22"/>
          <w:lang w:val="es-PA"/>
        </w:rPr>
        <w:t>, los Convenios de Basilea, Rotterdam y Estocolmo, Plomo y Mercurio, y Desechos</w:t>
      </w:r>
      <w:r w:rsidR="00D15D0B">
        <w:rPr>
          <w:rFonts w:ascii="Roboto" w:hAnsi="Roboto"/>
          <w:sz w:val="22"/>
          <w:szCs w:val="22"/>
          <w:lang w:val="es-PA"/>
        </w:rPr>
        <w:t>. A continuación, un recuento de cada uno de estos temas.</w:t>
      </w:r>
    </w:p>
    <w:p w14:paraId="4A245639" w14:textId="77777777" w:rsidR="00D15D0B" w:rsidRPr="00681B03" w:rsidRDefault="00D15D0B" w:rsidP="00D15D0B">
      <w:pPr>
        <w:pStyle w:val="ListParagraph"/>
        <w:spacing w:line="276" w:lineRule="auto"/>
        <w:ind w:left="0"/>
        <w:jc w:val="both"/>
        <w:rPr>
          <w:rFonts w:ascii="Roboto" w:hAnsi="Roboto" w:cs="Tahoma"/>
          <w:bCs/>
          <w:sz w:val="22"/>
          <w:szCs w:val="22"/>
          <w:lang w:val="es-PA"/>
        </w:rPr>
      </w:pPr>
    </w:p>
    <w:p w14:paraId="07B26CAD" w14:textId="77777777" w:rsidR="00ED4AB2" w:rsidRPr="00D02132" w:rsidRDefault="00ED4AB2" w:rsidP="00E10BB1">
      <w:pPr>
        <w:spacing w:line="276" w:lineRule="auto"/>
        <w:jc w:val="center"/>
        <w:outlineLvl w:val="0"/>
        <w:rPr>
          <w:rFonts w:ascii="Roboto" w:eastAsia="Times New Roman" w:hAnsi="Roboto" w:cs="Tahoma"/>
          <w:bCs/>
          <w:sz w:val="22"/>
          <w:szCs w:val="22"/>
          <w:u w:val="single"/>
        </w:rPr>
      </w:pPr>
      <w:r w:rsidRPr="00D02132">
        <w:rPr>
          <w:rFonts w:ascii="Roboto" w:hAnsi="Roboto"/>
          <w:sz w:val="22"/>
          <w:szCs w:val="22"/>
          <w:u w:val="single"/>
        </w:rPr>
        <w:t>Cooperación Regional / Red intergubernamental</w:t>
      </w:r>
    </w:p>
    <w:p w14:paraId="62FFD068" w14:textId="77777777" w:rsidR="00ED4AB2" w:rsidRPr="00D02132" w:rsidRDefault="00ED4AB2" w:rsidP="00ED4AB2">
      <w:pPr>
        <w:spacing w:line="276" w:lineRule="auto"/>
        <w:rPr>
          <w:rFonts w:ascii="Roboto" w:eastAsia="Times New Roman" w:hAnsi="Roboto" w:cs="Tahoma"/>
          <w:bCs/>
          <w:sz w:val="22"/>
          <w:szCs w:val="22"/>
        </w:rPr>
      </w:pPr>
    </w:p>
    <w:p w14:paraId="0AEB2264" w14:textId="32BA19B8" w:rsidR="00ED4AB2" w:rsidRPr="00D02132" w:rsidRDefault="00ED4AB2" w:rsidP="00FD3AE1">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De acuerdo a los Términos de Referencia adoptados por la Decisión 8, la Red intergubernamental de Químicos y Desechos estará integrada por el conjunto de puntos focales nominados por los gobiernos de la región, y adicionalmente contará con un Comité Directivo formado por dos miembros de cada una de las sub-regiones de América Latina y el Caribe (Mesoamérica, Caribe, </w:t>
      </w:r>
      <w:r w:rsidR="00A90699" w:rsidRPr="00D02132">
        <w:rPr>
          <w:rFonts w:ascii="Roboto" w:hAnsi="Roboto"/>
          <w:sz w:val="22"/>
          <w:szCs w:val="22"/>
          <w:lang w:val="es-PA"/>
        </w:rPr>
        <w:t xml:space="preserve">los </w:t>
      </w:r>
      <w:r w:rsidRPr="00D02132">
        <w:rPr>
          <w:rFonts w:ascii="Roboto" w:hAnsi="Roboto"/>
          <w:sz w:val="22"/>
          <w:szCs w:val="22"/>
          <w:lang w:val="es-PA"/>
        </w:rPr>
        <w:t xml:space="preserve">Andes y Cono Sur). </w:t>
      </w:r>
    </w:p>
    <w:p w14:paraId="79930C6C" w14:textId="4CD127B9" w:rsidR="00ED4AB2" w:rsidRPr="00D02132" w:rsidRDefault="00ED4AB2" w:rsidP="00FD3AE1">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A inicios de </w:t>
      </w:r>
      <w:r w:rsidR="00681B03" w:rsidRPr="00D02132">
        <w:rPr>
          <w:rFonts w:ascii="Roboto" w:hAnsi="Roboto"/>
          <w:sz w:val="22"/>
          <w:szCs w:val="22"/>
          <w:lang w:val="es-PA"/>
        </w:rPr>
        <w:t>junio</w:t>
      </w:r>
      <w:r w:rsidRPr="00D02132">
        <w:rPr>
          <w:rFonts w:ascii="Roboto" w:hAnsi="Roboto"/>
          <w:sz w:val="22"/>
          <w:szCs w:val="22"/>
          <w:lang w:val="es-PA"/>
        </w:rPr>
        <w:t xml:space="preserve"> de 2016 ONU Medio Ambiente remitió una nota a los gobiernos de la región invitando a designar sus respectivos puntos focales ante la Red, así como a expresar el posible interés de los países en formar parte del Comité Directivo de la misma. </w:t>
      </w:r>
      <w:r w:rsidRPr="00D02132">
        <w:rPr>
          <w:rFonts w:ascii="Roboto" w:hAnsi="Roboto"/>
          <w:sz w:val="22"/>
          <w:szCs w:val="22"/>
          <w:lang w:val="es-PA"/>
        </w:rPr>
        <w:lastRenderedPageBreak/>
        <w:t xml:space="preserve">Hasta la fecha, se han recibido las nominaciones de puntos focales por parte de </w:t>
      </w:r>
      <w:r w:rsidRPr="00681B03">
        <w:rPr>
          <w:rFonts w:ascii="Roboto" w:hAnsi="Roboto"/>
          <w:sz w:val="22"/>
          <w:szCs w:val="22"/>
          <w:lang w:val="es-PA"/>
        </w:rPr>
        <w:t>veintiocho gobiernos</w:t>
      </w:r>
      <w:r w:rsidRPr="00D02132">
        <w:rPr>
          <w:rFonts w:ascii="Roboto" w:hAnsi="Roboto"/>
          <w:sz w:val="22"/>
          <w:szCs w:val="22"/>
          <w:lang w:val="es-PA"/>
        </w:rPr>
        <w:t xml:space="preserve"> de la región. </w:t>
      </w:r>
    </w:p>
    <w:p w14:paraId="195090FC" w14:textId="77777777" w:rsidR="00ED4AB2" w:rsidRPr="00D02132" w:rsidRDefault="00ED4AB2" w:rsidP="00FD3AE1">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En cuanto </w:t>
      </w:r>
      <w:r w:rsidRPr="00681B03">
        <w:rPr>
          <w:rFonts w:ascii="Roboto" w:hAnsi="Roboto"/>
          <w:sz w:val="22"/>
          <w:szCs w:val="22"/>
          <w:lang w:val="es-PA"/>
        </w:rPr>
        <w:t>al Comité Directivo</w:t>
      </w:r>
      <w:r w:rsidRPr="00D02132">
        <w:rPr>
          <w:rFonts w:ascii="Roboto" w:hAnsi="Roboto"/>
          <w:sz w:val="22"/>
          <w:szCs w:val="22"/>
          <w:lang w:val="es-PA"/>
        </w:rPr>
        <w:t xml:space="preserve">, en base a las expresiones de interés recibidas y los acuerdos entre sub-regiones, quedó conformado en Agosto de 2016 de la siguiente manera: Mesoamérica: Costa Rica, México; Caribe: Jamaica (Vice-presidencia), República Dominicana; Andes: Colombia, Perú; Cono Sur: Brasil (Presidencia), Uruguay. Desde su constitución, el Comité Directivo se ha reunido en diez ocasiones, nueve sesiones por teleconferencia, y una reunión presencial, que tuvo lugar en Panamá, el 15-17 de noviembre de 2016. </w:t>
      </w:r>
    </w:p>
    <w:p w14:paraId="42D6CFDD" w14:textId="77777777" w:rsidR="00ED4AB2" w:rsidRPr="007076DF" w:rsidRDefault="00ED4AB2" w:rsidP="00FD3AE1">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En la mencionada reunión presencial, el Comité Directivo, con arreglo al mandato del Foro de Ministros, acordó </w:t>
      </w:r>
      <w:r w:rsidRPr="007076DF">
        <w:rPr>
          <w:rFonts w:ascii="Roboto" w:hAnsi="Roboto"/>
          <w:sz w:val="22"/>
          <w:szCs w:val="22"/>
          <w:lang w:val="es-PA"/>
        </w:rPr>
        <w:t xml:space="preserve">el Reglamento Operativo de la Red, que establece cómo se va a organizar la red, las modalidades de participación de los actores gubernamentales y no gubernamentales, las funciones del Comité Directivo y la Secretaría, etc. Este documento se compartió con todos los puntos focales de la Red.  </w:t>
      </w:r>
    </w:p>
    <w:p w14:paraId="45F13397" w14:textId="77777777" w:rsidR="00ED4AB2" w:rsidRPr="007076DF" w:rsidRDefault="00ED4AB2" w:rsidP="00FD3AE1">
      <w:pPr>
        <w:pStyle w:val="ListParagraph"/>
        <w:numPr>
          <w:ilvl w:val="0"/>
          <w:numId w:val="4"/>
        </w:numPr>
        <w:spacing w:after="120" w:line="276" w:lineRule="auto"/>
        <w:ind w:left="0" w:firstLine="0"/>
        <w:rPr>
          <w:rFonts w:ascii="Roboto" w:hAnsi="Roboto"/>
          <w:color w:val="FF0000"/>
          <w:sz w:val="22"/>
          <w:szCs w:val="22"/>
          <w:lang w:val="es-PA"/>
        </w:rPr>
      </w:pPr>
      <w:r w:rsidRPr="007076DF">
        <w:rPr>
          <w:rFonts w:ascii="Roboto" w:hAnsi="Roboto"/>
          <w:sz w:val="22"/>
          <w:szCs w:val="22"/>
          <w:lang w:val="es-PA"/>
        </w:rPr>
        <w:t xml:space="preserve">Se estableció también el proceso de desarrollo del Plan de Acción Regional, así como sus potenciales elementos y alcance, tomando en cuenta las prioridades e iniciativas sobre químicos y desechos a nivel regional e internacional. Se acordó la constitución del grupo de trabajo, formado por los miembros del Comité Directivo y representantes de los centros regionales de los Convenios de Basilea y Estocolmo, que han desarrollado durante este periodo el Plan de Acción para la Cooperación Regional en la gestión de productos químicos y desechos 2019-2020. El plan es resultado de un proceso participativo que ha comprendido un conjunto de reuniones virtuales y presenciales, con el apoyo y consulta de todos los puntos focales, a quienes se compartió el documento borrador para consultas durante el mes de junio de 2018. </w:t>
      </w:r>
    </w:p>
    <w:p w14:paraId="51550DAF" w14:textId="77777777" w:rsidR="00ED4AB2" w:rsidRPr="007076DF" w:rsidRDefault="00ED4AB2" w:rsidP="00FD3AE1">
      <w:pPr>
        <w:pStyle w:val="ListParagraph"/>
        <w:numPr>
          <w:ilvl w:val="0"/>
          <w:numId w:val="4"/>
        </w:numPr>
        <w:spacing w:before="120" w:after="120"/>
        <w:ind w:left="0" w:firstLine="0"/>
        <w:jc w:val="both"/>
        <w:rPr>
          <w:rFonts w:ascii="Roboto" w:hAnsi="Roboto"/>
          <w:sz w:val="22"/>
          <w:szCs w:val="22"/>
          <w:lang w:val="es-PA"/>
        </w:rPr>
      </w:pPr>
      <w:r w:rsidRPr="007076DF">
        <w:rPr>
          <w:rFonts w:ascii="Roboto" w:hAnsi="Roboto" w:cs="MyriadMM.215.600"/>
          <w:sz w:val="22"/>
          <w:szCs w:val="22"/>
          <w:lang w:val="es-PA"/>
        </w:rPr>
        <w:t>En el Plan se resume la situación regional y tendencias en materia de gestión de químicos y residuos, y propone 33 acciones concretas de cooperación regional en los diferentes ámbitos</w:t>
      </w:r>
      <w:r w:rsidRPr="007076DF">
        <w:rPr>
          <w:rStyle w:val="FootnoteReference"/>
          <w:rFonts w:ascii="Roboto" w:hAnsi="Roboto" w:cs="MyriadMM.215.600"/>
          <w:sz w:val="22"/>
          <w:szCs w:val="22"/>
          <w:lang w:val="es-PA"/>
        </w:rPr>
        <w:footnoteReference w:id="20"/>
      </w:r>
      <w:r w:rsidRPr="007076DF">
        <w:rPr>
          <w:rFonts w:ascii="Roboto" w:hAnsi="Roboto" w:cs="MyriadMM.215.600"/>
          <w:sz w:val="22"/>
          <w:szCs w:val="22"/>
          <w:lang w:val="es-PA"/>
        </w:rPr>
        <w:t>. El Grupo llevó a cabo un importante esfuerzo por consensuar un número limitado de acciones, que refleje las acciones prioritarias de cooperación, pero que al mismo tiempo su implementación sea factible en un periodo de dos años. Con el fin de reflejar las necesidades de la región, se ha tenido particularmente en cuenta el resultado de la encuesta sobre las áreas prioritarias de cooperación, resultado de la consulta que se realizó a todos los países en 2017, que derivó en el Informe de temas prioritarios sobre la gestión de sustancias químicas y residuos para América Latina y el Caribe y potenciales áreas de cooperación 2017-2018</w:t>
      </w:r>
      <w:r w:rsidRPr="007076DF">
        <w:rPr>
          <w:rStyle w:val="FootnoteReference"/>
          <w:rFonts w:ascii="Roboto" w:hAnsi="Roboto" w:cs="MyriadMM.215.600"/>
          <w:sz w:val="22"/>
          <w:szCs w:val="22"/>
          <w:lang w:val="es-PA"/>
        </w:rPr>
        <w:footnoteReference w:id="21"/>
      </w:r>
      <w:r w:rsidRPr="007076DF">
        <w:rPr>
          <w:rFonts w:ascii="Roboto" w:hAnsi="Roboto" w:cs="MyriadMM.215.600"/>
          <w:sz w:val="22"/>
          <w:szCs w:val="22"/>
          <w:lang w:val="es-PA"/>
        </w:rPr>
        <w:t>.</w:t>
      </w:r>
    </w:p>
    <w:p w14:paraId="46FAC6A5" w14:textId="36C10F89" w:rsidR="00ED4AB2" w:rsidRPr="007076DF" w:rsidRDefault="00ED4AB2" w:rsidP="00FD3AE1">
      <w:pPr>
        <w:pStyle w:val="ListParagraph"/>
        <w:numPr>
          <w:ilvl w:val="0"/>
          <w:numId w:val="4"/>
        </w:numPr>
        <w:spacing w:before="120" w:after="120"/>
        <w:ind w:left="0" w:firstLine="0"/>
        <w:jc w:val="both"/>
        <w:rPr>
          <w:rFonts w:ascii="Roboto" w:hAnsi="Roboto"/>
          <w:sz w:val="22"/>
          <w:szCs w:val="22"/>
          <w:lang w:val="es-PA"/>
        </w:rPr>
      </w:pPr>
      <w:r w:rsidRPr="007076DF">
        <w:rPr>
          <w:rFonts w:ascii="Roboto" w:hAnsi="Roboto" w:cs="MyriadMM.215.600"/>
          <w:sz w:val="22"/>
          <w:szCs w:val="22"/>
          <w:lang w:val="es-PA"/>
        </w:rPr>
        <w:t xml:space="preserve">Con el fin de facilitar la implementación de las actividades propuestas en el Plan de Acción, así como garantizar las operaciones de la Red, el Comité Directivo impulsó el desarrollo de una Estrategia de movilización de recursos para el bienio 2019-2020, que </w:t>
      </w:r>
      <w:r w:rsidRPr="007076DF">
        <w:rPr>
          <w:rFonts w:ascii="Roboto" w:hAnsi="Roboto" w:cs="MyriadMM.215.600"/>
          <w:sz w:val="22"/>
          <w:szCs w:val="22"/>
          <w:lang w:val="es-PA"/>
        </w:rPr>
        <w:lastRenderedPageBreak/>
        <w:t xml:space="preserve">también se ha compartido con los puntos focales. También se está trabajando en el desarrollo de una Estrategia de comunicación, para fortalecer los canales de comunicación interna y externa de la Red, así como la adopción de una identidad visual.  </w:t>
      </w:r>
    </w:p>
    <w:p w14:paraId="1DA37A24" w14:textId="77777777" w:rsidR="00ED4AB2" w:rsidRPr="00D02132" w:rsidRDefault="00ED4AB2" w:rsidP="00FD3AE1">
      <w:pPr>
        <w:pStyle w:val="ListParagraph"/>
        <w:numPr>
          <w:ilvl w:val="0"/>
          <w:numId w:val="4"/>
        </w:numPr>
        <w:spacing w:after="120" w:line="276" w:lineRule="auto"/>
        <w:ind w:left="0" w:firstLine="0"/>
        <w:rPr>
          <w:rFonts w:ascii="Roboto" w:hAnsi="Roboto"/>
          <w:sz w:val="22"/>
          <w:szCs w:val="22"/>
          <w:lang w:val="es-PA"/>
        </w:rPr>
      </w:pPr>
      <w:r w:rsidRPr="007076DF">
        <w:rPr>
          <w:rFonts w:ascii="Roboto" w:hAnsi="Roboto"/>
          <w:sz w:val="22"/>
          <w:szCs w:val="22"/>
          <w:lang w:val="es-PA"/>
        </w:rPr>
        <w:t>La Decisión 8 también instó al desarrollo de acciones iniciales de intercambio de información. En este sentido, hasta la fecha se han llevado a cabo</w:t>
      </w:r>
      <w:r w:rsidRPr="00D02132">
        <w:rPr>
          <w:rFonts w:ascii="Roboto" w:hAnsi="Roboto"/>
          <w:sz w:val="22"/>
          <w:szCs w:val="22"/>
          <w:lang w:val="es-PA"/>
        </w:rPr>
        <w:t xml:space="preserve"> </w:t>
      </w:r>
      <w:r w:rsidRPr="00D02132">
        <w:rPr>
          <w:rFonts w:ascii="Roboto" w:hAnsi="Roboto"/>
          <w:sz w:val="22"/>
          <w:szCs w:val="22"/>
          <w:u w:val="single"/>
          <w:lang w:val="es-PA"/>
        </w:rPr>
        <w:t>siete webinars</w:t>
      </w:r>
      <w:r w:rsidRPr="00D02132">
        <w:rPr>
          <w:rFonts w:ascii="Roboto" w:hAnsi="Roboto"/>
          <w:sz w:val="22"/>
          <w:szCs w:val="22"/>
          <w:lang w:val="es-PA"/>
        </w:rPr>
        <w:t>, donde los países de la región han intercambiado sus experiencias en el desarrollo de marcos legales y programas para la gestión racional de los productos químicos y desechos, incluyendo la gestión de químicos industriales (Brasil, Colombia, Chile), la aplicación del Sistema Globalmente Armonizado de Clasificación y Etiquetado de Productos Químicos (México), comercio de mercurio (Secretaría del Convenio de Minamata), así como mecanismos de financiación de la gestión de químicos (Orientación LIRA-Uruguay) y de proyectos (Argentina, Brasil - Programa Especial). Estas actividades han tenido una elevada repercusión y participación, con un total de más de 300 participantes de 35 países diferentes, principalmente de gobierno, pero con una importante presencia del sector industrial, ONGs, organismos intergubernamentales, y otros actores. Los resultados de algunos webinars también se han editado como productos de información, como el Informe sobre la regulación de químicos de uso industrial</w:t>
      </w:r>
      <w:r w:rsidRPr="00D02132">
        <w:rPr>
          <w:rStyle w:val="FootnoteReference"/>
          <w:rFonts w:ascii="Roboto" w:hAnsi="Roboto"/>
          <w:sz w:val="22"/>
          <w:szCs w:val="22"/>
          <w:lang w:val="es-PA"/>
        </w:rPr>
        <w:footnoteReference w:id="22"/>
      </w:r>
      <w:r w:rsidRPr="00D02132">
        <w:rPr>
          <w:rFonts w:ascii="Roboto" w:hAnsi="Roboto"/>
          <w:sz w:val="22"/>
          <w:szCs w:val="22"/>
          <w:lang w:val="es-PA"/>
        </w:rPr>
        <w:t xml:space="preserve">. </w:t>
      </w:r>
    </w:p>
    <w:p w14:paraId="23917485" w14:textId="77777777" w:rsidR="00ED4AB2" w:rsidRPr="00D02132" w:rsidRDefault="00ED4AB2" w:rsidP="00FD3AE1">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Con arreglo también a la Decisión 8 y al Reglamento Operativo de la Red, y con el fin de promover la participación de otros actores, se desarrollaron también los procedimientos para que organizaciones no gubernamentales puedan solicitar su adhesión a la Red, y se ha iniciado su incorporación en consulta con los países. </w:t>
      </w:r>
    </w:p>
    <w:p w14:paraId="1E2FEA0F" w14:textId="77777777" w:rsidR="00ED4AB2" w:rsidRPr="00D02132" w:rsidRDefault="00ED4AB2" w:rsidP="00ED4AB2">
      <w:pPr>
        <w:spacing w:line="276" w:lineRule="auto"/>
        <w:jc w:val="center"/>
        <w:rPr>
          <w:rFonts w:ascii="Roboto" w:eastAsia="Times New Roman" w:hAnsi="Roboto" w:cs="Tahoma"/>
          <w:bCs/>
          <w:sz w:val="22"/>
          <w:szCs w:val="22"/>
          <w:u w:val="single"/>
        </w:rPr>
      </w:pPr>
    </w:p>
    <w:p w14:paraId="2F330FD3" w14:textId="77777777" w:rsidR="00ED4AB2" w:rsidRPr="00D02132" w:rsidRDefault="00ED4AB2" w:rsidP="00E10BB1">
      <w:pPr>
        <w:spacing w:line="276" w:lineRule="auto"/>
        <w:jc w:val="center"/>
        <w:outlineLvl w:val="0"/>
        <w:rPr>
          <w:rFonts w:ascii="Roboto" w:hAnsi="Roboto"/>
          <w:sz w:val="22"/>
          <w:szCs w:val="22"/>
          <w:u w:val="single"/>
        </w:rPr>
      </w:pPr>
      <w:r w:rsidRPr="00D02132">
        <w:rPr>
          <w:rFonts w:ascii="Roboto" w:hAnsi="Roboto"/>
          <w:sz w:val="22"/>
          <w:szCs w:val="22"/>
          <w:u w:val="single"/>
        </w:rPr>
        <w:t>Enfoque Estratégico para la Gestión de</w:t>
      </w:r>
    </w:p>
    <w:p w14:paraId="54F2EB57" w14:textId="77777777" w:rsidR="00ED4AB2" w:rsidRPr="00D02132" w:rsidRDefault="00ED4AB2" w:rsidP="00ED4AB2">
      <w:pPr>
        <w:spacing w:line="276" w:lineRule="auto"/>
        <w:jc w:val="center"/>
        <w:rPr>
          <w:rFonts w:ascii="Roboto" w:hAnsi="Roboto"/>
          <w:sz w:val="22"/>
          <w:szCs w:val="22"/>
          <w:u w:val="single"/>
        </w:rPr>
      </w:pPr>
      <w:r w:rsidRPr="00D02132">
        <w:rPr>
          <w:rFonts w:ascii="Roboto" w:hAnsi="Roboto"/>
          <w:sz w:val="22"/>
          <w:szCs w:val="22"/>
          <w:u w:val="single"/>
        </w:rPr>
        <w:t>Productos Químicos a Nivel Internacional (SAICM)</w:t>
      </w:r>
    </w:p>
    <w:p w14:paraId="063B52B5" w14:textId="77777777" w:rsidR="00ED4AB2" w:rsidRPr="00D02132" w:rsidRDefault="00ED4AB2" w:rsidP="00ED4AB2">
      <w:pPr>
        <w:spacing w:line="276" w:lineRule="auto"/>
        <w:rPr>
          <w:rFonts w:ascii="Roboto" w:hAnsi="Roboto"/>
          <w:sz w:val="22"/>
          <w:szCs w:val="22"/>
        </w:rPr>
      </w:pPr>
    </w:p>
    <w:p w14:paraId="2CE0A506" w14:textId="20815095" w:rsidR="00ED4AB2" w:rsidRPr="00D02132" w:rsidRDefault="00ED4AB2" w:rsidP="007A31FC">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El 7-9 de febrero de 2017 tuvo lugar en Brasilia la 1ra Reunión del Proceso Intersesional para la consideración del SAICM después de 2020. En dicha reunión el Grupo de América Latina y el Caribe (GRULAC) resaltó la importancia del SAICM y reiteró el interés de la región en participar activamente en este proceso. El 29-31 de enero de 2018 tuvo lugar en Ciudad de Panamá la 5ª reunión regional de SAICM, que sirvió para trabajar las perspectivas de la región sobre SAICM y la gestión de los productos químicos y desechos después de 2020, para su consideración durante la 2da reunión del Proceso Intersesional (Estocolmo, Suecia, 13-15 marzo 2018). </w:t>
      </w:r>
    </w:p>
    <w:p w14:paraId="4127A4A8" w14:textId="29ED7DBA" w:rsidR="00ED4AB2" w:rsidRPr="00D02132" w:rsidRDefault="00F40FF9" w:rsidP="00C72042">
      <w:pPr>
        <w:pStyle w:val="ListParagraph"/>
        <w:numPr>
          <w:ilvl w:val="0"/>
          <w:numId w:val="4"/>
        </w:numPr>
        <w:spacing w:after="200" w:line="276" w:lineRule="auto"/>
        <w:ind w:left="0" w:firstLine="0"/>
        <w:contextualSpacing/>
        <w:rPr>
          <w:rFonts w:ascii="Roboto" w:hAnsi="Roboto"/>
          <w:sz w:val="22"/>
          <w:szCs w:val="22"/>
          <w:lang w:val="es-PA"/>
        </w:rPr>
      </w:pPr>
      <w:r>
        <w:rPr>
          <w:rFonts w:ascii="Roboto" w:hAnsi="Roboto"/>
          <w:sz w:val="22"/>
          <w:szCs w:val="22"/>
          <w:lang w:val="es-PA"/>
        </w:rPr>
        <w:t>Además, se han realizado</w:t>
      </w:r>
      <w:r w:rsidR="00ED4AB2" w:rsidRPr="00D02132">
        <w:rPr>
          <w:rFonts w:ascii="Roboto" w:hAnsi="Roboto"/>
          <w:sz w:val="22"/>
          <w:szCs w:val="22"/>
          <w:lang w:val="es-PA"/>
        </w:rPr>
        <w:t xml:space="preserve"> tres convocatorias del Programa Especial para el fortalecimiento institucional de los convenios de químicos y residuos y el SAICM. Por parte de la región, se han aprobado cuatro proyectos en las dos primeras convocatorias (Argentina, Brasil, Ecuador, República Dominicana). La tercera convocatoria cerró el pasado 21 de junio de 2018, donde varios países de la región presentaron nuevas propuestas de proyecto, actualmente en revisión. La próxima convocatoria tendrá lugar a inicios de 2019. </w:t>
      </w:r>
    </w:p>
    <w:p w14:paraId="28E493D4" w14:textId="77777777" w:rsidR="00ED4AB2" w:rsidRPr="00D02132" w:rsidRDefault="00ED4AB2" w:rsidP="00E10BB1">
      <w:pPr>
        <w:spacing w:line="276" w:lineRule="auto"/>
        <w:jc w:val="center"/>
        <w:outlineLvl w:val="0"/>
        <w:rPr>
          <w:rFonts w:ascii="Roboto" w:hAnsi="Roboto"/>
          <w:sz w:val="22"/>
          <w:szCs w:val="22"/>
          <w:u w:val="single"/>
        </w:rPr>
      </w:pPr>
      <w:r w:rsidRPr="00D02132">
        <w:rPr>
          <w:rFonts w:ascii="Roboto" w:hAnsi="Roboto"/>
          <w:sz w:val="22"/>
          <w:szCs w:val="22"/>
          <w:u w:val="single"/>
        </w:rPr>
        <w:lastRenderedPageBreak/>
        <w:t>Convenios de Basilea, Rotterdam y Estocolmo</w:t>
      </w:r>
    </w:p>
    <w:p w14:paraId="6407FAD7" w14:textId="77777777" w:rsidR="00ED4AB2" w:rsidRPr="00D02132" w:rsidRDefault="00ED4AB2" w:rsidP="00FD3AE1">
      <w:pPr>
        <w:spacing w:line="276" w:lineRule="auto"/>
        <w:jc w:val="center"/>
        <w:rPr>
          <w:rFonts w:ascii="Roboto" w:hAnsi="Roboto"/>
          <w:sz w:val="22"/>
          <w:szCs w:val="22"/>
          <w:u w:val="single"/>
        </w:rPr>
      </w:pPr>
    </w:p>
    <w:p w14:paraId="1F6A06E6" w14:textId="602DA1BD" w:rsidR="00ED4AB2" w:rsidRDefault="00F40FF9" w:rsidP="004935D0">
      <w:pPr>
        <w:pStyle w:val="ListParagraph"/>
        <w:numPr>
          <w:ilvl w:val="0"/>
          <w:numId w:val="4"/>
        </w:numPr>
        <w:spacing w:after="200" w:line="276" w:lineRule="auto"/>
        <w:ind w:left="0" w:firstLine="0"/>
        <w:contextualSpacing/>
        <w:rPr>
          <w:rFonts w:ascii="Roboto" w:hAnsi="Roboto"/>
          <w:sz w:val="22"/>
          <w:szCs w:val="22"/>
          <w:lang w:val="es-PA"/>
        </w:rPr>
      </w:pPr>
      <w:r>
        <w:rPr>
          <w:rFonts w:ascii="Roboto" w:hAnsi="Roboto"/>
          <w:sz w:val="22"/>
          <w:szCs w:val="22"/>
          <w:lang w:val="es-PA"/>
        </w:rPr>
        <w:t>L</w:t>
      </w:r>
      <w:r w:rsidR="00ED4AB2" w:rsidRPr="00D02132">
        <w:rPr>
          <w:rFonts w:ascii="Roboto" w:hAnsi="Roboto"/>
          <w:sz w:val="22"/>
          <w:szCs w:val="22"/>
          <w:lang w:val="es-PA"/>
        </w:rPr>
        <w:t>a reunión regional preparatoria de las Conferencias de las Partes de los Convenios de Basilea, Rotterdam y Estocolmo (cuya reunión se celebró en Ginebra del 24 de abril al 5 de mayo de 2017)</w:t>
      </w:r>
      <w:r>
        <w:rPr>
          <w:rFonts w:ascii="Roboto" w:hAnsi="Roboto"/>
          <w:sz w:val="22"/>
          <w:szCs w:val="22"/>
          <w:lang w:val="es-PA"/>
        </w:rPr>
        <w:t>, tuvo lugar e</w:t>
      </w:r>
      <w:r w:rsidRPr="00D02132">
        <w:rPr>
          <w:rFonts w:ascii="Roboto" w:hAnsi="Roboto"/>
          <w:sz w:val="22"/>
          <w:szCs w:val="22"/>
          <w:lang w:val="es-PA"/>
        </w:rPr>
        <w:t>l 28-30 de marzo de 2017 en Sao Paulo</w:t>
      </w:r>
      <w:r>
        <w:rPr>
          <w:rFonts w:ascii="Roboto" w:hAnsi="Roboto"/>
          <w:sz w:val="22"/>
          <w:szCs w:val="22"/>
          <w:lang w:val="es-PA"/>
        </w:rPr>
        <w:t>, Brasil</w:t>
      </w:r>
      <w:r w:rsidR="00ED4AB2" w:rsidRPr="00D02132">
        <w:rPr>
          <w:rFonts w:ascii="Roboto" w:hAnsi="Roboto"/>
          <w:sz w:val="22"/>
          <w:szCs w:val="22"/>
          <w:lang w:val="es-PA"/>
        </w:rPr>
        <w:t>.</w:t>
      </w:r>
      <w:r w:rsidR="00C1453D" w:rsidRPr="00D02132">
        <w:rPr>
          <w:rFonts w:ascii="Roboto" w:hAnsi="Roboto"/>
          <w:sz w:val="22"/>
          <w:szCs w:val="22"/>
          <w:lang w:val="es-PA"/>
        </w:rPr>
        <w:t xml:space="preserve"> </w:t>
      </w:r>
      <w:r w:rsidR="00986CF0" w:rsidRPr="00D02132">
        <w:rPr>
          <w:rFonts w:ascii="Roboto" w:hAnsi="Roboto"/>
          <w:sz w:val="22"/>
          <w:szCs w:val="22"/>
          <w:lang w:val="es-PA"/>
        </w:rPr>
        <w:t>También</w:t>
      </w:r>
      <w:r w:rsidR="00C1453D" w:rsidRPr="00D02132">
        <w:rPr>
          <w:rFonts w:ascii="Roboto" w:hAnsi="Roboto"/>
          <w:sz w:val="22"/>
          <w:szCs w:val="22"/>
          <w:lang w:val="es-PA"/>
        </w:rPr>
        <w:t xml:space="preserve"> los</w:t>
      </w:r>
      <w:r w:rsidR="00ED4AB2" w:rsidRPr="00D02132">
        <w:rPr>
          <w:rFonts w:ascii="Roboto" w:hAnsi="Roboto"/>
          <w:sz w:val="22"/>
          <w:szCs w:val="22"/>
          <w:lang w:val="es-PA"/>
        </w:rPr>
        <w:t xml:space="preserve"> Centros regionales de los Convenios de Basilea y Estocolmo, junto con la Secretaría de los convenios y otros organismos, han organizado una variedad de actividades y talleres de capacitación durante este periodo. </w:t>
      </w:r>
    </w:p>
    <w:p w14:paraId="1E503888" w14:textId="77777777" w:rsidR="001539FE" w:rsidRPr="001539FE" w:rsidRDefault="001539FE" w:rsidP="001539FE">
      <w:pPr>
        <w:spacing w:after="200" w:line="276" w:lineRule="auto"/>
        <w:contextualSpacing/>
        <w:rPr>
          <w:rFonts w:ascii="Roboto" w:hAnsi="Roboto"/>
          <w:sz w:val="22"/>
          <w:szCs w:val="22"/>
        </w:rPr>
      </w:pPr>
    </w:p>
    <w:p w14:paraId="41976312" w14:textId="77777777" w:rsidR="00ED4AB2" w:rsidRPr="00D02132" w:rsidRDefault="00ED4AB2" w:rsidP="00E10BB1">
      <w:pPr>
        <w:spacing w:line="276" w:lineRule="auto"/>
        <w:jc w:val="center"/>
        <w:outlineLvl w:val="0"/>
        <w:rPr>
          <w:rFonts w:ascii="Roboto" w:eastAsia="Times New Roman" w:hAnsi="Roboto" w:cs="Tahoma"/>
          <w:bCs/>
          <w:sz w:val="22"/>
          <w:szCs w:val="22"/>
          <w:u w:val="single"/>
        </w:rPr>
      </w:pPr>
      <w:r w:rsidRPr="00D02132">
        <w:rPr>
          <w:rFonts w:ascii="Roboto" w:eastAsia="Times New Roman" w:hAnsi="Roboto" w:cs="Tahoma"/>
          <w:bCs/>
          <w:sz w:val="22"/>
          <w:szCs w:val="22"/>
          <w:u w:val="single"/>
        </w:rPr>
        <w:t>Mercurio y Plomo</w:t>
      </w:r>
    </w:p>
    <w:p w14:paraId="67C0883F" w14:textId="77777777" w:rsidR="00ED4AB2" w:rsidRPr="00D02132" w:rsidRDefault="00ED4AB2" w:rsidP="00ED4AB2">
      <w:pPr>
        <w:spacing w:line="276" w:lineRule="auto"/>
        <w:rPr>
          <w:rFonts w:ascii="Roboto" w:eastAsia="Times New Roman" w:hAnsi="Roboto" w:cs="Tahoma"/>
          <w:bCs/>
          <w:sz w:val="22"/>
          <w:szCs w:val="22"/>
        </w:rPr>
      </w:pPr>
    </w:p>
    <w:p w14:paraId="6037C981" w14:textId="45CD0823" w:rsidR="00ED4AB2" w:rsidRPr="00D02132" w:rsidRDefault="00986CF0" w:rsidP="007A31FC">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Desde</w:t>
      </w:r>
      <w:r w:rsidR="00ED4AB2" w:rsidRPr="00D02132">
        <w:rPr>
          <w:rFonts w:ascii="Roboto" w:hAnsi="Roboto"/>
          <w:sz w:val="22"/>
          <w:szCs w:val="22"/>
          <w:lang w:val="es-PA"/>
        </w:rPr>
        <w:t xml:space="preserve"> abril de 2016</w:t>
      </w:r>
      <w:r w:rsidRPr="00D02132">
        <w:rPr>
          <w:rFonts w:ascii="Roboto" w:hAnsi="Roboto"/>
          <w:sz w:val="22"/>
          <w:szCs w:val="22"/>
          <w:lang w:val="es-PA"/>
        </w:rPr>
        <w:t xml:space="preserve"> hasta la fecha</w:t>
      </w:r>
      <w:r w:rsidR="00ED4AB2" w:rsidRPr="00D02132">
        <w:rPr>
          <w:rFonts w:ascii="Roboto" w:hAnsi="Roboto"/>
          <w:sz w:val="22"/>
          <w:szCs w:val="22"/>
          <w:lang w:val="es-PA"/>
        </w:rPr>
        <w:t xml:space="preserve"> </w:t>
      </w:r>
      <w:r w:rsidR="00BC4700">
        <w:rPr>
          <w:rFonts w:ascii="Roboto" w:hAnsi="Roboto"/>
          <w:sz w:val="22"/>
          <w:szCs w:val="22"/>
          <w:lang w:val="es-PA"/>
        </w:rPr>
        <w:t>14</w:t>
      </w:r>
      <w:r w:rsidR="00ED4AB2" w:rsidRPr="00F40FF9">
        <w:rPr>
          <w:rFonts w:ascii="Roboto" w:hAnsi="Roboto"/>
          <w:sz w:val="22"/>
          <w:szCs w:val="22"/>
          <w:lang w:val="es-PA"/>
        </w:rPr>
        <w:t xml:space="preserve"> nuevos países de la región han ratificado el Convenio de Minamata sobre el Mercurio</w:t>
      </w:r>
      <w:r w:rsidR="00ED4AB2" w:rsidRPr="00F40FF9">
        <w:rPr>
          <w:rStyle w:val="FootnoteReference"/>
          <w:rFonts w:ascii="Roboto" w:hAnsi="Roboto"/>
          <w:sz w:val="22"/>
          <w:szCs w:val="22"/>
          <w:lang w:val="es-PA"/>
        </w:rPr>
        <w:footnoteReference w:id="23"/>
      </w:r>
      <w:r w:rsidR="00ED4AB2" w:rsidRPr="00F40FF9">
        <w:rPr>
          <w:rFonts w:ascii="Roboto" w:hAnsi="Roboto"/>
          <w:sz w:val="22"/>
          <w:szCs w:val="22"/>
          <w:lang w:val="es-PA"/>
        </w:rPr>
        <w:t xml:space="preserve">, y otros han alcanzado ya la ratificación a nivel nacional (por </w:t>
      </w:r>
      <w:r w:rsidR="00F40FF9" w:rsidRPr="00F40FF9">
        <w:rPr>
          <w:rFonts w:ascii="Roboto" w:hAnsi="Roboto"/>
          <w:sz w:val="22"/>
          <w:szCs w:val="22"/>
          <w:lang w:val="es-PA"/>
        </w:rPr>
        <w:t>ejemplo,</w:t>
      </w:r>
      <w:r w:rsidR="00ED4AB2" w:rsidRPr="00F40FF9">
        <w:rPr>
          <w:rFonts w:ascii="Roboto" w:hAnsi="Roboto"/>
          <w:sz w:val="22"/>
          <w:szCs w:val="22"/>
          <w:lang w:val="es-PA"/>
        </w:rPr>
        <w:t xml:space="preserve"> Colombia) o han avanzado significativamente en el proceso, de manera que el Convenio ha sido </w:t>
      </w:r>
      <w:r w:rsidR="00F40FF9" w:rsidRPr="00D02132">
        <w:rPr>
          <w:rFonts w:ascii="Roboto" w:hAnsi="Roboto"/>
          <w:sz w:val="22"/>
          <w:szCs w:val="22"/>
          <w:lang w:val="es-PA"/>
        </w:rPr>
        <w:t xml:space="preserve">ya </w:t>
      </w:r>
      <w:r w:rsidR="00ED4AB2" w:rsidRPr="00F40FF9">
        <w:rPr>
          <w:rFonts w:ascii="Roboto" w:hAnsi="Roboto"/>
          <w:sz w:val="22"/>
          <w:szCs w:val="22"/>
          <w:lang w:val="es-PA"/>
        </w:rPr>
        <w:t>ratificado</w:t>
      </w:r>
      <w:r w:rsidR="00ED4AB2" w:rsidRPr="00D02132">
        <w:rPr>
          <w:rFonts w:ascii="Roboto" w:hAnsi="Roboto"/>
          <w:sz w:val="22"/>
          <w:szCs w:val="22"/>
          <w:lang w:val="es-PA"/>
        </w:rPr>
        <w:t xml:space="preserve"> por un total de 2</w:t>
      </w:r>
      <w:r w:rsidR="00342283">
        <w:rPr>
          <w:rFonts w:ascii="Roboto" w:hAnsi="Roboto"/>
          <w:sz w:val="22"/>
          <w:szCs w:val="22"/>
          <w:lang w:val="es-PA"/>
        </w:rPr>
        <w:t>1</w:t>
      </w:r>
      <w:r w:rsidR="00ED4AB2" w:rsidRPr="00D02132">
        <w:rPr>
          <w:rFonts w:ascii="Roboto" w:hAnsi="Roboto"/>
          <w:sz w:val="22"/>
          <w:szCs w:val="22"/>
          <w:lang w:val="es-PA"/>
        </w:rPr>
        <w:t xml:space="preserve"> países en la región. </w:t>
      </w:r>
    </w:p>
    <w:p w14:paraId="573A33ED" w14:textId="2DF11207" w:rsidR="00ED4AB2" w:rsidRPr="00D02132" w:rsidRDefault="00ED4AB2" w:rsidP="007A31FC">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El Convenio entró en vigor el pasado 16 de agosto de 2017, y la primera Conferencia de las Partes (COP1) tuvo lugar en Ginebra, Suiza, del 24 al 29 de septiembre de 2017. La reunión preparatoria del GRULAC para la COP1 tuvo lugar en Buenos Aires, Argentina, el 24-28 de julio de 2017. La próxima reunión regional preparatoria para la COP2 está prevista </w:t>
      </w:r>
      <w:r w:rsidR="00F40FF9">
        <w:rPr>
          <w:rFonts w:ascii="Roboto" w:hAnsi="Roboto"/>
          <w:sz w:val="22"/>
          <w:szCs w:val="22"/>
          <w:lang w:val="es-PA"/>
        </w:rPr>
        <w:t xml:space="preserve">para </w:t>
      </w:r>
      <w:r w:rsidRPr="00D02132">
        <w:rPr>
          <w:rFonts w:ascii="Roboto" w:hAnsi="Roboto"/>
          <w:sz w:val="22"/>
          <w:szCs w:val="22"/>
          <w:lang w:val="es-PA"/>
        </w:rPr>
        <w:t xml:space="preserve">el 30-31 de octubre de 2018 en Lima, Perú. </w:t>
      </w:r>
    </w:p>
    <w:p w14:paraId="6EE6F1AC" w14:textId="77777777" w:rsidR="00ED4AB2" w:rsidRPr="00D02132" w:rsidRDefault="00ED4AB2" w:rsidP="007A31FC">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Numerosos países de la región han completado o avanzado con el desarrollo de las Evaluaciones Iniciales de Minamata, incluyendo el desarrollo de inventarios de emisiones de mercurio, en el marco de proyectos financiados por el GEF. Algunos países también han iniciado el desarrollo de Planes Nacionales de Acción para el sector de la extracción de oro artesanal a pequeña escala. </w:t>
      </w:r>
    </w:p>
    <w:p w14:paraId="2CD246E0" w14:textId="77777777" w:rsidR="00ED4AB2" w:rsidRPr="00D02132" w:rsidRDefault="00ED4AB2" w:rsidP="007A31FC">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Diferentes organismos, así como los centros regionales de los convenios de Basilea y Estocolmo han apoyado el desarrollo de proyectos y la organización de actividades de capacitación. Por ejemplo, la Organización Panamericana de la Salud (OPS) organizó en Jamaica (18-19 de octubre 2016) un taller sobre los aspectos relacionados con el sector salud en el Convenio de Minamata.  </w:t>
      </w:r>
    </w:p>
    <w:p w14:paraId="19F5CEBA" w14:textId="241799BC" w:rsidR="00ED4AB2" w:rsidRPr="00D02132" w:rsidRDefault="00F40FF9" w:rsidP="00FD3AE1">
      <w:pPr>
        <w:pStyle w:val="ListParagraph"/>
        <w:numPr>
          <w:ilvl w:val="0"/>
          <w:numId w:val="4"/>
        </w:numPr>
        <w:spacing w:line="276" w:lineRule="auto"/>
        <w:ind w:left="0" w:firstLine="0"/>
        <w:rPr>
          <w:rFonts w:ascii="Roboto" w:hAnsi="Roboto"/>
          <w:sz w:val="22"/>
          <w:szCs w:val="22"/>
          <w:lang w:val="es-PA"/>
        </w:rPr>
      </w:pPr>
      <w:r>
        <w:rPr>
          <w:rFonts w:ascii="Roboto" w:hAnsi="Roboto"/>
          <w:sz w:val="22"/>
          <w:szCs w:val="22"/>
          <w:lang w:val="es-PA"/>
        </w:rPr>
        <w:t>Con</w:t>
      </w:r>
      <w:r w:rsidR="00ED4AB2" w:rsidRPr="00D02132">
        <w:rPr>
          <w:rFonts w:ascii="Roboto" w:hAnsi="Roboto"/>
          <w:sz w:val="22"/>
          <w:szCs w:val="22"/>
          <w:lang w:val="es-PA"/>
        </w:rPr>
        <w:t xml:space="preserve"> relación al plomo, se han llevado a cabo diversas actividades de difusión, particularmente durante la Semana de Acción internacional para la prevención de la contaminación por plomo, que tiene lugar cada año durante el mes de octubre. A finales de 2016 también se remitió conjuntamente desde ONU Medio Ambiente y la </w:t>
      </w:r>
      <w:r w:rsidR="007A31FC" w:rsidRPr="00D02132">
        <w:rPr>
          <w:rFonts w:ascii="Roboto" w:hAnsi="Roboto"/>
          <w:sz w:val="22"/>
          <w:szCs w:val="22"/>
          <w:lang w:val="es-PA"/>
        </w:rPr>
        <w:t>O</w:t>
      </w:r>
      <w:r w:rsidR="007A31FC">
        <w:rPr>
          <w:rFonts w:ascii="Roboto" w:hAnsi="Roboto"/>
          <w:sz w:val="22"/>
          <w:szCs w:val="22"/>
          <w:lang w:val="es-PA"/>
        </w:rPr>
        <w:t>rganización</w:t>
      </w:r>
      <w:r>
        <w:rPr>
          <w:rFonts w:ascii="Roboto" w:hAnsi="Roboto"/>
          <w:sz w:val="22"/>
          <w:szCs w:val="22"/>
          <w:lang w:val="es-PA"/>
        </w:rPr>
        <w:t xml:space="preserve"> Panamericana de la Salud (O</w:t>
      </w:r>
      <w:r w:rsidR="00ED4AB2" w:rsidRPr="00D02132">
        <w:rPr>
          <w:rFonts w:ascii="Roboto" w:hAnsi="Roboto"/>
          <w:sz w:val="22"/>
          <w:szCs w:val="22"/>
          <w:lang w:val="es-PA"/>
        </w:rPr>
        <w:t>PS</w:t>
      </w:r>
      <w:r>
        <w:rPr>
          <w:rFonts w:ascii="Roboto" w:hAnsi="Roboto"/>
          <w:sz w:val="22"/>
          <w:szCs w:val="22"/>
          <w:lang w:val="es-PA"/>
        </w:rPr>
        <w:t>)</w:t>
      </w:r>
      <w:r w:rsidR="00ED4AB2" w:rsidRPr="00D02132">
        <w:rPr>
          <w:rFonts w:ascii="Roboto" w:hAnsi="Roboto"/>
          <w:sz w:val="22"/>
          <w:szCs w:val="22"/>
          <w:lang w:val="es-PA"/>
        </w:rPr>
        <w:t xml:space="preserve"> una comunicación a los países del Caribe con información sobre la eliminación del plomo en pinturas. En seguimiento</w:t>
      </w:r>
      <w:r w:rsidR="00986CF0" w:rsidRPr="00D02132">
        <w:rPr>
          <w:rFonts w:ascii="Roboto" w:hAnsi="Roboto"/>
          <w:sz w:val="22"/>
          <w:szCs w:val="22"/>
          <w:lang w:val="es-PA"/>
        </w:rPr>
        <w:t xml:space="preserve"> a esta actividad</w:t>
      </w:r>
      <w:r w:rsidR="00ED4AB2" w:rsidRPr="00D02132">
        <w:rPr>
          <w:rFonts w:ascii="Roboto" w:hAnsi="Roboto"/>
          <w:sz w:val="22"/>
          <w:szCs w:val="22"/>
          <w:lang w:val="es-PA"/>
        </w:rPr>
        <w:t xml:space="preserve">, se organizó un webinar sobre plomo en pinturas para los países del Caribe, el 7 de abril de 2017, coincidiendo con el Día Mundial de la Salud. Más recientemente, se ha difundido a todos los países de la región la Ley Modelo y Guía para la Regulación de Pintura con </w:t>
      </w:r>
      <w:r w:rsidR="00ED4AB2" w:rsidRPr="00D02132">
        <w:rPr>
          <w:rFonts w:ascii="Roboto" w:hAnsi="Roboto"/>
          <w:sz w:val="22"/>
          <w:szCs w:val="22"/>
          <w:lang w:val="es-PA"/>
        </w:rPr>
        <w:lastRenderedPageBreak/>
        <w:t xml:space="preserve">Plomo, que se publicó este año en el marco de la Alianza Mundial para Eliminar el Uso del Plomo en Pintura. </w:t>
      </w:r>
      <w:r>
        <w:rPr>
          <w:rFonts w:ascii="Roboto" w:hAnsi="Roboto"/>
          <w:sz w:val="22"/>
          <w:szCs w:val="22"/>
          <w:lang w:val="es-PA"/>
        </w:rPr>
        <w:t>Varios</w:t>
      </w:r>
      <w:r w:rsidR="00ED4AB2" w:rsidRPr="00D02132">
        <w:rPr>
          <w:rFonts w:ascii="Roboto" w:hAnsi="Roboto"/>
          <w:sz w:val="22"/>
          <w:szCs w:val="22"/>
          <w:lang w:val="es-PA"/>
        </w:rPr>
        <w:t xml:space="preserve"> países de la región se encuentran en proceso de regulación o han regulado ya esta materia.  </w:t>
      </w:r>
    </w:p>
    <w:p w14:paraId="060876C3" w14:textId="1F190A9C" w:rsidR="00ED4AB2" w:rsidRDefault="00ED4AB2" w:rsidP="00ED4AB2">
      <w:pPr>
        <w:spacing w:line="276" w:lineRule="auto"/>
        <w:rPr>
          <w:rFonts w:ascii="Roboto" w:hAnsi="Roboto"/>
          <w:sz w:val="22"/>
          <w:szCs w:val="22"/>
        </w:rPr>
      </w:pPr>
    </w:p>
    <w:p w14:paraId="1EB8BACC" w14:textId="2FE2D976" w:rsidR="00E80BC3" w:rsidRDefault="00E80BC3" w:rsidP="00ED4AB2">
      <w:pPr>
        <w:spacing w:line="276" w:lineRule="auto"/>
        <w:rPr>
          <w:rFonts w:ascii="Roboto" w:hAnsi="Roboto"/>
          <w:sz w:val="22"/>
          <w:szCs w:val="22"/>
        </w:rPr>
      </w:pPr>
    </w:p>
    <w:p w14:paraId="2CBD43EF" w14:textId="77777777" w:rsidR="00E80BC3" w:rsidRPr="00D02132" w:rsidRDefault="00E80BC3" w:rsidP="00ED4AB2">
      <w:pPr>
        <w:spacing w:line="276" w:lineRule="auto"/>
        <w:rPr>
          <w:rFonts w:ascii="Roboto" w:hAnsi="Roboto"/>
          <w:sz w:val="22"/>
          <w:szCs w:val="22"/>
        </w:rPr>
      </w:pPr>
    </w:p>
    <w:p w14:paraId="0DC0CB5E" w14:textId="77777777" w:rsidR="00ED4AB2" w:rsidRPr="00D02132" w:rsidRDefault="00ED4AB2" w:rsidP="00E10BB1">
      <w:pPr>
        <w:spacing w:line="276" w:lineRule="auto"/>
        <w:jc w:val="center"/>
        <w:outlineLvl w:val="0"/>
        <w:rPr>
          <w:rFonts w:ascii="Roboto" w:hAnsi="Roboto"/>
          <w:sz w:val="22"/>
          <w:szCs w:val="22"/>
          <w:u w:val="single"/>
        </w:rPr>
      </w:pPr>
      <w:r w:rsidRPr="00D02132">
        <w:rPr>
          <w:rFonts w:ascii="Roboto" w:hAnsi="Roboto"/>
          <w:sz w:val="22"/>
          <w:szCs w:val="22"/>
          <w:u w:val="single"/>
        </w:rPr>
        <w:t>Gestión de Desechos</w:t>
      </w:r>
    </w:p>
    <w:p w14:paraId="3846954A" w14:textId="77777777" w:rsidR="00ED4AB2" w:rsidRPr="00D02132" w:rsidRDefault="00ED4AB2" w:rsidP="00ED4AB2">
      <w:pPr>
        <w:spacing w:line="276" w:lineRule="auto"/>
        <w:rPr>
          <w:rFonts w:ascii="Roboto" w:hAnsi="Roboto"/>
          <w:sz w:val="22"/>
          <w:szCs w:val="22"/>
        </w:rPr>
      </w:pPr>
    </w:p>
    <w:p w14:paraId="06D9FDF2" w14:textId="3127C257" w:rsidR="00ED4AB2" w:rsidRPr="00D02132" w:rsidRDefault="00D556CB" w:rsidP="007A31FC">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En los últimos dos años</w:t>
      </w:r>
      <w:r w:rsidR="00ED4AB2" w:rsidRPr="00D02132">
        <w:rPr>
          <w:rFonts w:ascii="Roboto" w:hAnsi="Roboto"/>
          <w:sz w:val="22"/>
          <w:szCs w:val="22"/>
          <w:lang w:val="es-PA"/>
        </w:rPr>
        <w:t xml:space="preserve"> se ha estado trabajando en el desarrollo del informe de perspectiva regional de la gestión de residuos en América Latina y el Caribe. Unos quince países de la región facilitaron información nacional sobre la generación y gestión de los residuos, y durante los meses de mayo-junio 2017 se realizó la consulta regional del borrador a los puntos focales y otros actores. Actualmente se está concluyendo la edición del documento, que se prevé presentar en </w:t>
      </w:r>
      <w:r w:rsidR="00F40FF9">
        <w:rPr>
          <w:rFonts w:ascii="Roboto" w:hAnsi="Roboto"/>
          <w:sz w:val="22"/>
          <w:szCs w:val="22"/>
          <w:lang w:val="es-PA"/>
        </w:rPr>
        <w:t>durante la Reunión del</w:t>
      </w:r>
      <w:r w:rsidR="00ED4AB2" w:rsidRPr="00D02132">
        <w:rPr>
          <w:rFonts w:ascii="Roboto" w:hAnsi="Roboto"/>
          <w:sz w:val="22"/>
          <w:szCs w:val="22"/>
          <w:lang w:val="es-PA"/>
        </w:rPr>
        <w:t xml:space="preserve"> Foro de Ministros en octubre de 2018. </w:t>
      </w:r>
    </w:p>
    <w:p w14:paraId="73EFDA05" w14:textId="214149B2" w:rsidR="00ED4AB2" w:rsidRPr="00D02132" w:rsidRDefault="00F40FF9" w:rsidP="007A31FC">
      <w:pPr>
        <w:pStyle w:val="ListParagraph"/>
        <w:numPr>
          <w:ilvl w:val="0"/>
          <w:numId w:val="4"/>
        </w:numPr>
        <w:spacing w:after="120" w:line="276" w:lineRule="auto"/>
        <w:ind w:left="0" w:firstLine="0"/>
        <w:rPr>
          <w:rFonts w:ascii="Roboto" w:hAnsi="Roboto"/>
          <w:sz w:val="22"/>
          <w:szCs w:val="22"/>
          <w:lang w:val="es-PA"/>
        </w:rPr>
      </w:pPr>
      <w:r>
        <w:rPr>
          <w:rFonts w:ascii="Roboto" w:hAnsi="Roboto"/>
          <w:sz w:val="22"/>
          <w:szCs w:val="22"/>
          <w:lang w:val="es-PA"/>
        </w:rPr>
        <w:t>V</w:t>
      </w:r>
      <w:r w:rsidR="00ED4AB2" w:rsidRPr="00D02132">
        <w:rPr>
          <w:rFonts w:ascii="Roboto" w:hAnsi="Roboto"/>
          <w:sz w:val="22"/>
          <w:szCs w:val="22"/>
          <w:lang w:val="es-PA"/>
        </w:rPr>
        <w:t>arios países y organizaciones de la región tuvieron la oportunidad de capacitarse e intercambiar experiencias</w:t>
      </w:r>
      <w:r>
        <w:rPr>
          <w:rFonts w:ascii="Roboto" w:hAnsi="Roboto"/>
          <w:sz w:val="22"/>
          <w:szCs w:val="22"/>
          <w:lang w:val="es-PA"/>
        </w:rPr>
        <w:t xml:space="preserve"> durante </w:t>
      </w:r>
      <w:r w:rsidRPr="00D02132">
        <w:rPr>
          <w:rFonts w:ascii="Roboto" w:hAnsi="Roboto"/>
          <w:sz w:val="22"/>
          <w:szCs w:val="22"/>
          <w:lang w:val="es-PA"/>
        </w:rPr>
        <w:t>un taller regional sobre gestión de residuos</w:t>
      </w:r>
      <w:r>
        <w:rPr>
          <w:rFonts w:ascii="Roboto" w:hAnsi="Roboto"/>
          <w:sz w:val="22"/>
          <w:szCs w:val="22"/>
          <w:lang w:val="es-PA"/>
        </w:rPr>
        <w:t xml:space="preserve"> realizado e</w:t>
      </w:r>
      <w:r w:rsidRPr="00D02132">
        <w:rPr>
          <w:rFonts w:ascii="Roboto" w:hAnsi="Roboto"/>
          <w:sz w:val="22"/>
          <w:szCs w:val="22"/>
          <w:lang w:val="es-PA"/>
        </w:rPr>
        <w:t>n mayo de 2016 en Montevideo, Uruguay</w:t>
      </w:r>
      <w:r w:rsidR="00ED4AB2" w:rsidRPr="00D02132">
        <w:rPr>
          <w:rFonts w:ascii="Roboto" w:hAnsi="Roboto"/>
          <w:sz w:val="22"/>
          <w:szCs w:val="22"/>
          <w:lang w:val="es-PA"/>
        </w:rPr>
        <w:t>. En el marco de dicho evento se constituyó también el Consorcio de Universidades para la gestión sostenible de los residuos en América Latina y el Caribe, conformado por 8 universidades de 7 países de la región, que han desarrollado un programa académico sobre</w:t>
      </w:r>
      <w:r>
        <w:rPr>
          <w:rFonts w:ascii="Roboto" w:hAnsi="Roboto"/>
          <w:sz w:val="22"/>
          <w:szCs w:val="22"/>
          <w:lang w:val="es-PA"/>
        </w:rPr>
        <w:t xml:space="preserve"> la</w:t>
      </w:r>
      <w:r w:rsidR="00ED4AB2" w:rsidRPr="00D02132">
        <w:rPr>
          <w:rFonts w:ascii="Roboto" w:hAnsi="Roboto"/>
          <w:sz w:val="22"/>
          <w:szCs w:val="22"/>
          <w:lang w:val="es-PA"/>
        </w:rPr>
        <w:t xml:space="preserve"> gestión integral de residuos, que algunas universidades ya han internalizado en su oferta curricular.</w:t>
      </w:r>
    </w:p>
    <w:p w14:paraId="538BD8FE" w14:textId="4F1A9F06" w:rsidR="00ED4AB2" w:rsidRPr="00D02132" w:rsidRDefault="00ED4AB2" w:rsidP="007A31FC">
      <w:pPr>
        <w:pStyle w:val="ListParagraph"/>
        <w:numPr>
          <w:ilvl w:val="0"/>
          <w:numId w:val="4"/>
        </w:numPr>
        <w:spacing w:after="120" w:line="276" w:lineRule="auto"/>
        <w:ind w:left="0" w:firstLine="0"/>
        <w:rPr>
          <w:rFonts w:ascii="Roboto" w:hAnsi="Roboto"/>
          <w:sz w:val="22"/>
          <w:szCs w:val="22"/>
          <w:lang w:val="es-PA"/>
        </w:rPr>
      </w:pPr>
      <w:r w:rsidRPr="00D02132">
        <w:rPr>
          <w:rFonts w:ascii="Roboto" w:hAnsi="Roboto"/>
          <w:sz w:val="22"/>
          <w:szCs w:val="22"/>
          <w:lang w:val="es-PA"/>
        </w:rPr>
        <w:t xml:space="preserve">El 4-7 de julio de 2017 tuvo lugar en Kingston, Jamaica, una conferencia sobre </w:t>
      </w:r>
      <w:r w:rsidR="00F40FF9">
        <w:rPr>
          <w:rFonts w:ascii="Roboto" w:hAnsi="Roboto"/>
          <w:sz w:val="22"/>
          <w:szCs w:val="22"/>
          <w:lang w:val="es-PA"/>
        </w:rPr>
        <w:t xml:space="preserve">la </w:t>
      </w:r>
      <w:r w:rsidRPr="00D02132">
        <w:rPr>
          <w:rFonts w:ascii="Roboto" w:hAnsi="Roboto"/>
          <w:sz w:val="22"/>
          <w:szCs w:val="22"/>
          <w:lang w:val="es-PA"/>
        </w:rPr>
        <w:t xml:space="preserve">gestión de residuos y economía circular en los países del Caribe, con el apoyo del Gobierno de Holanda. El evento sirvió para delinear un posible plan de acción regional sobre gestión de residuos en el Caribe, que se prevé presentar en el 2° Foro de Alto Nivel sobre gestión de residuos en el Caribe, previsto para el 11-12 de octubre de 2018 en Kingston, Jamaica. </w:t>
      </w:r>
    </w:p>
    <w:p w14:paraId="371066C2" w14:textId="00A7DDEE" w:rsidR="00ED4AB2" w:rsidRPr="00D02132" w:rsidRDefault="00ED4AB2" w:rsidP="00FD3AE1">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sz w:val="22"/>
          <w:szCs w:val="22"/>
          <w:lang w:val="es-PA"/>
        </w:rPr>
        <w:t xml:space="preserve">Tres países de la región (Honduras, Santa Lucía, Uruguay) han desarrollado estrategias nacionales y municipales de gestión de residuos con el apoyo de ONU </w:t>
      </w:r>
      <w:r w:rsidR="00F40FF9">
        <w:rPr>
          <w:rFonts w:ascii="Roboto" w:hAnsi="Roboto"/>
          <w:sz w:val="22"/>
          <w:szCs w:val="22"/>
          <w:lang w:val="es-PA"/>
        </w:rPr>
        <w:t xml:space="preserve">Medio </w:t>
      </w:r>
      <w:r w:rsidRPr="00D02132">
        <w:rPr>
          <w:rFonts w:ascii="Roboto" w:hAnsi="Roboto"/>
          <w:sz w:val="22"/>
          <w:szCs w:val="22"/>
          <w:lang w:val="es-PA"/>
        </w:rPr>
        <w:t xml:space="preserve">Ambiente. También se promovió la organización de un seminario sobre la gestión de los residuos orgánicos municipales en América Latina (Sao Paulo, 22-23 noviembre 2017). </w:t>
      </w:r>
    </w:p>
    <w:p w14:paraId="7E1C8E43" w14:textId="77777777" w:rsidR="005F53F1" w:rsidRPr="00D02132" w:rsidRDefault="005F53F1" w:rsidP="00F651EC">
      <w:pPr>
        <w:spacing w:line="276" w:lineRule="auto"/>
        <w:rPr>
          <w:rFonts w:ascii="Roboto" w:eastAsia="Times New Roman" w:hAnsi="Roboto" w:cs="Tahoma"/>
          <w:bCs/>
          <w:sz w:val="22"/>
          <w:szCs w:val="22"/>
        </w:rPr>
      </w:pPr>
    </w:p>
    <w:p w14:paraId="288A8F3C" w14:textId="77777777" w:rsidR="003461EE" w:rsidRPr="00D02132" w:rsidRDefault="003461EE" w:rsidP="00F651EC">
      <w:pPr>
        <w:spacing w:line="276" w:lineRule="auto"/>
        <w:jc w:val="center"/>
        <w:rPr>
          <w:rFonts w:ascii="Roboto" w:eastAsia="Times New Roman" w:hAnsi="Roboto" w:cs="Tahoma"/>
          <w:b/>
          <w:bCs/>
          <w:sz w:val="32"/>
          <w:szCs w:val="32"/>
        </w:rPr>
      </w:pPr>
      <w:r w:rsidRPr="00D02132">
        <w:rPr>
          <w:rFonts w:ascii="Roboto" w:eastAsia="Times New Roman" w:hAnsi="Roboto" w:cs="Tahoma"/>
          <w:b/>
          <w:bCs/>
          <w:sz w:val="32"/>
          <w:szCs w:val="32"/>
        </w:rPr>
        <w:t>Decisión 9 - Hacia la plena implementación del Plan de Acción Regional sobre Contaminación Atmosférica</w:t>
      </w:r>
    </w:p>
    <w:p w14:paraId="66A5C40A" w14:textId="77777777" w:rsidR="00016544" w:rsidRPr="00D02132" w:rsidRDefault="00016544" w:rsidP="00F651EC">
      <w:pPr>
        <w:spacing w:line="276" w:lineRule="auto"/>
        <w:rPr>
          <w:rFonts w:ascii="Roboto" w:eastAsia="Times New Roman" w:hAnsi="Roboto" w:cs="Tahoma"/>
          <w:bCs/>
          <w:sz w:val="22"/>
          <w:szCs w:val="22"/>
        </w:rPr>
      </w:pPr>
    </w:p>
    <w:p w14:paraId="69F293B5" w14:textId="433CB0B2" w:rsidR="00857451" w:rsidRPr="00D02132" w:rsidRDefault="00857451" w:rsidP="00E10BB1">
      <w:pPr>
        <w:spacing w:line="276" w:lineRule="auto"/>
        <w:outlineLvl w:val="0"/>
        <w:rPr>
          <w:rFonts w:ascii="Roboto" w:hAnsi="Roboto"/>
          <w:b/>
          <w:color w:val="548DD4" w:themeColor="text2" w:themeTint="99"/>
          <w:sz w:val="22"/>
          <w:szCs w:val="22"/>
        </w:rPr>
      </w:pPr>
      <w:r w:rsidRPr="00D02132">
        <w:rPr>
          <w:rFonts w:ascii="Roboto" w:hAnsi="Roboto"/>
          <w:b/>
          <w:color w:val="548DD4" w:themeColor="text2" w:themeTint="99"/>
          <w:sz w:val="22"/>
          <w:szCs w:val="22"/>
        </w:rPr>
        <w:t xml:space="preserve">Avances </w:t>
      </w:r>
      <w:r w:rsidR="00CA670F" w:rsidRPr="00D02132">
        <w:rPr>
          <w:rFonts w:ascii="Roboto" w:hAnsi="Roboto"/>
          <w:b/>
          <w:color w:val="548DD4" w:themeColor="text2" w:themeTint="99"/>
          <w:sz w:val="22"/>
          <w:szCs w:val="22"/>
        </w:rPr>
        <w:t>- Actividades</w:t>
      </w:r>
      <w:r w:rsidRPr="00D02132">
        <w:rPr>
          <w:rFonts w:ascii="Roboto" w:hAnsi="Roboto"/>
          <w:b/>
          <w:color w:val="548DD4" w:themeColor="text2" w:themeTint="99"/>
          <w:sz w:val="22"/>
          <w:szCs w:val="22"/>
        </w:rPr>
        <w:t xml:space="preserve"> realizadas y resultados obtenidos </w:t>
      </w:r>
    </w:p>
    <w:p w14:paraId="1A19635E" w14:textId="77777777" w:rsidR="00857451" w:rsidRPr="00D02132" w:rsidRDefault="00857451" w:rsidP="00857451">
      <w:pPr>
        <w:widowControl w:val="0"/>
        <w:autoSpaceDE w:val="0"/>
        <w:autoSpaceDN w:val="0"/>
        <w:adjustRightInd w:val="0"/>
        <w:spacing w:line="276" w:lineRule="auto"/>
        <w:rPr>
          <w:rFonts w:ascii="Roboto" w:hAnsi="Roboto" w:cs="Roboto Regular"/>
          <w:color w:val="8DB3E2" w:themeColor="text2" w:themeTint="66"/>
          <w:sz w:val="22"/>
          <w:szCs w:val="22"/>
        </w:rPr>
      </w:pPr>
    </w:p>
    <w:p w14:paraId="5FE1AD43" w14:textId="36A62D01" w:rsidR="00857451" w:rsidRPr="00D02132" w:rsidRDefault="00857451" w:rsidP="007A31FC">
      <w:pPr>
        <w:pStyle w:val="ListParagraph"/>
        <w:widowControl w:val="0"/>
        <w:numPr>
          <w:ilvl w:val="0"/>
          <w:numId w:val="4"/>
        </w:numPr>
        <w:autoSpaceDE w:val="0"/>
        <w:autoSpaceDN w:val="0"/>
        <w:adjustRightInd w:val="0"/>
        <w:spacing w:after="120" w:line="276" w:lineRule="auto"/>
        <w:ind w:left="0" w:firstLine="0"/>
        <w:jc w:val="both"/>
        <w:rPr>
          <w:rFonts w:ascii="Roboto" w:hAnsi="Roboto" w:cs="Roboto Regular"/>
          <w:sz w:val="22"/>
          <w:szCs w:val="22"/>
          <w:lang w:val="es-PA"/>
        </w:rPr>
      </w:pPr>
      <w:r w:rsidRPr="00D02132">
        <w:rPr>
          <w:rFonts w:ascii="Roboto" w:hAnsi="Roboto" w:cs="Roboto Regular"/>
          <w:sz w:val="22"/>
          <w:szCs w:val="22"/>
          <w:lang w:val="es-PA"/>
        </w:rPr>
        <w:t xml:space="preserve">Durante el pasado tercer periodo de sesiones de la Asamblea de las Naciones Unidas </w:t>
      </w:r>
      <w:r w:rsidR="00F40FF9">
        <w:rPr>
          <w:rFonts w:ascii="Roboto" w:hAnsi="Roboto" w:cs="Roboto Regular"/>
          <w:sz w:val="22"/>
          <w:szCs w:val="22"/>
          <w:lang w:val="es-PA"/>
        </w:rPr>
        <w:t>para</w:t>
      </w:r>
      <w:r w:rsidRPr="00D02132">
        <w:rPr>
          <w:rFonts w:ascii="Roboto" w:hAnsi="Roboto" w:cs="Roboto Regular"/>
          <w:sz w:val="22"/>
          <w:szCs w:val="22"/>
          <w:lang w:val="es-PA"/>
        </w:rPr>
        <w:t xml:space="preserve"> el Medio Ambiente</w:t>
      </w:r>
      <w:r w:rsidR="001C0FBB" w:rsidRPr="00D02132">
        <w:rPr>
          <w:rFonts w:ascii="Roboto" w:hAnsi="Roboto" w:cs="Roboto Regular"/>
          <w:sz w:val="22"/>
          <w:szCs w:val="22"/>
          <w:lang w:val="es-PA"/>
        </w:rPr>
        <w:t xml:space="preserve"> (4-6 de diciembre 2017, Nairobi, Kenia)</w:t>
      </w:r>
      <w:r w:rsidRPr="00D02132">
        <w:rPr>
          <w:rFonts w:ascii="Roboto" w:hAnsi="Roboto" w:cs="Roboto Regular"/>
          <w:sz w:val="22"/>
          <w:szCs w:val="22"/>
          <w:lang w:val="es-PA"/>
        </w:rPr>
        <w:t xml:space="preserve">, Chile apoyado por varios países promovió la adopción de la resolución 3/8 Prevención y reducción de la </w:t>
      </w:r>
      <w:r w:rsidRPr="00D02132">
        <w:rPr>
          <w:rFonts w:ascii="Roboto" w:hAnsi="Roboto" w:cs="Roboto Regular"/>
          <w:sz w:val="22"/>
          <w:szCs w:val="22"/>
          <w:lang w:val="es-PA"/>
        </w:rPr>
        <w:lastRenderedPageBreak/>
        <w:t xml:space="preserve">contaminación atmosférica para mejorar la </w:t>
      </w:r>
      <w:r w:rsidR="001C0FBB" w:rsidRPr="00D02132">
        <w:rPr>
          <w:rFonts w:ascii="Roboto" w:hAnsi="Roboto" w:cs="Roboto Regular"/>
          <w:sz w:val="22"/>
          <w:szCs w:val="22"/>
          <w:lang w:val="es-PA"/>
        </w:rPr>
        <w:t>calidad</w:t>
      </w:r>
      <w:r w:rsidRPr="00D02132">
        <w:rPr>
          <w:rFonts w:ascii="Roboto" w:hAnsi="Roboto" w:cs="Roboto Regular"/>
          <w:sz w:val="22"/>
          <w:szCs w:val="22"/>
          <w:lang w:val="es-PA"/>
        </w:rPr>
        <w:t xml:space="preserve"> del aire a nivel mundial</w:t>
      </w:r>
      <w:r w:rsidRPr="00D02132">
        <w:rPr>
          <w:rFonts w:ascii="Roboto" w:hAnsi="Roboto"/>
          <w:vertAlign w:val="superscript"/>
          <w:lang w:val="es-PA"/>
        </w:rPr>
        <w:footnoteReference w:id="24"/>
      </w:r>
      <w:r w:rsidRPr="00D02132">
        <w:rPr>
          <w:rFonts w:ascii="Roboto" w:hAnsi="Roboto" w:cs="Roboto Regular"/>
          <w:sz w:val="22"/>
          <w:szCs w:val="22"/>
          <w:vertAlign w:val="superscript"/>
          <w:lang w:val="es-PA"/>
        </w:rPr>
        <w:t xml:space="preserve"> </w:t>
      </w:r>
      <w:r w:rsidRPr="00D02132">
        <w:rPr>
          <w:rFonts w:ascii="Roboto" w:hAnsi="Roboto" w:cs="Roboto Regular"/>
          <w:sz w:val="22"/>
          <w:szCs w:val="22"/>
          <w:lang w:val="es-PA"/>
        </w:rPr>
        <w:t xml:space="preserve"> </w:t>
      </w:r>
      <w:r w:rsidR="003E6B4E" w:rsidRPr="00D02132">
        <w:rPr>
          <w:rFonts w:ascii="Roboto" w:hAnsi="Roboto" w:cs="Roboto Regular"/>
          <w:sz w:val="22"/>
          <w:szCs w:val="22"/>
          <w:lang w:val="es-PA"/>
        </w:rPr>
        <w:t>en</w:t>
      </w:r>
      <w:r w:rsidRPr="00D02132">
        <w:rPr>
          <w:rFonts w:ascii="Roboto" w:hAnsi="Roboto" w:cs="Roboto Regular"/>
          <w:sz w:val="22"/>
          <w:szCs w:val="22"/>
          <w:lang w:val="es-PA"/>
        </w:rPr>
        <w:t xml:space="preserve"> la cual los Ministros de </w:t>
      </w:r>
      <w:r w:rsidR="00C10948">
        <w:rPr>
          <w:rFonts w:ascii="Roboto" w:hAnsi="Roboto" w:cs="Roboto Regular"/>
          <w:sz w:val="22"/>
          <w:szCs w:val="22"/>
          <w:lang w:val="es-PA"/>
        </w:rPr>
        <w:t xml:space="preserve">Medio </w:t>
      </w:r>
      <w:r w:rsidR="003E6B4E" w:rsidRPr="00D02132">
        <w:rPr>
          <w:rFonts w:ascii="Roboto" w:hAnsi="Roboto" w:cs="Roboto Regular"/>
          <w:sz w:val="22"/>
          <w:szCs w:val="22"/>
          <w:lang w:val="es-PA"/>
        </w:rPr>
        <w:t>A</w:t>
      </w:r>
      <w:r w:rsidRPr="00D02132">
        <w:rPr>
          <w:rFonts w:ascii="Roboto" w:hAnsi="Roboto" w:cs="Roboto Regular"/>
          <w:sz w:val="22"/>
          <w:szCs w:val="22"/>
          <w:lang w:val="es-PA"/>
        </w:rPr>
        <w:t xml:space="preserve">mbiente asumieron </w:t>
      </w:r>
      <w:r w:rsidR="001C0FBB" w:rsidRPr="00D02132">
        <w:rPr>
          <w:rFonts w:ascii="Roboto" w:hAnsi="Roboto" w:cs="Roboto Regular"/>
          <w:sz w:val="22"/>
          <w:szCs w:val="22"/>
          <w:lang w:val="es-PA"/>
        </w:rPr>
        <w:t>el compromiso</w:t>
      </w:r>
      <w:r w:rsidRPr="00D02132">
        <w:rPr>
          <w:rFonts w:ascii="Roboto" w:hAnsi="Roboto" w:cs="Roboto Regular"/>
          <w:sz w:val="22"/>
          <w:szCs w:val="22"/>
          <w:lang w:val="es-PA"/>
        </w:rPr>
        <w:t xml:space="preserve"> de promover la cooperación Norte-Sur, Sur-Sur y </w:t>
      </w:r>
      <w:r w:rsidR="00C10948">
        <w:rPr>
          <w:rFonts w:ascii="Roboto" w:hAnsi="Roboto" w:cs="Roboto Regular"/>
          <w:sz w:val="22"/>
          <w:szCs w:val="22"/>
          <w:lang w:val="es-PA"/>
        </w:rPr>
        <w:t>T</w:t>
      </w:r>
      <w:r w:rsidRPr="00D02132">
        <w:rPr>
          <w:rFonts w:ascii="Roboto" w:hAnsi="Roboto" w:cs="Roboto Regular"/>
          <w:sz w:val="22"/>
          <w:szCs w:val="22"/>
          <w:lang w:val="es-PA"/>
        </w:rPr>
        <w:t>riangular para fomentar el diálogo regional y la coordinación en todo</w:t>
      </w:r>
      <w:r w:rsidR="00C10948">
        <w:rPr>
          <w:rFonts w:ascii="Roboto" w:hAnsi="Roboto" w:cs="Roboto Regular"/>
          <w:sz w:val="22"/>
          <w:szCs w:val="22"/>
          <w:lang w:val="es-PA"/>
        </w:rPr>
        <w:t xml:space="preserve"> el </w:t>
      </w:r>
      <w:r w:rsidRPr="00D02132">
        <w:rPr>
          <w:rFonts w:ascii="Roboto" w:hAnsi="Roboto" w:cs="Roboto Regular"/>
          <w:sz w:val="22"/>
          <w:szCs w:val="22"/>
          <w:lang w:val="es-PA"/>
        </w:rPr>
        <w:t xml:space="preserve"> sistema de las Naciones Unidas para mejorar la calidad del aire. </w:t>
      </w:r>
    </w:p>
    <w:p w14:paraId="1D2C2C5C" w14:textId="284F6020" w:rsidR="00857451" w:rsidRPr="00D02132" w:rsidRDefault="00857451" w:rsidP="00C10948">
      <w:pPr>
        <w:pStyle w:val="ListParagraph"/>
        <w:widowControl w:val="0"/>
        <w:numPr>
          <w:ilvl w:val="0"/>
          <w:numId w:val="4"/>
        </w:numPr>
        <w:autoSpaceDE w:val="0"/>
        <w:autoSpaceDN w:val="0"/>
        <w:adjustRightInd w:val="0"/>
        <w:spacing w:after="120" w:line="276" w:lineRule="auto"/>
        <w:ind w:left="0" w:firstLine="0"/>
        <w:jc w:val="both"/>
        <w:rPr>
          <w:rFonts w:ascii="Roboto" w:hAnsi="Roboto" w:cs="Roboto Regular"/>
          <w:sz w:val="22"/>
          <w:szCs w:val="22"/>
          <w:lang w:val="es-PA"/>
        </w:rPr>
      </w:pPr>
      <w:r w:rsidRPr="00D02132">
        <w:rPr>
          <w:rFonts w:ascii="Roboto" w:hAnsi="Roboto" w:cs="Roboto Regular"/>
          <w:sz w:val="22"/>
          <w:szCs w:val="22"/>
          <w:lang w:val="es-PA"/>
        </w:rPr>
        <w:t>Representantes y expertos de Argentina, Colombia, Costa Rica, Cuba, Honduras, México, Panamá, Paraguay, Perú, República Dominicana y Uruguay</w:t>
      </w:r>
      <w:r w:rsidR="001C0FBB" w:rsidRPr="00D02132">
        <w:rPr>
          <w:rFonts w:ascii="Roboto" w:hAnsi="Roboto" w:cs="Roboto Regular"/>
          <w:sz w:val="22"/>
          <w:szCs w:val="22"/>
          <w:lang w:val="es-PA"/>
        </w:rPr>
        <w:t xml:space="preserve"> durante</w:t>
      </w:r>
      <w:r w:rsidR="00C10948">
        <w:rPr>
          <w:rFonts w:ascii="Roboto" w:hAnsi="Roboto" w:cs="Roboto Regular"/>
          <w:sz w:val="22"/>
          <w:szCs w:val="22"/>
          <w:lang w:val="es-PA"/>
        </w:rPr>
        <w:t xml:space="preserve"> un</w:t>
      </w:r>
      <w:r w:rsidR="001C0FBB" w:rsidRPr="00D02132">
        <w:rPr>
          <w:rFonts w:ascii="Roboto" w:hAnsi="Roboto" w:cs="Roboto Regular"/>
          <w:sz w:val="22"/>
          <w:szCs w:val="22"/>
          <w:lang w:val="es-PA"/>
        </w:rPr>
        <w:t xml:space="preserve"> Taller Técnico Regional sobre Calidad del Aire y Contaminantes Climáticos de Vida Corta,  21-23 de marzo de 2018, Ciudad de México, México</w:t>
      </w:r>
      <w:r w:rsidR="001C0FBB" w:rsidRPr="00D02132">
        <w:rPr>
          <w:rFonts w:ascii="Roboto" w:hAnsi="Roboto"/>
          <w:vertAlign w:val="superscript"/>
          <w:lang w:val="es-PA"/>
        </w:rPr>
        <w:footnoteReference w:id="25"/>
      </w:r>
      <w:r w:rsidR="001C0FBB" w:rsidRPr="00D02132">
        <w:rPr>
          <w:rFonts w:ascii="Roboto" w:hAnsi="Roboto" w:cs="Roboto Regular"/>
          <w:sz w:val="22"/>
          <w:szCs w:val="22"/>
          <w:lang w:val="es-PA"/>
        </w:rPr>
        <w:t xml:space="preserve"> </w:t>
      </w:r>
      <w:r w:rsidRPr="00D02132">
        <w:rPr>
          <w:rFonts w:ascii="Roboto" w:hAnsi="Roboto" w:cs="Roboto Regular"/>
          <w:sz w:val="22"/>
          <w:szCs w:val="22"/>
          <w:lang w:val="es-PA"/>
        </w:rPr>
        <w:t xml:space="preserve"> reconocieron la importancia de establecer una agenda común transversal a los temas relacionados con la calidad del aire, el cambio climático y la salud que permita fortalecer los vínculos en la región y robustecer los instrumentos de gestión para conseguir los objetivos relacionados a:</w:t>
      </w:r>
    </w:p>
    <w:p w14:paraId="3A49E243" w14:textId="640CA6A2" w:rsidR="00857451" w:rsidRPr="00D02132" w:rsidRDefault="00857451" w:rsidP="00CA670F">
      <w:pPr>
        <w:pStyle w:val="ListParagraph"/>
        <w:numPr>
          <w:ilvl w:val="0"/>
          <w:numId w:val="39"/>
        </w:numPr>
        <w:spacing w:line="259" w:lineRule="auto"/>
        <w:ind w:left="0" w:firstLine="0"/>
        <w:contextualSpacing/>
        <w:jc w:val="both"/>
        <w:rPr>
          <w:rFonts w:ascii="Roboto" w:hAnsi="Roboto" w:cs="Roboto Regular"/>
          <w:sz w:val="22"/>
          <w:szCs w:val="22"/>
          <w:lang w:val="es-PA"/>
        </w:rPr>
      </w:pPr>
      <w:r w:rsidRPr="00D02132">
        <w:rPr>
          <w:rFonts w:ascii="Roboto" w:hAnsi="Roboto" w:cs="Roboto Regular"/>
          <w:sz w:val="22"/>
          <w:szCs w:val="22"/>
          <w:lang w:val="es-PA"/>
        </w:rPr>
        <w:t xml:space="preserve">La agenda 2030 y los </w:t>
      </w:r>
      <w:r w:rsidR="00B52569" w:rsidRPr="00D02132">
        <w:rPr>
          <w:rFonts w:ascii="Roboto" w:hAnsi="Roboto" w:cs="Roboto Regular"/>
          <w:sz w:val="22"/>
          <w:szCs w:val="22"/>
          <w:lang w:val="es-PA"/>
        </w:rPr>
        <w:t>objetivos</w:t>
      </w:r>
      <w:r w:rsidRPr="00D02132">
        <w:rPr>
          <w:rFonts w:ascii="Roboto" w:hAnsi="Roboto" w:cs="Roboto Regular"/>
          <w:sz w:val="22"/>
          <w:szCs w:val="22"/>
          <w:lang w:val="es-PA"/>
        </w:rPr>
        <w:t xml:space="preserve"> de desarrollo </w:t>
      </w:r>
      <w:r w:rsidR="00C10948">
        <w:rPr>
          <w:rFonts w:ascii="Roboto" w:hAnsi="Roboto" w:cs="Roboto Regular"/>
          <w:sz w:val="22"/>
          <w:szCs w:val="22"/>
          <w:lang w:val="es-PA"/>
        </w:rPr>
        <w:t>sostenible</w:t>
      </w:r>
    </w:p>
    <w:p w14:paraId="3F79F856" w14:textId="77777777" w:rsidR="00857451" w:rsidRPr="00D02132" w:rsidRDefault="00857451" w:rsidP="00CA670F">
      <w:pPr>
        <w:pStyle w:val="ListParagraph"/>
        <w:numPr>
          <w:ilvl w:val="0"/>
          <w:numId w:val="39"/>
        </w:numPr>
        <w:spacing w:line="259" w:lineRule="auto"/>
        <w:ind w:left="0" w:firstLine="0"/>
        <w:contextualSpacing/>
        <w:jc w:val="both"/>
        <w:rPr>
          <w:rFonts w:ascii="Roboto" w:hAnsi="Roboto" w:cs="Roboto Regular"/>
          <w:sz w:val="22"/>
          <w:szCs w:val="22"/>
          <w:lang w:val="es-PA"/>
        </w:rPr>
      </w:pPr>
      <w:r w:rsidRPr="00D02132">
        <w:rPr>
          <w:rFonts w:ascii="Roboto" w:hAnsi="Roboto" w:cs="Roboto Regular"/>
          <w:sz w:val="22"/>
          <w:szCs w:val="22"/>
          <w:lang w:val="es-PA"/>
        </w:rPr>
        <w:t>Implementación del Acuerdo de París</w:t>
      </w:r>
    </w:p>
    <w:p w14:paraId="4538C678" w14:textId="77777777" w:rsidR="00857451" w:rsidRPr="00D02132" w:rsidRDefault="00857451" w:rsidP="00C10948">
      <w:pPr>
        <w:pStyle w:val="ListParagraph"/>
        <w:widowControl w:val="0"/>
        <w:numPr>
          <w:ilvl w:val="0"/>
          <w:numId w:val="39"/>
        </w:numPr>
        <w:autoSpaceDE w:val="0"/>
        <w:autoSpaceDN w:val="0"/>
        <w:adjustRightInd w:val="0"/>
        <w:spacing w:after="120" w:line="276" w:lineRule="auto"/>
        <w:ind w:left="0" w:firstLine="0"/>
        <w:rPr>
          <w:rFonts w:ascii="Roboto" w:hAnsi="Roboto" w:cs="Roboto Regular"/>
          <w:sz w:val="22"/>
          <w:szCs w:val="22"/>
          <w:lang w:val="es-PA"/>
        </w:rPr>
      </w:pPr>
      <w:r w:rsidRPr="00D02132">
        <w:rPr>
          <w:rFonts w:ascii="Roboto" w:hAnsi="Roboto" w:cs="Roboto Regular"/>
          <w:sz w:val="22"/>
          <w:szCs w:val="22"/>
          <w:lang w:val="es-PA"/>
        </w:rPr>
        <w:t>Y la mitigación de los contaminantes climáticos de vida corta.</w:t>
      </w:r>
    </w:p>
    <w:p w14:paraId="08CCB2B0" w14:textId="298CB44E" w:rsidR="00857451" w:rsidRPr="00D02132" w:rsidRDefault="00857451" w:rsidP="00C10948">
      <w:pPr>
        <w:pStyle w:val="ListParagraph"/>
        <w:widowControl w:val="0"/>
        <w:numPr>
          <w:ilvl w:val="0"/>
          <w:numId w:val="4"/>
        </w:numPr>
        <w:autoSpaceDE w:val="0"/>
        <w:autoSpaceDN w:val="0"/>
        <w:adjustRightInd w:val="0"/>
        <w:spacing w:after="120" w:line="276" w:lineRule="auto"/>
        <w:ind w:left="0" w:firstLine="0"/>
        <w:rPr>
          <w:rFonts w:ascii="Roboto" w:hAnsi="Roboto" w:cs="Roboto Regular"/>
          <w:sz w:val="22"/>
          <w:szCs w:val="22"/>
          <w:lang w:val="es-PA"/>
        </w:rPr>
      </w:pPr>
      <w:r w:rsidRPr="00D02132">
        <w:rPr>
          <w:rFonts w:ascii="Roboto" w:hAnsi="Roboto" w:cs="Roboto Regular"/>
          <w:sz w:val="22"/>
          <w:szCs w:val="22"/>
          <w:lang w:val="es-PA"/>
        </w:rPr>
        <w:t>Se acordó dar un mayor énfasis a los posible</w:t>
      </w:r>
      <w:r w:rsidR="00387D3A" w:rsidRPr="00D02132">
        <w:rPr>
          <w:rFonts w:ascii="Roboto" w:hAnsi="Roboto" w:cs="Roboto Regular"/>
          <w:sz w:val="22"/>
          <w:szCs w:val="22"/>
          <w:lang w:val="es-PA"/>
        </w:rPr>
        <w:t>s</w:t>
      </w:r>
      <w:r w:rsidRPr="00D02132">
        <w:rPr>
          <w:rFonts w:ascii="Roboto" w:hAnsi="Roboto" w:cs="Roboto Regular"/>
          <w:sz w:val="22"/>
          <w:szCs w:val="22"/>
          <w:lang w:val="es-PA"/>
        </w:rPr>
        <w:t xml:space="preserve"> proyectos </w:t>
      </w:r>
      <w:r w:rsidR="00B52569" w:rsidRPr="00D02132">
        <w:rPr>
          <w:rFonts w:ascii="Roboto" w:hAnsi="Roboto" w:cs="Roboto Regular"/>
          <w:sz w:val="22"/>
          <w:szCs w:val="22"/>
          <w:lang w:val="es-PA"/>
        </w:rPr>
        <w:t>de reducción</w:t>
      </w:r>
      <w:r w:rsidRPr="00D02132">
        <w:rPr>
          <w:rFonts w:ascii="Roboto" w:hAnsi="Roboto" w:cs="Roboto Regular"/>
          <w:sz w:val="22"/>
          <w:szCs w:val="22"/>
          <w:lang w:val="es-PA"/>
        </w:rPr>
        <w:t xml:space="preserve"> de emisiones de gases de efecto invernadero y de contaminantes atmosféricos en dos sectores estratégicos para la región: Transporte y Residencial. Se espera que varios países de la región avancen en proyectos comunes de electromovilidad y uso de cocinas y calefactores limpios, con el apoyo de ONU Medio Ambiente y la Organización Panamericana de la Salud respectivamente. </w:t>
      </w:r>
    </w:p>
    <w:p w14:paraId="1A11AAE4" w14:textId="54618EE9" w:rsidR="00857451" w:rsidRPr="00D02132" w:rsidRDefault="00857451" w:rsidP="00E10BB1">
      <w:pPr>
        <w:widowControl w:val="0"/>
        <w:autoSpaceDE w:val="0"/>
        <w:autoSpaceDN w:val="0"/>
        <w:adjustRightInd w:val="0"/>
        <w:spacing w:line="276" w:lineRule="auto"/>
        <w:contextualSpacing/>
        <w:outlineLvl w:val="0"/>
        <w:rPr>
          <w:rFonts w:ascii="Roboto" w:hAnsi="Roboto" w:cs="Roboto Regular"/>
          <w:sz w:val="22"/>
          <w:szCs w:val="22"/>
          <w:u w:val="single"/>
        </w:rPr>
      </w:pPr>
      <w:r w:rsidRPr="00D02132">
        <w:rPr>
          <w:rFonts w:ascii="Roboto" w:hAnsi="Roboto" w:cs="Roboto Regular"/>
          <w:sz w:val="22"/>
          <w:szCs w:val="22"/>
          <w:u w:val="single"/>
        </w:rPr>
        <w:t>Adhesión de países de la región a la Coalición Clima y Aire Limpio</w:t>
      </w:r>
    </w:p>
    <w:p w14:paraId="4A9B892D" w14:textId="00835078" w:rsidR="00857451" w:rsidRPr="00D02132" w:rsidRDefault="00857451" w:rsidP="00C10948">
      <w:pPr>
        <w:pStyle w:val="ListParagraph"/>
        <w:numPr>
          <w:ilvl w:val="0"/>
          <w:numId w:val="4"/>
        </w:numPr>
        <w:spacing w:after="120"/>
        <w:ind w:left="0" w:firstLine="0"/>
        <w:jc w:val="both"/>
        <w:rPr>
          <w:rFonts w:ascii="Roboto" w:hAnsi="Roboto" w:cs="Roboto Regular"/>
          <w:sz w:val="22"/>
          <w:szCs w:val="22"/>
          <w:lang w:val="es-PA"/>
        </w:rPr>
      </w:pPr>
      <w:r w:rsidRPr="00D02132">
        <w:rPr>
          <w:rFonts w:ascii="Roboto" w:hAnsi="Roboto" w:cs="Roboto Regular"/>
          <w:sz w:val="22"/>
          <w:szCs w:val="22"/>
          <w:lang w:val="es-PA"/>
        </w:rPr>
        <w:t>Panamá y Argentina se han unido oficialmente a la Coalición Clima y Aire Limpio. Se espera que próximamente Ecuador se sume a esta iniciativa global voluntaria para la reducción de contaminantes climáticos de vida corta.</w:t>
      </w:r>
    </w:p>
    <w:p w14:paraId="7B1C740D" w14:textId="77777777" w:rsidR="00857451" w:rsidRPr="00C10948" w:rsidRDefault="00857451" w:rsidP="00E10BB1">
      <w:pPr>
        <w:widowControl w:val="0"/>
        <w:autoSpaceDE w:val="0"/>
        <w:autoSpaceDN w:val="0"/>
        <w:adjustRightInd w:val="0"/>
        <w:spacing w:line="276" w:lineRule="auto"/>
        <w:outlineLvl w:val="0"/>
        <w:rPr>
          <w:rFonts w:ascii="Roboto" w:hAnsi="Roboto" w:cs="Roboto Regular"/>
          <w:sz w:val="22"/>
          <w:szCs w:val="22"/>
          <w:u w:val="single"/>
        </w:rPr>
      </w:pPr>
      <w:r w:rsidRPr="00C10948">
        <w:rPr>
          <w:rFonts w:ascii="Roboto" w:hAnsi="Roboto" w:cs="Roboto Regular"/>
          <w:sz w:val="22"/>
          <w:szCs w:val="22"/>
          <w:u w:val="single"/>
        </w:rPr>
        <w:t>Capacitación en línea</w:t>
      </w:r>
    </w:p>
    <w:p w14:paraId="50F680EE" w14:textId="22A70F62" w:rsidR="00857451" w:rsidRPr="00D02132" w:rsidRDefault="00857451" w:rsidP="00CA670F">
      <w:pPr>
        <w:pStyle w:val="ListParagraph"/>
        <w:widowControl w:val="0"/>
        <w:numPr>
          <w:ilvl w:val="0"/>
          <w:numId w:val="4"/>
        </w:numPr>
        <w:autoSpaceDE w:val="0"/>
        <w:autoSpaceDN w:val="0"/>
        <w:adjustRightInd w:val="0"/>
        <w:spacing w:line="276" w:lineRule="auto"/>
        <w:ind w:left="0" w:firstLine="0"/>
        <w:rPr>
          <w:rFonts w:ascii="Roboto" w:hAnsi="Roboto" w:cs="Roboto Regular"/>
          <w:sz w:val="22"/>
          <w:szCs w:val="22"/>
          <w:vertAlign w:val="superscript"/>
          <w:lang w:val="es-PA"/>
        </w:rPr>
      </w:pPr>
      <w:r w:rsidRPr="00D02132">
        <w:rPr>
          <w:rFonts w:ascii="Roboto" w:hAnsi="Roboto" w:cs="Roboto Regular"/>
          <w:sz w:val="22"/>
          <w:szCs w:val="22"/>
          <w:lang w:val="es-PA"/>
        </w:rPr>
        <w:t>ONU Medio Ambiente y la Agencia de Protección Ambiental de los Estados</w:t>
      </w:r>
      <w:r w:rsidR="00194C08" w:rsidRPr="00D02132">
        <w:rPr>
          <w:rFonts w:ascii="Roboto" w:hAnsi="Roboto" w:cs="Roboto Regular"/>
          <w:sz w:val="22"/>
          <w:szCs w:val="22"/>
          <w:lang w:val="es-PA"/>
        </w:rPr>
        <w:t xml:space="preserve"> Unidos</w:t>
      </w:r>
      <w:r w:rsidRPr="00D02132">
        <w:rPr>
          <w:rFonts w:ascii="Roboto" w:hAnsi="Roboto" w:cs="Roboto Regular"/>
          <w:sz w:val="22"/>
          <w:szCs w:val="22"/>
          <w:lang w:val="es-PA"/>
        </w:rPr>
        <w:t xml:space="preserve"> </w:t>
      </w:r>
      <w:r w:rsidR="00D658D2" w:rsidRPr="00D02132">
        <w:rPr>
          <w:rFonts w:ascii="Roboto" w:hAnsi="Roboto" w:cs="Roboto Regular"/>
          <w:sz w:val="22"/>
          <w:szCs w:val="22"/>
          <w:lang w:val="es-PA"/>
        </w:rPr>
        <w:t>coorganizaron</w:t>
      </w:r>
      <w:r w:rsidRPr="00D02132">
        <w:rPr>
          <w:rFonts w:ascii="Roboto" w:hAnsi="Roboto" w:cs="Roboto Regular"/>
          <w:sz w:val="22"/>
          <w:szCs w:val="22"/>
          <w:lang w:val="es-PA"/>
        </w:rPr>
        <w:t xml:space="preserve"> un webinar </w:t>
      </w:r>
      <w:r w:rsidR="009B35EA" w:rsidRPr="00D02132">
        <w:rPr>
          <w:rFonts w:ascii="Roboto" w:hAnsi="Roboto" w:cs="Roboto Regular"/>
          <w:sz w:val="22"/>
          <w:szCs w:val="22"/>
          <w:lang w:val="es-PA"/>
        </w:rPr>
        <w:t xml:space="preserve">(20 de febrero de 2018) </w:t>
      </w:r>
      <w:r w:rsidRPr="00D02132">
        <w:rPr>
          <w:rFonts w:ascii="Roboto" w:hAnsi="Roboto" w:cs="Roboto Regular"/>
          <w:sz w:val="22"/>
          <w:szCs w:val="22"/>
          <w:lang w:val="es-PA"/>
        </w:rPr>
        <w:t>sobre la plataforma AirNow que comunica información en línea sobre la calidad del aire en los Estados Unidos. El gobierno de Nuevo León en México forma parte de los gobiernos que se han adherido a la plataforma, lo que le ha permitido contar con una herramienta de sistematización y análisis de datos sobre la calidad del aire y poder informar a su población en tiempo real.</w:t>
      </w:r>
      <w:r w:rsidRPr="00D02132">
        <w:rPr>
          <w:rFonts w:ascii="Roboto" w:hAnsi="Roboto"/>
          <w:vertAlign w:val="superscript"/>
          <w:lang w:val="es-PA"/>
        </w:rPr>
        <w:footnoteReference w:id="26"/>
      </w:r>
    </w:p>
    <w:p w14:paraId="67B742F5" w14:textId="1F80C8FE" w:rsidR="00857451" w:rsidRPr="00D02132" w:rsidRDefault="00857451" w:rsidP="00C10948">
      <w:pPr>
        <w:pStyle w:val="ListParagraph"/>
        <w:widowControl w:val="0"/>
        <w:numPr>
          <w:ilvl w:val="0"/>
          <w:numId w:val="4"/>
        </w:numPr>
        <w:autoSpaceDE w:val="0"/>
        <w:autoSpaceDN w:val="0"/>
        <w:adjustRightInd w:val="0"/>
        <w:spacing w:after="120" w:line="276" w:lineRule="auto"/>
        <w:ind w:left="0" w:firstLine="0"/>
        <w:rPr>
          <w:rFonts w:ascii="Roboto" w:hAnsi="Roboto" w:cs="Roboto Regular"/>
          <w:sz w:val="22"/>
          <w:szCs w:val="22"/>
          <w:lang w:val="es-PA"/>
        </w:rPr>
      </w:pPr>
      <w:r w:rsidRPr="00D02132">
        <w:rPr>
          <w:rFonts w:ascii="Roboto" w:hAnsi="Roboto" w:cs="Roboto Regular"/>
          <w:sz w:val="22"/>
          <w:szCs w:val="22"/>
          <w:lang w:val="es-PA"/>
        </w:rPr>
        <w:t xml:space="preserve">ONU Medio Ambiente realizó </w:t>
      </w:r>
      <w:r w:rsidR="009B35EA" w:rsidRPr="00D02132">
        <w:rPr>
          <w:rFonts w:ascii="Roboto" w:hAnsi="Roboto" w:cs="Roboto Regular"/>
          <w:sz w:val="22"/>
          <w:szCs w:val="22"/>
          <w:lang w:val="es-PA"/>
        </w:rPr>
        <w:t>un</w:t>
      </w:r>
      <w:r w:rsidRPr="00D02132">
        <w:rPr>
          <w:rFonts w:ascii="Roboto" w:hAnsi="Roboto" w:cs="Roboto Regular"/>
          <w:sz w:val="22"/>
          <w:szCs w:val="22"/>
          <w:lang w:val="es-PA"/>
        </w:rPr>
        <w:t xml:space="preserve"> webinar</w:t>
      </w:r>
      <w:r w:rsidRPr="00D02132">
        <w:rPr>
          <w:rStyle w:val="FootnoteReference"/>
          <w:rFonts w:ascii="Roboto" w:hAnsi="Roboto" w:cs="Roboto Regular"/>
          <w:sz w:val="22"/>
          <w:szCs w:val="22"/>
          <w:lang w:val="es-PA"/>
        </w:rPr>
        <w:footnoteReference w:id="27"/>
      </w:r>
      <w:r w:rsidRPr="00D02132">
        <w:rPr>
          <w:rFonts w:ascii="Roboto" w:hAnsi="Roboto" w:cs="Roboto Regular"/>
          <w:sz w:val="22"/>
          <w:szCs w:val="22"/>
          <w:lang w:val="es-PA"/>
        </w:rPr>
        <w:t xml:space="preserve"> </w:t>
      </w:r>
      <w:r w:rsidR="009B35EA" w:rsidRPr="00D02132">
        <w:rPr>
          <w:rFonts w:ascii="Roboto" w:hAnsi="Roboto" w:cs="Roboto Regular"/>
          <w:sz w:val="22"/>
          <w:szCs w:val="22"/>
          <w:lang w:val="es-PA"/>
        </w:rPr>
        <w:t>sobre equipos de monitoreo de bajo costo (3 de mayo de 2018)</w:t>
      </w:r>
      <w:r w:rsidR="00C10948">
        <w:rPr>
          <w:rFonts w:ascii="Roboto" w:hAnsi="Roboto" w:cs="Roboto Regular"/>
          <w:sz w:val="22"/>
          <w:szCs w:val="22"/>
          <w:lang w:val="es-PA"/>
        </w:rPr>
        <w:t xml:space="preserve"> </w:t>
      </w:r>
      <w:r w:rsidRPr="00D02132">
        <w:rPr>
          <w:rFonts w:ascii="Roboto" w:hAnsi="Roboto" w:cs="Roboto Regular"/>
          <w:sz w:val="22"/>
          <w:szCs w:val="22"/>
          <w:lang w:val="es-PA"/>
        </w:rPr>
        <w:t xml:space="preserve">con la participación de la Agencia de Protección Ambiental de los Estados Unidos, la Organización </w:t>
      </w:r>
      <w:r w:rsidR="007A31FC" w:rsidRPr="00D02132">
        <w:rPr>
          <w:rFonts w:ascii="Roboto" w:hAnsi="Roboto" w:cs="Roboto Regular"/>
          <w:sz w:val="22"/>
          <w:szCs w:val="22"/>
          <w:lang w:val="es-PA"/>
        </w:rPr>
        <w:t>Meteorológica</w:t>
      </w:r>
      <w:r w:rsidRPr="00D02132">
        <w:rPr>
          <w:rFonts w:ascii="Roboto" w:hAnsi="Roboto" w:cs="Roboto Regular"/>
          <w:sz w:val="22"/>
          <w:szCs w:val="22"/>
          <w:lang w:val="es-PA"/>
        </w:rPr>
        <w:t xml:space="preserve"> Mundial sobre el uso de equipos de monitoreo de calidad del aire bajo costo. Durante el webinar se presentaron los beneficios y limitaciones de los mismos así como las recomendaciones de su uso. </w:t>
      </w:r>
    </w:p>
    <w:p w14:paraId="12F735E2" w14:textId="77777777" w:rsidR="00857451" w:rsidRPr="00C10948" w:rsidRDefault="00857451" w:rsidP="00E10BB1">
      <w:pPr>
        <w:widowControl w:val="0"/>
        <w:autoSpaceDE w:val="0"/>
        <w:autoSpaceDN w:val="0"/>
        <w:adjustRightInd w:val="0"/>
        <w:spacing w:line="276" w:lineRule="auto"/>
        <w:outlineLvl w:val="0"/>
        <w:rPr>
          <w:rFonts w:ascii="Roboto" w:hAnsi="Roboto" w:cs="Roboto Regular"/>
          <w:sz w:val="22"/>
          <w:szCs w:val="22"/>
          <w:u w:val="single"/>
        </w:rPr>
      </w:pPr>
      <w:r w:rsidRPr="00C10948">
        <w:rPr>
          <w:rFonts w:ascii="Roboto" w:hAnsi="Roboto" w:cs="Roboto Regular"/>
          <w:sz w:val="22"/>
          <w:szCs w:val="22"/>
          <w:u w:val="single"/>
        </w:rPr>
        <w:lastRenderedPageBreak/>
        <w:t xml:space="preserve">Datos e información sobre emisiones de contaminantes atmosféricos </w:t>
      </w:r>
    </w:p>
    <w:p w14:paraId="6DEACBE6" w14:textId="29F82499" w:rsidR="00857451" w:rsidRPr="00D02132" w:rsidRDefault="00D658D2" w:rsidP="00C10948">
      <w:pPr>
        <w:pStyle w:val="ListParagraph"/>
        <w:widowControl w:val="0"/>
        <w:numPr>
          <w:ilvl w:val="0"/>
          <w:numId w:val="4"/>
        </w:numPr>
        <w:autoSpaceDE w:val="0"/>
        <w:autoSpaceDN w:val="0"/>
        <w:adjustRightInd w:val="0"/>
        <w:spacing w:after="120" w:line="276" w:lineRule="auto"/>
        <w:ind w:left="0" w:firstLine="0"/>
        <w:rPr>
          <w:rFonts w:ascii="Roboto" w:hAnsi="Roboto" w:cs="Roboto Regular"/>
          <w:sz w:val="22"/>
          <w:szCs w:val="22"/>
          <w:lang w:val="es-PA"/>
        </w:rPr>
      </w:pPr>
      <w:r w:rsidRPr="00D02132">
        <w:rPr>
          <w:rFonts w:ascii="Roboto" w:hAnsi="Roboto" w:cs="Roboto Regular"/>
          <w:sz w:val="22"/>
          <w:szCs w:val="22"/>
          <w:lang w:val="es-PA"/>
        </w:rPr>
        <w:t xml:space="preserve">La Evaluación Regional Integrada sobre Contaminantes Climáticos de Vida Corta, </w:t>
      </w:r>
      <w:r w:rsidR="00857451" w:rsidRPr="00D02132">
        <w:rPr>
          <w:rFonts w:ascii="Roboto" w:hAnsi="Roboto" w:cs="Roboto Regular"/>
          <w:sz w:val="22"/>
          <w:szCs w:val="22"/>
          <w:lang w:val="es-PA"/>
        </w:rPr>
        <w:t xml:space="preserve">informe elaborado por más de 90 autores de la región y de otros países del mundo fue publicado en su totalidad </w:t>
      </w:r>
      <w:r w:rsidR="00C10948" w:rsidRPr="00D02132">
        <w:rPr>
          <w:rFonts w:ascii="Roboto" w:hAnsi="Roboto" w:cs="Roboto Regular"/>
          <w:sz w:val="22"/>
          <w:szCs w:val="22"/>
          <w:lang w:val="es-PA"/>
        </w:rPr>
        <w:t>y se</w:t>
      </w:r>
      <w:r w:rsidR="00857451" w:rsidRPr="00D02132">
        <w:rPr>
          <w:rFonts w:ascii="Roboto" w:hAnsi="Roboto" w:cs="Roboto Regular"/>
          <w:sz w:val="22"/>
          <w:szCs w:val="22"/>
          <w:lang w:val="es-PA"/>
        </w:rPr>
        <w:t xml:space="preserve"> encuentra disponible en línea</w:t>
      </w:r>
      <w:r w:rsidR="00857451" w:rsidRPr="00D02132">
        <w:rPr>
          <w:rFonts w:ascii="Roboto" w:hAnsi="Roboto"/>
          <w:vertAlign w:val="superscript"/>
          <w:lang w:val="es-PA"/>
        </w:rPr>
        <w:footnoteReference w:id="28"/>
      </w:r>
      <w:r w:rsidR="00857451" w:rsidRPr="00D02132">
        <w:rPr>
          <w:rFonts w:ascii="Roboto" w:hAnsi="Roboto" w:cs="Roboto Regular"/>
          <w:sz w:val="22"/>
          <w:szCs w:val="22"/>
          <w:vertAlign w:val="superscript"/>
          <w:lang w:val="es-PA"/>
        </w:rPr>
        <w:t>.</w:t>
      </w:r>
      <w:r w:rsidR="00857451" w:rsidRPr="00D02132">
        <w:rPr>
          <w:rFonts w:ascii="Roboto" w:hAnsi="Roboto" w:cs="Roboto Regular"/>
          <w:sz w:val="22"/>
          <w:szCs w:val="22"/>
          <w:lang w:val="es-PA"/>
        </w:rPr>
        <w:t xml:space="preserve"> El reporte incluye información sobre emisiones, impactos, potenciales medidas de reducción y políticas actuales que se implementan en la región para mejorar la calidad del aire y mitigar el cambio climático.</w:t>
      </w:r>
    </w:p>
    <w:p w14:paraId="4C355B16" w14:textId="54540105" w:rsidR="00857451" w:rsidRPr="00D02132" w:rsidRDefault="00857451" w:rsidP="00CA670F">
      <w:pPr>
        <w:pStyle w:val="ListParagraph"/>
        <w:widowControl w:val="0"/>
        <w:numPr>
          <w:ilvl w:val="0"/>
          <w:numId w:val="4"/>
        </w:numPr>
        <w:autoSpaceDE w:val="0"/>
        <w:autoSpaceDN w:val="0"/>
        <w:adjustRightInd w:val="0"/>
        <w:spacing w:line="276" w:lineRule="auto"/>
        <w:ind w:left="0" w:firstLine="0"/>
        <w:rPr>
          <w:rFonts w:ascii="Roboto" w:hAnsi="Roboto" w:cs="Roboto Regular"/>
          <w:sz w:val="22"/>
          <w:szCs w:val="22"/>
          <w:lang w:val="es-PA"/>
        </w:rPr>
      </w:pPr>
      <w:r w:rsidRPr="00D02132">
        <w:rPr>
          <w:rFonts w:ascii="Roboto" w:hAnsi="Roboto" w:cs="Roboto Regular"/>
          <w:sz w:val="22"/>
          <w:szCs w:val="22"/>
          <w:lang w:val="es-PA"/>
        </w:rPr>
        <w:t>Con el apoyo de la Coalición Clima y Aire Limpio países de la región trabajan actualmente en la elaboración de inventarios integrados de emisiones de gases de efecto invernadero y contaminantes climáticos de vida corta utilizando la herramienta LEAP-IBC</w:t>
      </w:r>
      <w:r w:rsidR="00F05EDF">
        <w:rPr>
          <w:rStyle w:val="FootnoteReference"/>
          <w:rFonts w:ascii="Roboto" w:hAnsi="Roboto" w:cs="Roboto Regular"/>
          <w:sz w:val="22"/>
          <w:szCs w:val="22"/>
          <w:lang w:val="es-PA"/>
        </w:rPr>
        <w:footnoteReference w:id="29"/>
      </w:r>
      <w:r w:rsidRPr="00D02132">
        <w:rPr>
          <w:rFonts w:ascii="Roboto" w:hAnsi="Roboto" w:cs="Roboto Regular"/>
          <w:sz w:val="22"/>
          <w:szCs w:val="22"/>
          <w:lang w:val="es-PA"/>
        </w:rPr>
        <w:t xml:space="preserve"> desarrollada por el Instituto Ambiental de Estocolmo. Se llevó a cabo en Panamá un taller de capacitación sobre el uso de la herramienta del 23 al 27 de julio, en el cual participaron: Colombia, Costa Rica, México, Panamá, Paraguay, Perú, República Dominicana y Uruguay.</w:t>
      </w:r>
    </w:p>
    <w:p w14:paraId="35F447B7" w14:textId="77777777" w:rsidR="00857451" w:rsidRPr="00D02132" w:rsidRDefault="00857451" w:rsidP="00CA670F">
      <w:pPr>
        <w:widowControl w:val="0"/>
        <w:autoSpaceDE w:val="0"/>
        <w:autoSpaceDN w:val="0"/>
        <w:adjustRightInd w:val="0"/>
        <w:spacing w:line="276" w:lineRule="auto"/>
        <w:rPr>
          <w:rFonts w:ascii="Roboto" w:eastAsia="Times New Roman" w:hAnsi="Roboto" w:cs="Roboto Regular"/>
          <w:sz w:val="22"/>
          <w:szCs w:val="22"/>
          <w:lang w:eastAsia="en-US"/>
        </w:rPr>
      </w:pPr>
    </w:p>
    <w:p w14:paraId="77700075" w14:textId="77777777" w:rsidR="00857451" w:rsidRPr="0014204F" w:rsidRDefault="00857451" w:rsidP="00E10BB1">
      <w:pPr>
        <w:spacing w:line="276" w:lineRule="auto"/>
        <w:outlineLvl w:val="0"/>
        <w:rPr>
          <w:rFonts w:ascii="Roboto" w:hAnsi="Roboto"/>
          <w:b/>
          <w:color w:val="548DD4" w:themeColor="text2" w:themeTint="99"/>
          <w:sz w:val="22"/>
          <w:szCs w:val="22"/>
        </w:rPr>
      </w:pPr>
      <w:r w:rsidRPr="0014204F">
        <w:rPr>
          <w:rFonts w:ascii="Roboto" w:hAnsi="Roboto"/>
          <w:b/>
          <w:color w:val="548DD4" w:themeColor="text2" w:themeTint="99"/>
          <w:sz w:val="22"/>
          <w:szCs w:val="22"/>
        </w:rPr>
        <w:t xml:space="preserve">Actividades a futuro </w:t>
      </w:r>
    </w:p>
    <w:p w14:paraId="1ECE8590" w14:textId="77777777" w:rsidR="00857451" w:rsidRPr="00D02132" w:rsidRDefault="00857451" w:rsidP="00CA670F">
      <w:pPr>
        <w:jc w:val="both"/>
        <w:rPr>
          <w:rFonts w:ascii="Roboto" w:eastAsia="Times New Roman" w:hAnsi="Roboto" w:cs="Roboto Regular"/>
          <w:sz w:val="22"/>
          <w:szCs w:val="22"/>
          <w:lang w:eastAsia="en-US"/>
        </w:rPr>
      </w:pPr>
    </w:p>
    <w:p w14:paraId="196FC872" w14:textId="4B6694F5" w:rsidR="00927A3B" w:rsidRDefault="00A60A6F" w:rsidP="00CA670F">
      <w:pPr>
        <w:pStyle w:val="ListParagraph"/>
        <w:numPr>
          <w:ilvl w:val="0"/>
          <w:numId w:val="4"/>
        </w:numPr>
        <w:ind w:left="0" w:firstLine="0"/>
        <w:jc w:val="both"/>
        <w:rPr>
          <w:rFonts w:ascii="Roboto" w:hAnsi="Roboto" w:cs="Roboto Regular"/>
          <w:sz w:val="22"/>
          <w:szCs w:val="22"/>
          <w:lang w:val="es-PA"/>
        </w:rPr>
      </w:pPr>
      <w:r>
        <w:rPr>
          <w:rFonts w:ascii="Roboto" w:hAnsi="Roboto" w:cs="Roboto Regular"/>
          <w:sz w:val="22"/>
          <w:szCs w:val="22"/>
          <w:lang w:val="es-PA"/>
        </w:rPr>
        <w:t>Las siguientes son las actividades que continúan en marcha y/o que están planificadas para implementar a futuro</w:t>
      </w:r>
      <w:r w:rsidR="00927A3B">
        <w:rPr>
          <w:rFonts w:ascii="Roboto" w:hAnsi="Roboto" w:cs="Roboto Regular"/>
          <w:sz w:val="22"/>
          <w:szCs w:val="22"/>
          <w:lang w:val="es-PA"/>
        </w:rPr>
        <w:t>:</w:t>
      </w:r>
    </w:p>
    <w:p w14:paraId="73E69EEE" w14:textId="663EFCA9" w:rsidR="00857451" w:rsidRPr="00D02132" w:rsidRDefault="00857451" w:rsidP="00927A3B">
      <w:pPr>
        <w:pStyle w:val="ListParagraph"/>
        <w:numPr>
          <w:ilvl w:val="0"/>
          <w:numId w:val="42"/>
        </w:numPr>
        <w:jc w:val="both"/>
        <w:rPr>
          <w:rFonts w:ascii="Roboto" w:hAnsi="Roboto" w:cs="Roboto Regular"/>
          <w:sz w:val="22"/>
          <w:szCs w:val="22"/>
          <w:lang w:val="es-PA"/>
        </w:rPr>
      </w:pPr>
      <w:r w:rsidRPr="00D02132">
        <w:rPr>
          <w:rFonts w:ascii="Roboto" w:hAnsi="Roboto" w:cs="Roboto Regular"/>
          <w:sz w:val="22"/>
          <w:szCs w:val="22"/>
          <w:lang w:val="es-PA"/>
        </w:rPr>
        <w:t>Consolidación de los inventarios integrados de gases de efecto invernadero y contaminantes climáticos de vida corta para: Chile, Colombia, Costa Rica, México, Panamá, Paraguay, Perú, República Dominicana y Uruguay.</w:t>
      </w:r>
    </w:p>
    <w:p w14:paraId="716C0472" w14:textId="77777777" w:rsidR="00857451" w:rsidRPr="00D02132" w:rsidRDefault="00857451" w:rsidP="00927A3B">
      <w:pPr>
        <w:pStyle w:val="ListParagraph"/>
        <w:numPr>
          <w:ilvl w:val="0"/>
          <w:numId w:val="42"/>
        </w:numPr>
        <w:jc w:val="both"/>
        <w:rPr>
          <w:rFonts w:ascii="Roboto" w:hAnsi="Roboto" w:cs="Roboto Regular"/>
          <w:sz w:val="22"/>
          <w:szCs w:val="22"/>
          <w:lang w:val="es-PA"/>
        </w:rPr>
      </w:pPr>
      <w:r w:rsidRPr="00D02132">
        <w:rPr>
          <w:rFonts w:ascii="Roboto" w:hAnsi="Roboto" w:cs="Roboto Regular"/>
          <w:sz w:val="22"/>
          <w:szCs w:val="22"/>
          <w:lang w:val="es-PA"/>
        </w:rPr>
        <w:t>Chile, Colombia, México, Perú desarrollan una evaluación de sus medidas de mitigación contenidas es sus Contribuciones Nacionales Determinadas, respecto a sus impactos en calidad del aire.</w:t>
      </w:r>
    </w:p>
    <w:p w14:paraId="57F39082" w14:textId="77777777" w:rsidR="00857451" w:rsidRPr="00D02132" w:rsidRDefault="00857451" w:rsidP="00927A3B">
      <w:pPr>
        <w:pStyle w:val="ListParagraph"/>
        <w:numPr>
          <w:ilvl w:val="0"/>
          <w:numId w:val="42"/>
        </w:numPr>
        <w:jc w:val="both"/>
        <w:rPr>
          <w:rFonts w:ascii="Roboto" w:hAnsi="Roboto" w:cs="Roboto Regular"/>
          <w:sz w:val="22"/>
          <w:szCs w:val="22"/>
          <w:lang w:val="es-PA"/>
        </w:rPr>
      </w:pPr>
      <w:r w:rsidRPr="00D02132">
        <w:rPr>
          <w:rFonts w:ascii="Roboto" w:hAnsi="Roboto" w:cs="Roboto Regular"/>
          <w:sz w:val="22"/>
          <w:szCs w:val="22"/>
          <w:lang w:val="es-PA"/>
        </w:rPr>
        <w:t>Promoción de proyectos de movilidad eléctrica que permitan la mejora de la calidad del aire en las ciudades de la región.</w:t>
      </w:r>
    </w:p>
    <w:p w14:paraId="35FBB840" w14:textId="42EE6147" w:rsidR="00857451" w:rsidRPr="00D02132" w:rsidRDefault="00857451" w:rsidP="00927A3B">
      <w:pPr>
        <w:pStyle w:val="ListParagraph"/>
        <w:numPr>
          <w:ilvl w:val="0"/>
          <w:numId w:val="42"/>
        </w:numPr>
        <w:spacing w:after="120"/>
        <w:ind w:left="357" w:hanging="357"/>
        <w:jc w:val="both"/>
        <w:rPr>
          <w:rFonts w:ascii="Roboto" w:hAnsi="Roboto" w:cs="Roboto Regular"/>
          <w:sz w:val="22"/>
          <w:szCs w:val="22"/>
          <w:lang w:val="es-PA"/>
        </w:rPr>
      </w:pPr>
      <w:r w:rsidRPr="00D02132">
        <w:rPr>
          <w:rFonts w:ascii="Roboto" w:hAnsi="Roboto" w:cs="Roboto Regular"/>
          <w:sz w:val="22"/>
          <w:szCs w:val="22"/>
          <w:lang w:val="es-PA"/>
        </w:rPr>
        <w:t xml:space="preserve">Consolidar una estrategia de recaudación de fondos para la ejecución de proyectos que permitan mejorar la gestión de la calidad del aire en ciudades de la </w:t>
      </w:r>
      <w:r w:rsidR="0014204F" w:rsidRPr="00D02132">
        <w:rPr>
          <w:rFonts w:ascii="Roboto" w:hAnsi="Roboto" w:cs="Roboto Regular"/>
          <w:sz w:val="22"/>
          <w:szCs w:val="22"/>
          <w:lang w:val="es-PA"/>
        </w:rPr>
        <w:t>región</w:t>
      </w:r>
      <w:r w:rsidRPr="00D02132">
        <w:rPr>
          <w:rFonts w:ascii="Roboto" w:hAnsi="Roboto" w:cs="Roboto Regular"/>
          <w:sz w:val="22"/>
          <w:szCs w:val="22"/>
          <w:lang w:val="es-PA"/>
        </w:rPr>
        <w:t>.</w:t>
      </w:r>
    </w:p>
    <w:p w14:paraId="0D5D29CC" w14:textId="1A0471C5" w:rsidR="00857451" w:rsidRPr="00D02132" w:rsidRDefault="00857451" w:rsidP="00927A3B">
      <w:pPr>
        <w:pStyle w:val="ListParagraph"/>
        <w:numPr>
          <w:ilvl w:val="0"/>
          <w:numId w:val="4"/>
        </w:numPr>
        <w:spacing w:after="120"/>
        <w:ind w:left="0" w:firstLine="0"/>
        <w:jc w:val="both"/>
        <w:rPr>
          <w:rFonts w:ascii="Roboto" w:hAnsi="Roboto" w:cs="Roboto Regular"/>
          <w:sz w:val="22"/>
          <w:szCs w:val="22"/>
          <w:lang w:val="es-PA"/>
        </w:rPr>
      </w:pPr>
      <w:r w:rsidRPr="00D02132">
        <w:rPr>
          <w:rFonts w:ascii="Roboto" w:hAnsi="Roboto" w:cs="Roboto Regular"/>
          <w:sz w:val="22"/>
          <w:szCs w:val="22"/>
          <w:lang w:val="es-PA"/>
        </w:rPr>
        <w:t xml:space="preserve">El Comité Directivo de la Red Intergubernamental no ha sesionado. </w:t>
      </w:r>
      <w:r w:rsidR="00B871A2">
        <w:rPr>
          <w:rFonts w:ascii="Roboto" w:hAnsi="Roboto" w:cs="Roboto Regular"/>
          <w:sz w:val="22"/>
          <w:szCs w:val="22"/>
          <w:lang w:val="es-PA"/>
        </w:rPr>
        <w:t>Sería</w:t>
      </w:r>
      <w:r w:rsidR="00A60A6F">
        <w:rPr>
          <w:rFonts w:ascii="Roboto" w:hAnsi="Roboto" w:cs="Roboto Regular"/>
          <w:sz w:val="22"/>
          <w:szCs w:val="22"/>
          <w:lang w:val="es-PA"/>
        </w:rPr>
        <w:t xml:space="preserve"> importante</w:t>
      </w:r>
      <w:r w:rsidRPr="00D02132">
        <w:rPr>
          <w:rFonts w:ascii="Roboto" w:hAnsi="Roboto" w:cs="Roboto Regular"/>
          <w:sz w:val="22"/>
          <w:szCs w:val="22"/>
          <w:lang w:val="es-PA"/>
        </w:rPr>
        <w:t xml:space="preserve"> </w:t>
      </w:r>
      <w:r w:rsidR="0014204F" w:rsidRPr="00D02132">
        <w:rPr>
          <w:rFonts w:ascii="Roboto" w:hAnsi="Roboto" w:cs="Roboto Regular"/>
          <w:sz w:val="22"/>
          <w:szCs w:val="22"/>
          <w:lang w:val="es-PA"/>
        </w:rPr>
        <w:t>reevaluar</w:t>
      </w:r>
      <w:r w:rsidRPr="00D02132">
        <w:rPr>
          <w:rFonts w:ascii="Roboto" w:hAnsi="Roboto" w:cs="Roboto Regular"/>
          <w:sz w:val="22"/>
          <w:szCs w:val="22"/>
          <w:lang w:val="es-PA"/>
        </w:rPr>
        <w:t xml:space="preserve"> la estructura de la Red y proponer la rotación de los países que actualmente tienen la representación sub-regional en dicho comité: México y El Salvador, Colombia y Ecuador, Brasil y Argentina, Antigua y Barbuda y República Dominicana.</w:t>
      </w:r>
    </w:p>
    <w:p w14:paraId="4A191E72" w14:textId="77777777" w:rsidR="00857451" w:rsidRPr="00D02132" w:rsidRDefault="00857451" w:rsidP="00CA670F">
      <w:pPr>
        <w:widowControl w:val="0"/>
        <w:autoSpaceDE w:val="0"/>
        <w:autoSpaceDN w:val="0"/>
        <w:adjustRightInd w:val="0"/>
        <w:spacing w:line="276" w:lineRule="auto"/>
        <w:rPr>
          <w:rFonts w:ascii="Roboto" w:hAnsi="Roboto" w:cs="Roboto Regular"/>
          <w:sz w:val="22"/>
          <w:szCs w:val="22"/>
        </w:rPr>
      </w:pPr>
    </w:p>
    <w:p w14:paraId="76F326D1" w14:textId="77777777" w:rsidR="00DA061D" w:rsidRPr="00D02132" w:rsidRDefault="00DA061D" w:rsidP="00F651EC">
      <w:pPr>
        <w:widowControl w:val="0"/>
        <w:tabs>
          <w:tab w:val="left" w:pos="1125"/>
        </w:tabs>
        <w:autoSpaceDE w:val="0"/>
        <w:autoSpaceDN w:val="0"/>
        <w:adjustRightInd w:val="0"/>
        <w:spacing w:line="276" w:lineRule="auto"/>
        <w:rPr>
          <w:rFonts w:ascii="Roboto" w:hAnsi="Roboto" w:cs="Roboto Regular"/>
          <w:sz w:val="22"/>
          <w:szCs w:val="22"/>
        </w:rPr>
      </w:pPr>
    </w:p>
    <w:p w14:paraId="69251FD4" w14:textId="77777777" w:rsidR="00DA061D" w:rsidRPr="00D02132" w:rsidRDefault="00DA061D" w:rsidP="00F651EC">
      <w:pPr>
        <w:widowControl w:val="0"/>
        <w:tabs>
          <w:tab w:val="left" w:pos="1125"/>
        </w:tabs>
        <w:autoSpaceDE w:val="0"/>
        <w:autoSpaceDN w:val="0"/>
        <w:adjustRightInd w:val="0"/>
        <w:spacing w:line="276" w:lineRule="auto"/>
        <w:rPr>
          <w:rFonts w:ascii="Roboto" w:hAnsi="Roboto" w:cs="Roboto Regular"/>
          <w:sz w:val="22"/>
          <w:szCs w:val="22"/>
        </w:rPr>
      </w:pPr>
    </w:p>
    <w:p w14:paraId="5042E440" w14:textId="77777777" w:rsidR="003461EE" w:rsidRPr="00D02132" w:rsidRDefault="003461EE" w:rsidP="00F651EC">
      <w:pPr>
        <w:spacing w:line="276" w:lineRule="auto"/>
        <w:jc w:val="center"/>
        <w:rPr>
          <w:rFonts w:ascii="Roboto" w:eastAsia="Times New Roman" w:hAnsi="Roboto" w:cs="Tahoma"/>
          <w:b/>
          <w:bCs/>
          <w:sz w:val="32"/>
          <w:szCs w:val="22"/>
        </w:rPr>
      </w:pPr>
      <w:r w:rsidRPr="00D02132">
        <w:rPr>
          <w:rFonts w:ascii="Roboto" w:eastAsia="Times New Roman" w:hAnsi="Roboto" w:cs="Tahoma"/>
          <w:b/>
          <w:bCs/>
          <w:sz w:val="32"/>
          <w:szCs w:val="22"/>
        </w:rPr>
        <w:t>Decisión 10 – Integración de la Biodiversidad para el Desarrollo Sostenible en Armonía con la Naturaleza</w:t>
      </w:r>
    </w:p>
    <w:p w14:paraId="313B5C18" w14:textId="77777777" w:rsidR="003461EE" w:rsidRPr="00D02132" w:rsidRDefault="003461EE" w:rsidP="00F651EC">
      <w:pPr>
        <w:spacing w:line="276" w:lineRule="auto"/>
        <w:rPr>
          <w:rFonts w:ascii="Roboto" w:eastAsia="Times New Roman" w:hAnsi="Roboto" w:cs="Tahoma"/>
          <w:bCs/>
          <w:sz w:val="22"/>
          <w:szCs w:val="22"/>
        </w:rPr>
      </w:pPr>
    </w:p>
    <w:p w14:paraId="2B47899B" w14:textId="7B3C6C71" w:rsidR="00E57FF3" w:rsidRPr="00D02132" w:rsidRDefault="00E57FF3" w:rsidP="00E57FF3">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 xml:space="preserve">La decisión 10 “Integración de la Biodiversidad para el Desarrollo Sostenible en Armonía con la Naturaleza” representó una oportunidad para la región de América Latina </w:t>
      </w:r>
      <w:r w:rsidRPr="00D02132">
        <w:rPr>
          <w:rFonts w:ascii="Roboto" w:hAnsi="Roboto" w:cs="Tahoma"/>
          <w:bCs/>
          <w:sz w:val="22"/>
          <w:szCs w:val="22"/>
          <w:lang w:val="es-PA"/>
        </w:rPr>
        <w:lastRenderedPageBreak/>
        <w:t xml:space="preserve">y el Caribe para unificar los esfuerzos hacia la décimo tercera conferencia de las partes del </w:t>
      </w:r>
      <w:r w:rsidR="0014204F">
        <w:rPr>
          <w:rFonts w:ascii="Roboto" w:hAnsi="Roboto" w:cs="Tahoma"/>
          <w:bCs/>
          <w:sz w:val="22"/>
          <w:szCs w:val="22"/>
          <w:lang w:val="es-PA"/>
        </w:rPr>
        <w:t>C</w:t>
      </w:r>
      <w:r w:rsidRPr="00D02132">
        <w:rPr>
          <w:rFonts w:ascii="Roboto" w:hAnsi="Roboto" w:cs="Tahoma"/>
          <w:bCs/>
          <w:sz w:val="22"/>
          <w:szCs w:val="22"/>
          <w:lang w:val="es-PA"/>
        </w:rPr>
        <w:t xml:space="preserve">onvenio sobre </w:t>
      </w:r>
      <w:r w:rsidR="0014204F">
        <w:rPr>
          <w:rFonts w:ascii="Roboto" w:hAnsi="Roboto" w:cs="Tahoma"/>
          <w:bCs/>
          <w:sz w:val="22"/>
          <w:szCs w:val="22"/>
          <w:lang w:val="es-PA"/>
        </w:rPr>
        <w:t>D</w:t>
      </w:r>
      <w:r w:rsidRPr="00D02132">
        <w:rPr>
          <w:rFonts w:ascii="Roboto" w:hAnsi="Roboto" w:cs="Tahoma"/>
          <w:bCs/>
          <w:sz w:val="22"/>
          <w:szCs w:val="22"/>
          <w:lang w:val="es-PA"/>
        </w:rPr>
        <w:t xml:space="preserve">iversidad </w:t>
      </w:r>
      <w:r w:rsidR="0014204F">
        <w:rPr>
          <w:rFonts w:ascii="Roboto" w:hAnsi="Roboto" w:cs="Tahoma"/>
          <w:bCs/>
          <w:sz w:val="22"/>
          <w:szCs w:val="22"/>
          <w:lang w:val="es-PA"/>
        </w:rPr>
        <w:t>B</w:t>
      </w:r>
      <w:r w:rsidRPr="00D02132">
        <w:rPr>
          <w:rFonts w:ascii="Roboto" w:hAnsi="Roboto" w:cs="Tahoma"/>
          <w:bCs/>
          <w:sz w:val="22"/>
          <w:szCs w:val="22"/>
          <w:lang w:val="es-PA"/>
        </w:rPr>
        <w:t>iológica (CDB) que se llevó a cabo en México, 4-17 diciembre 2016. De igual manera dio un apoyo a la implementación del Plan Estratégico para la Diversidad Biológica 2011 – 2020 y las Metas Aichi, reconociendo que la conservación y uso sostenible de la biodiversidad ofrece la oportunidad de contribuir a la aplicación de la Agenda 2030 y los Objetivos de Desarrollo Sostenible, para combatir el hambre, la pobreza y fomentar la seguridad alimentaria y la salud humana.</w:t>
      </w:r>
    </w:p>
    <w:p w14:paraId="7276DAB8" w14:textId="77777777" w:rsidR="00E57FF3" w:rsidRPr="00D02132" w:rsidRDefault="00E57FF3" w:rsidP="00E57FF3">
      <w:pPr>
        <w:spacing w:line="276" w:lineRule="auto"/>
        <w:rPr>
          <w:rFonts w:ascii="Roboto" w:eastAsia="Times New Roman" w:hAnsi="Roboto" w:cs="Tahoma"/>
          <w:bCs/>
          <w:sz w:val="22"/>
          <w:szCs w:val="22"/>
        </w:rPr>
      </w:pPr>
    </w:p>
    <w:p w14:paraId="54B1B5C2" w14:textId="77777777" w:rsidR="00E57FF3" w:rsidRPr="0014204F" w:rsidRDefault="00E57FF3" w:rsidP="00E10BB1">
      <w:pPr>
        <w:spacing w:line="276" w:lineRule="auto"/>
        <w:outlineLvl w:val="0"/>
        <w:rPr>
          <w:rFonts w:ascii="Roboto" w:hAnsi="Roboto"/>
          <w:b/>
          <w:color w:val="548DD4" w:themeColor="text2" w:themeTint="99"/>
          <w:sz w:val="22"/>
          <w:szCs w:val="22"/>
        </w:rPr>
      </w:pPr>
      <w:r w:rsidRPr="0014204F">
        <w:rPr>
          <w:rFonts w:ascii="Roboto" w:hAnsi="Roboto"/>
          <w:b/>
          <w:color w:val="548DD4" w:themeColor="text2" w:themeTint="99"/>
          <w:sz w:val="22"/>
          <w:szCs w:val="22"/>
        </w:rPr>
        <w:t xml:space="preserve">Avances - Actividades realizadas y resultados obtenidos </w:t>
      </w:r>
    </w:p>
    <w:p w14:paraId="4096C97D" w14:textId="77777777" w:rsidR="00E57FF3" w:rsidRPr="00D02132" w:rsidRDefault="00E57FF3" w:rsidP="00E57FF3">
      <w:pPr>
        <w:spacing w:line="276" w:lineRule="auto"/>
        <w:rPr>
          <w:rFonts w:ascii="Roboto" w:eastAsia="Times New Roman" w:hAnsi="Roboto" w:cs="Tahoma"/>
          <w:bCs/>
          <w:sz w:val="22"/>
          <w:szCs w:val="22"/>
        </w:rPr>
      </w:pPr>
    </w:p>
    <w:p w14:paraId="73BC9D78" w14:textId="635516BD"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La Décimo Tercera Conferencia de las Partes del Convenio sobre Diversidad Biológica se llevó a cabo 4-17 diciembre 2016</w:t>
      </w:r>
      <w:r w:rsidR="0014204F">
        <w:rPr>
          <w:rFonts w:ascii="Roboto" w:hAnsi="Roboto" w:cs="Tahoma"/>
          <w:bCs/>
          <w:sz w:val="22"/>
          <w:szCs w:val="22"/>
          <w:lang w:val="es-PA"/>
        </w:rPr>
        <w:t>,</w:t>
      </w:r>
      <w:r w:rsidR="0014204F" w:rsidRPr="0014204F">
        <w:rPr>
          <w:rFonts w:ascii="Roboto" w:hAnsi="Roboto" w:cs="Tahoma"/>
          <w:bCs/>
          <w:sz w:val="22"/>
          <w:szCs w:val="22"/>
          <w:lang w:val="es-PA"/>
        </w:rPr>
        <w:t xml:space="preserve"> </w:t>
      </w:r>
      <w:r w:rsidR="0014204F" w:rsidRPr="00D02132">
        <w:rPr>
          <w:rFonts w:ascii="Roboto" w:hAnsi="Roboto" w:cs="Tahoma"/>
          <w:bCs/>
          <w:sz w:val="22"/>
          <w:szCs w:val="22"/>
          <w:lang w:val="es-PA"/>
        </w:rPr>
        <w:t>en México</w:t>
      </w:r>
      <w:r w:rsidRPr="00D02132">
        <w:rPr>
          <w:rFonts w:ascii="Roboto" w:hAnsi="Roboto" w:cs="Tahoma"/>
          <w:bCs/>
          <w:sz w:val="22"/>
          <w:szCs w:val="22"/>
          <w:lang w:val="es-PA"/>
        </w:rPr>
        <w:t xml:space="preserve">. Esta reunión </w:t>
      </w:r>
      <w:r w:rsidR="0014204F" w:rsidRPr="00D02132">
        <w:rPr>
          <w:rFonts w:ascii="Roboto" w:hAnsi="Roboto" w:cs="Tahoma"/>
          <w:bCs/>
          <w:sz w:val="22"/>
          <w:szCs w:val="22"/>
          <w:lang w:val="es-PA"/>
        </w:rPr>
        <w:t>represent</w:t>
      </w:r>
      <w:r w:rsidR="0014204F">
        <w:rPr>
          <w:rFonts w:ascii="Roboto" w:hAnsi="Roboto" w:cs="Tahoma"/>
          <w:bCs/>
          <w:sz w:val="22"/>
          <w:szCs w:val="22"/>
          <w:lang w:val="es-PA"/>
        </w:rPr>
        <w:t>ó</w:t>
      </w:r>
      <w:r w:rsidRPr="00D02132">
        <w:rPr>
          <w:rFonts w:ascii="Roboto" w:hAnsi="Roboto" w:cs="Tahoma"/>
          <w:bCs/>
          <w:sz w:val="22"/>
          <w:szCs w:val="22"/>
          <w:lang w:val="es-PA"/>
        </w:rPr>
        <w:t xml:space="preserve"> un hito para el régimen ambiental enfocado en la biodiversidad. Auspiciado por el Gobierno de México, la conferencia de las partes exitosamente </w:t>
      </w:r>
      <w:r w:rsidR="0014204F" w:rsidRPr="00D02132">
        <w:rPr>
          <w:rFonts w:ascii="Roboto" w:hAnsi="Roboto" w:cs="Tahoma"/>
          <w:bCs/>
          <w:sz w:val="22"/>
          <w:szCs w:val="22"/>
          <w:lang w:val="es-PA"/>
        </w:rPr>
        <w:t>adelant</w:t>
      </w:r>
      <w:r w:rsidR="0014204F">
        <w:rPr>
          <w:rFonts w:ascii="Roboto" w:hAnsi="Roboto" w:cs="Tahoma"/>
          <w:bCs/>
          <w:sz w:val="22"/>
          <w:szCs w:val="22"/>
          <w:lang w:val="es-PA"/>
        </w:rPr>
        <w:t>ó</w:t>
      </w:r>
      <w:r w:rsidRPr="00D02132">
        <w:rPr>
          <w:rFonts w:ascii="Roboto" w:hAnsi="Roboto" w:cs="Tahoma"/>
          <w:bCs/>
          <w:sz w:val="22"/>
          <w:szCs w:val="22"/>
          <w:lang w:val="es-PA"/>
        </w:rPr>
        <w:t xml:space="preserve"> el concepto de la integración de la biodiversidad en los sectores productivos como agricultura, pesquería, forestal y turismo. En este sentido, se resaltó la importancia de la biodiversidad en la productividad de sectores que tradicionalmente han tenido un impacto significativo en la alteración y destrucción de ecosistemas de vital importancia. Además, se reconoció la importancia de integrar a los sectores de energía, minería, infraestructura, industria manufacturera y de elaboración, y salud, de cara a la Décimo Cuarta Conferencia de las Partes del Convenio sobre Diversidad Biológica a llevarse a cabo del 17-29 noviembre 2018</w:t>
      </w:r>
      <w:r w:rsidR="0014204F">
        <w:rPr>
          <w:rFonts w:ascii="Roboto" w:hAnsi="Roboto" w:cs="Tahoma"/>
          <w:bCs/>
          <w:sz w:val="22"/>
          <w:szCs w:val="22"/>
          <w:lang w:val="es-PA"/>
        </w:rPr>
        <w:t>,</w:t>
      </w:r>
      <w:r w:rsidR="0014204F" w:rsidRPr="0014204F">
        <w:rPr>
          <w:rFonts w:ascii="Roboto" w:hAnsi="Roboto" w:cs="Tahoma"/>
          <w:bCs/>
          <w:sz w:val="22"/>
          <w:szCs w:val="22"/>
          <w:lang w:val="es-PA"/>
        </w:rPr>
        <w:t xml:space="preserve"> </w:t>
      </w:r>
      <w:r w:rsidR="0014204F" w:rsidRPr="00D02132">
        <w:rPr>
          <w:rFonts w:ascii="Roboto" w:hAnsi="Roboto" w:cs="Tahoma"/>
          <w:bCs/>
          <w:sz w:val="22"/>
          <w:szCs w:val="22"/>
          <w:lang w:val="es-PA"/>
        </w:rPr>
        <w:t>en Egipto</w:t>
      </w:r>
      <w:r w:rsidRPr="00D02132">
        <w:rPr>
          <w:rFonts w:ascii="Roboto" w:hAnsi="Roboto" w:cs="Tahoma"/>
          <w:bCs/>
          <w:sz w:val="22"/>
          <w:szCs w:val="22"/>
          <w:lang w:val="es-PA"/>
        </w:rPr>
        <w:t>.</w:t>
      </w:r>
    </w:p>
    <w:p w14:paraId="25F1F55D" w14:textId="4BFE46C0"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 xml:space="preserve">Diálogos nacionales sobre biodiversidad y negocios se llevaron a cabo en alianza con los Gobiernos de Chile, Uruguay y Panamá. Estos diálogos permiten a los sectores productivos nacionales establecer un entendimiento común en torno al valor e importancia de la biodiversidad y ecosistemas para sus operaciones. En este sentido los diálogos presentaron la oportunidad de avanzar el entendimiento de los servicios ecosistémicos y </w:t>
      </w:r>
      <w:r w:rsidR="0014204F" w:rsidRPr="00D02132">
        <w:rPr>
          <w:rFonts w:ascii="Roboto" w:hAnsi="Roboto" w:cs="Tahoma"/>
          <w:bCs/>
          <w:sz w:val="22"/>
          <w:szCs w:val="22"/>
          <w:lang w:val="es-PA"/>
        </w:rPr>
        <w:t>có</w:t>
      </w:r>
      <w:r w:rsidR="0014204F">
        <w:rPr>
          <w:rFonts w:ascii="Roboto" w:hAnsi="Roboto" w:cs="Tahoma"/>
          <w:bCs/>
          <w:sz w:val="22"/>
          <w:szCs w:val="22"/>
          <w:lang w:val="es-PA"/>
        </w:rPr>
        <w:t>m</w:t>
      </w:r>
      <w:r w:rsidR="0014204F" w:rsidRPr="00D02132">
        <w:rPr>
          <w:rFonts w:ascii="Roboto" w:hAnsi="Roboto" w:cs="Tahoma"/>
          <w:bCs/>
          <w:sz w:val="22"/>
          <w:szCs w:val="22"/>
          <w:lang w:val="es-PA"/>
        </w:rPr>
        <w:t>o</w:t>
      </w:r>
      <w:r w:rsidRPr="00D02132">
        <w:rPr>
          <w:rFonts w:ascii="Roboto" w:hAnsi="Roboto" w:cs="Tahoma"/>
          <w:bCs/>
          <w:sz w:val="22"/>
          <w:szCs w:val="22"/>
          <w:lang w:val="es-PA"/>
        </w:rPr>
        <w:t xml:space="preserve"> estos contribuyen a la productividad de sectores de importancia nacional. Igualmente, se llevaron a cabo Diálogos Regionales en Mesoamérica y el bioma Amazónico. Para Mesoamérica, el diálogo, en cooperación con la Alianza de Biodiversidad para Mesoamérica, la Comisión Nacional para el Conocimiento y Uso de la Biodiversidad (CONABIO) y la GIZ, permitió el intercambio de experiencias en torno a cómo la biodiversidad y los ecosistemas fomentan oportunidades de negocios sostenible, incluyendo el bio-comercio, en alianza con el sector público. En el bioma Amazónico, el Diálogo Intersectorial promovió el acercamiento de los sectores productivos con el uso sostenible de la biodiversidad en el bioma Amazónico y sus áreas protegidas, para identificar buenas prácticas sectoriales, e incentivar la participación en la conservación de la biodiversidad a partir de demostrar </w:t>
      </w:r>
      <w:r w:rsidR="0014204F" w:rsidRPr="00D02132">
        <w:rPr>
          <w:rFonts w:ascii="Roboto" w:hAnsi="Roboto" w:cs="Tahoma"/>
          <w:bCs/>
          <w:sz w:val="22"/>
          <w:szCs w:val="22"/>
          <w:lang w:val="es-PA"/>
        </w:rPr>
        <w:t>có</w:t>
      </w:r>
      <w:r w:rsidR="0014204F">
        <w:rPr>
          <w:rFonts w:ascii="Roboto" w:hAnsi="Roboto" w:cs="Tahoma"/>
          <w:bCs/>
          <w:sz w:val="22"/>
          <w:szCs w:val="22"/>
          <w:lang w:val="es-PA"/>
        </w:rPr>
        <w:t>m</w:t>
      </w:r>
      <w:r w:rsidR="0014204F" w:rsidRPr="00D02132">
        <w:rPr>
          <w:rFonts w:ascii="Roboto" w:hAnsi="Roboto" w:cs="Tahoma"/>
          <w:bCs/>
          <w:sz w:val="22"/>
          <w:szCs w:val="22"/>
          <w:lang w:val="es-PA"/>
        </w:rPr>
        <w:t>o</w:t>
      </w:r>
      <w:r w:rsidRPr="00D02132">
        <w:rPr>
          <w:rFonts w:ascii="Roboto" w:hAnsi="Roboto" w:cs="Tahoma"/>
          <w:bCs/>
          <w:sz w:val="22"/>
          <w:szCs w:val="22"/>
          <w:lang w:val="es-PA"/>
        </w:rPr>
        <w:t xml:space="preserve"> contribuyen al cumplimiento las metas Aichi de Biodiversidad y los Objetivos de Desarrollo Sostenible (ODS).</w:t>
      </w:r>
    </w:p>
    <w:p w14:paraId="4E5EB27F" w14:textId="4EE23424"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 xml:space="preserve">Las Estrategias y Planes de Acción Nacionales para la Biodiversidad (NBSAP por sus siglas en inglés) continúan siendo una importante plataforma para la ordenación de prioridades en torno a la biodiversidad a nivel nacional. Existe un incremento en el entendimiento de </w:t>
      </w:r>
      <w:r w:rsidR="0014204F" w:rsidRPr="00D02132">
        <w:rPr>
          <w:rFonts w:ascii="Roboto" w:hAnsi="Roboto" w:cs="Tahoma"/>
          <w:bCs/>
          <w:sz w:val="22"/>
          <w:szCs w:val="22"/>
          <w:lang w:val="es-PA"/>
        </w:rPr>
        <w:t>c</w:t>
      </w:r>
      <w:r w:rsidR="0014204F">
        <w:rPr>
          <w:rFonts w:ascii="Roboto" w:hAnsi="Roboto" w:cs="Tahoma"/>
          <w:bCs/>
          <w:sz w:val="22"/>
          <w:szCs w:val="22"/>
          <w:lang w:val="es-PA"/>
        </w:rPr>
        <w:t>ó</w:t>
      </w:r>
      <w:r w:rsidR="0014204F" w:rsidRPr="00D02132">
        <w:rPr>
          <w:rFonts w:ascii="Roboto" w:hAnsi="Roboto" w:cs="Tahoma"/>
          <w:bCs/>
          <w:sz w:val="22"/>
          <w:szCs w:val="22"/>
          <w:lang w:val="es-PA"/>
        </w:rPr>
        <w:t>mo</w:t>
      </w:r>
      <w:r w:rsidRPr="00D02132">
        <w:rPr>
          <w:rFonts w:ascii="Roboto" w:hAnsi="Roboto" w:cs="Tahoma"/>
          <w:bCs/>
          <w:sz w:val="22"/>
          <w:szCs w:val="22"/>
          <w:lang w:val="es-PA"/>
        </w:rPr>
        <w:t xml:space="preserve"> el uso sostenible de la biodiversidad puede impulsar la creación de nuevas industrias, oportunidad de empleo, e impulsar la diversificación económica </w:t>
      </w:r>
      <w:r w:rsidRPr="00D02132">
        <w:rPr>
          <w:rFonts w:ascii="Roboto" w:hAnsi="Roboto" w:cs="Tahoma"/>
          <w:bCs/>
          <w:sz w:val="22"/>
          <w:szCs w:val="22"/>
          <w:lang w:val="es-PA"/>
        </w:rPr>
        <w:lastRenderedPageBreak/>
        <w:t>nacional. En este sentido, hay un incremento en el apoyo de proyectos GEF para el desarrollo y revisión de NBSAPs en los países de la región.</w:t>
      </w:r>
    </w:p>
    <w:p w14:paraId="21F29771" w14:textId="5435C87A"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 xml:space="preserve">El desarrollo de una estrategia de biodiversidad para el Caribe, guiada por </w:t>
      </w:r>
      <w:r w:rsidR="00240659" w:rsidRPr="00D02132">
        <w:rPr>
          <w:rFonts w:ascii="Roboto" w:hAnsi="Roboto" w:cs="Tahoma"/>
          <w:bCs/>
          <w:sz w:val="22"/>
          <w:szCs w:val="22"/>
          <w:lang w:val="es-PA"/>
        </w:rPr>
        <w:t xml:space="preserve">la </w:t>
      </w:r>
      <w:r w:rsidR="0014204F" w:rsidRPr="00D02132">
        <w:rPr>
          <w:rFonts w:ascii="Roboto" w:hAnsi="Roboto" w:cs="Tahoma"/>
          <w:bCs/>
          <w:sz w:val="22"/>
          <w:szCs w:val="22"/>
          <w:lang w:val="es-PA"/>
        </w:rPr>
        <w:t>Secretaría</w:t>
      </w:r>
      <w:r w:rsidR="00240659" w:rsidRPr="00D02132">
        <w:rPr>
          <w:rFonts w:ascii="Roboto" w:hAnsi="Roboto" w:cs="Tahoma"/>
          <w:bCs/>
          <w:sz w:val="22"/>
          <w:szCs w:val="22"/>
          <w:lang w:val="es-PA"/>
        </w:rPr>
        <w:t xml:space="preserve"> de la Comunidad del Caribe (</w:t>
      </w:r>
      <w:r w:rsidRPr="00D02132">
        <w:rPr>
          <w:rFonts w:ascii="Roboto" w:hAnsi="Roboto" w:cs="Tahoma"/>
          <w:bCs/>
          <w:sz w:val="22"/>
          <w:szCs w:val="22"/>
          <w:lang w:val="es-PA"/>
        </w:rPr>
        <w:t>CARICOM</w:t>
      </w:r>
      <w:r w:rsidR="00240659" w:rsidRPr="00D02132">
        <w:rPr>
          <w:rFonts w:ascii="Roboto" w:hAnsi="Roboto" w:cs="Tahoma"/>
          <w:bCs/>
          <w:sz w:val="22"/>
          <w:szCs w:val="22"/>
          <w:lang w:val="es-PA"/>
        </w:rPr>
        <w:t>)</w:t>
      </w:r>
      <w:r w:rsidRPr="00D02132">
        <w:rPr>
          <w:rFonts w:ascii="Roboto" w:hAnsi="Roboto" w:cs="Tahoma"/>
          <w:bCs/>
          <w:sz w:val="22"/>
          <w:szCs w:val="22"/>
          <w:lang w:val="es-PA"/>
        </w:rPr>
        <w:t xml:space="preserve">, </w:t>
      </w:r>
      <w:r w:rsidR="0014204F">
        <w:rPr>
          <w:rFonts w:ascii="Roboto" w:hAnsi="Roboto" w:cs="Tahoma"/>
          <w:bCs/>
          <w:sz w:val="22"/>
          <w:szCs w:val="22"/>
          <w:lang w:val="es-PA"/>
        </w:rPr>
        <w:t xml:space="preserve">la </w:t>
      </w:r>
      <w:r w:rsidRPr="00D02132">
        <w:rPr>
          <w:rFonts w:ascii="Roboto" w:hAnsi="Roboto" w:cs="Tahoma"/>
          <w:bCs/>
          <w:sz w:val="22"/>
          <w:szCs w:val="22"/>
          <w:lang w:val="es-PA"/>
        </w:rPr>
        <w:t>Convención de Diversidad Biológica y ONU Medio Ambiente, permitió un entendimiento de las prioridades de la región, así como la identificación de posibles acciones en conjunto a nivel regional y nacional para combatir los factores que causan alteración y destrucción de ecosistemas vitales para la productividad del ecosistema del Caribe. La estrategia está orientada a los países insulares contenidos dentro del área de cooperación de CARICOM, como también Cuba y República Dominicana. Existe un esfuerzo en la identificación y armonización de las distintas iniciativas, programas y proyectos que actualmente interactúan en la región del Caribe para asegurar una articulación que facilite la identificación de planes de acción basados en la cooperación y fortalecimiento de capacidades para implementar el Plan Estratégico sobre Biodiversidad 2011-2020 y las Metas de Aichi sobre Biodiversidad. La estrategia se encuentra en fase de aprobación dentro del Consejo de Ministros de CARICOM.</w:t>
      </w:r>
    </w:p>
    <w:p w14:paraId="72A893B4" w14:textId="5BB01C5E"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ONU Medio Ambiente tomó la iniciativa para impulsar el desarrollo concertado con los países de la región de un Programa de Cooperación Regional sobre Diversidad Biológica, a partir de un proceso de consulta e interacción con los países de América Latina y el Caribe. El objetivo del programa regional es (</w:t>
      </w:r>
      <w:r w:rsidR="00B103B7">
        <w:rPr>
          <w:rFonts w:ascii="Roboto" w:hAnsi="Roboto" w:cs="Tahoma"/>
          <w:bCs/>
          <w:sz w:val="22"/>
          <w:szCs w:val="22"/>
          <w:lang w:val="es-PA"/>
        </w:rPr>
        <w:t>i</w:t>
      </w:r>
      <w:r w:rsidRPr="00D02132">
        <w:rPr>
          <w:rFonts w:ascii="Roboto" w:hAnsi="Roboto" w:cs="Tahoma"/>
          <w:bCs/>
          <w:sz w:val="22"/>
          <w:szCs w:val="22"/>
          <w:lang w:val="es-PA"/>
        </w:rPr>
        <w:t>) Fortalecer las capacidades institucionales de los países de América Latina y el Caribe para integrar (“mainstream”) consideraciones sobre conservación y uso sostenible de la biodiversidad, en los diferentes sectores productivos de los países, incluyendo pesca, agricultura, energía, y otros priorizados en función a particularidades nacionales; (</w:t>
      </w:r>
      <w:r w:rsidR="00B103B7">
        <w:rPr>
          <w:rFonts w:ascii="Roboto" w:hAnsi="Roboto" w:cs="Tahoma"/>
          <w:bCs/>
          <w:sz w:val="22"/>
          <w:szCs w:val="22"/>
          <w:lang w:val="es-PA"/>
        </w:rPr>
        <w:t>ii</w:t>
      </w:r>
      <w:r w:rsidRPr="00D02132">
        <w:rPr>
          <w:rFonts w:ascii="Roboto" w:hAnsi="Roboto" w:cs="Tahoma"/>
          <w:bCs/>
          <w:sz w:val="22"/>
          <w:szCs w:val="22"/>
          <w:lang w:val="es-PA"/>
        </w:rPr>
        <w:t xml:space="preserve">) Promover, mejorar y facilitar la comunicación e intercambios de información entre autoridades y puntos focales sobre diversidad biológica de los países de América Latina y el Caribe. </w:t>
      </w:r>
    </w:p>
    <w:p w14:paraId="48374F6F" w14:textId="52CF2478"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 xml:space="preserve">El Proyecto de Integración de Áreas Protegidas del Bioma Amazónico (IAPA), bajo el marco de la Iniciativa Visión Amazónica, continuó su implementación en los 8 países Amazónicos (Bolivia, Brasil, Colombia, Ecuador, Guyana, Guyana Francesa, </w:t>
      </w:r>
      <w:r w:rsidR="00847499" w:rsidRPr="00D02132">
        <w:rPr>
          <w:rFonts w:ascii="Roboto" w:hAnsi="Roboto" w:cs="Tahoma"/>
          <w:bCs/>
          <w:sz w:val="22"/>
          <w:szCs w:val="22"/>
          <w:lang w:val="es-PA"/>
        </w:rPr>
        <w:t>Surinam</w:t>
      </w:r>
      <w:r w:rsidRPr="00D02132">
        <w:rPr>
          <w:rFonts w:ascii="Roboto" w:hAnsi="Roboto" w:cs="Tahoma"/>
          <w:bCs/>
          <w:sz w:val="22"/>
          <w:szCs w:val="22"/>
          <w:lang w:val="es-PA"/>
        </w:rPr>
        <w:t xml:space="preserve"> y Venezuela). </w:t>
      </w:r>
      <w:r w:rsidR="00847499" w:rsidRPr="00D02132">
        <w:rPr>
          <w:rFonts w:ascii="Roboto" w:hAnsi="Roboto" w:cs="Tahoma"/>
          <w:bCs/>
          <w:sz w:val="22"/>
          <w:szCs w:val="22"/>
          <w:lang w:val="es-PA"/>
        </w:rPr>
        <w:t xml:space="preserve">Este proyecto se implementa conjuntamente con la FAO, ONU Medio Ambiente, el Fondo Mundial para la Naturaleza, y la Unión Internacional para la Conservación de la Naturaleza con el financiamiento de la </w:t>
      </w:r>
      <w:r w:rsidR="00B103B7" w:rsidRPr="00D02132">
        <w:rPr>
          <w:rFonts w:ascii="Roboto" w:hAnsi="Roboto" w:cs="Tahoma"/>
          <w:bCs/>
          <w:sz w:val="22"/>
          <w:szCs w:val="22"/>
          <w:lang w:val="es-PA"/>
        </w:rPr>
        <w:t>Unión</w:t>
      </w:r>
      <w:r w:rsidR="00847499" w:rsidRPr="00D02132">
        <w:rPr>
          <w:rFonts w:ascii="Roboto" w:hAnsi="Roboto" w:cs="Tahoma"/>
          <w:bCs/>
          <w:sz w:val="22"/>
          <w:szCs w:val="22"/>
          <w:lang w:val="es-PA"/>
        </w:rPr>
        <w:t xml:space="preserve"> Europea. </w:t>
      </w:r>
      <w:r w:rsidRPr="00D02132">
        <w:rPr>
          <w:rFonts w:ascii="Roboto" w:hAnsi="Roboto" w:cs="Tahoma"/>
          <w:bCs/>
          <w:sz w:val="22"/>
          <w:szCs w:val="22"/>
          <w:lang w:val="es-PA"/>
        </w:rPr>
        <w:t>Este proyecto busca incrementar la resiliencia al cambio climático de las áreas protegidas en el bioma para asegurar medios de vida en las comunidades locales y pueblos indígenas. Este proyecto ha logrado integrar a los sectores productivos en el manejo integrado de las áreas protegidas de los países Amazónicos, con una visión más allá de la conservación en la cual se fortalece la gobernanza y se trabaja hacia la sostenibilidad financiera de estas áreas.</w:t>
      </w:r>
    </w:p>
    <w:p w14:paraId="0CEF36A9" w14:textId="77777777"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 xml:space="preserve">En el marco del Proyecto IAPA, ONU Medio Ambiente llevó a cabo el Diálogo de Integración de los Objetivos de Desarrollo Sostenible en el Bioma Amazónico, enfocándose en cómo el sector de turismo en áreas protegidas puede contribuir al cumplimiento de los ODS y otras metas ambientales, integrando consideraciones de </w:t>
      </w:r>
      <w:r w:rsidRPr="00D02132">
        <w:rPr>
          <w:rFonts w:ascii="Roboto" w:hAnsi="Roboto" w:cs="Tahoma"/>
          <w:bCs/>
          <w:sz w:val="22"/>
          <w:szCs w:val="22"/>
          <w:lang w:val="es-PA"/>
        </w:rPr>
        <w:lastRenderedPageBreak/>
        <w:t xml:space="preserve">biodiversidad y sostenibilidad ambiental. Como resultado de la reunión se desarrollaron unos lineamientos para el turismo sostenible de áreas protegidas Amazónicas. </w:t>
      </w:r>
    </w:p>
    <w:p w14:paraId="5010A2FF" w14:textId="43B67ABF"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 xml:space="preserve">El Protocolo de Nagoya de la CDB sobre la participación y distribución en los beneficios de los recursos genéticos derivados de la diversidad biológica continúa siendo una oportunidad para la región de América Latina y el Caribe para desarrollar capacidades técnicas e investigativas nacionales, sub-regionales y regional, promoviendo el acceso a los recursos genéticos y la participación justa y equitativa de los beneficios derivados de su utilización. En este sentido, se avanza con el apoyo de proyectos </w:t>
      </w:r>
      <w:r w:rsidR="00EF02F0" w:rsidRPr="00D02132">
        <w:rPr>
          <w:rFonts w:ascii="Roboto" w:hAnsi="Roboto" w:cs="Tahoma"/>
          <w:bCs/>
          <w:sz w:val="22"/>
          <w:szCs w:val="22"/>
          <w:lang w:val="es-PA"/>
        </w:rPr>
        <w:t>GEF</w:t>
      </w:r>
      <w:r w:rsidRPr="00D02132">
        <w:rPr>
          <w:rFonts w:ascii="Roboto" w:hAnsi="Roboto" w:cs="Tahoma"/>
          <w:bCs/>
          <w:sz w:val="22"/>
          <w:szCs w:val="22"/>
          <w:lang w:val="es-PA"/>
        </w:rPr>
        <w:t xml:space="preserve"> para la elaboración de marcos legales que permitan a los países regular y monitorear la extracción de recursos genéticos, asegurando una participación en la distribución de los beneficios. </w:t>
      </w:r>
    </w:p>
    <w:p w14:paraId="2949F3EB" w14:textId="577F1263" w:rsidR="00E57FF3"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 xml:space="preserve">El proyecto GEF </w:t>
      </w:r>
      <w:r w:rsidR="00B103B7">
        <w:rPr>
          <w:rFonts w:ascii="Roboto" w:hAnsi="Roboto" w:cs="Tahoma"/>
          <w:bCs/>
          <w:sz w:val="22"/>
          <w:szCs w:val="22"/>
          <w:lang w:val="es-PA"/>
        </w:rPr>
        <w:t xml:space="preserve">de </w:t>
      </w:r>
      <w:r w:rsidRPr="00D02132">
        <w:rPr>
          <w:rFonts w:ascii="Roboto" w:hAnsi="Roboto" w:cs="Tahoma"/>
          <w:bCs/>
          <w:sz w:val="22"/>
          <w:szCs w:val="22"/>
          <w:lang w:val="es-PA"/>
        </w:rPr>
        <w:t xml:space="preserve">Bioseguridad </w:t>
      </w:r>
      <w:r w:rsidR="00B103B7">
        <w:rPr>
          <w:rFonts w:ascii="Roboto" w:hAnsi="Roboto" w:cs="Tahoma"/>
          <w:bCs/>
          <w:sz w:val="22"/>
          <w:szCs w:val="22"/>
          <w:lang w:val="es-PA"/>
        </w:rPr>
        <w:t xml:space="preserve">en </w:t>
      </w:r>
      <w:r w:rsidRPr="00D02132">
        <w:rPr>
          <w:rFonts w:ascii="Roboto" w:hAnsi="Roboto" w:cs="Tahoma"/>
          <w:bCs/>
          <w:sz w:val="22"/>
          <w:szCs w:val="22"/>
          <w:lang w:val="es-PA"/>
        </w:rPr>
        <w:t>Panamá ha realizado importantes actividades para la implementación del Protocolo de Cartagena durante este periodo. Los avances principales están enfocados en revisión y actualización del marco legal sobre Organismos Genéticamente Modificados (OGM), creación de capacidades en análisis y gestión de riegos de OGM y comunicación informativa sobre OGM. El proyecto se socializó con otros países signatarios del Protocolo de Cartagena de en la reunión de Órgano Subsidiario de Asesoramiento Científico, Técnico y Tecnológico (SBSTTA por sus siglas en inglés), en Montreal, Canadá.</w:t>
      </w:r>
    </w:p>
    <w:p w14:paraId="40F13D67" w14:textId="31D45A7E" w:rsidR="00E80BC3" w:rsidRPr="00E80BC3" w:rsidRDefault="00E80BC3" w:rsidP="00E80BC3">
      <w:pPr>
        <w:pStyle w:val="ListParagraph"/>
        <w:numPr>
          <w:ilvl w:val="0"/>
          <w:numId w:val="4"/>
        </w:numPr>
        <w:spacing w:after="120" w:line="276" w:lineRule="auto"/>
        <w:ind w:left="0" w:firstLine="0"/>
        <w:rPr>
          <w:rFonts w:ascii="Roboto" w:hAnsi="Roboto" w:cs="Tahoma"/>
          <w:bCs/>
          <w:sz w:val="22"/>
          <w:szCs w:val="22"/>
          <w:lang w:val="es-PA"/>
        </w:rPr>
      </w:pPr>
      <w:r w:rsidRPr="00E80BC3">
        <w:rPr>
          <w:rFonts w:ascii="Roboto" w:hAnsi="Roboto" w:cs="Tahoma"/>
          <w:bCs/>
          <w:sz w:val="22"/>
          <w:szCs w:val="22"/>
          <w:lang w:val="es-PA"/>
        </w:rPr>
        <w:t xml:space="preserve">El proyecto Fortalecimiento del Corredor Biológico del Caribe </w:t>
      </w:r>
      <w:r w:rsidR="00FA522A">
        <w:rPr>
          <w:rFonts w:ascii="Roboto" w:hAnsi="Roboto" w:cs="Tahoma"/>
          <w:bCs/>
          <w:sz w:val="22"/>
          <w:szCs w:val="22"/>
          <w:lang w:val="es-PA"/>
        </w:rPr>
        <w:t>financiado</w:t>
      </w:r>
      <w:r w:rsidRPr="00E80BC3">
        <w:rPr>
          <w:rFonts w:ascii="Roboto" w:hAnsi="Roboto" w:cs="Tahoma"/>
          <w:bCs/>
          <w:sz w:val="22"/>
          <w:szCs w:val="22"/>
          <w:lang w:val="es-PA"/>
        </w:rPr>
        <w:t xml:space="preserve"> por la Unión Europea también ha continuado su implementación durante este período. El objetivo de este proyecto es </w:t>
      </w:r>
      <w:r>
        <w:rPr>
          <w:rFonts w:ascii="Roboto" w:hAnsi="Roboto" w:cs="Tahoma"/>
          <w:bCs/>
          <w:sz w:val="22"/>
          <w:szCs w:val="22"/>
          <w:lang w:val="es-PA"/>
        </w:rPr>
        <w:t>establecer</w:t>
      </w:r>
      <w:r w:rsidRPr="00E80BC3">
        <w:rPr>
          <w:rFonts w:ascii="Roboto" w:hAnsi="Roboto" w:cs="Tahoma"/>
          <w:bCs/>
          <w:sz w:val="22"/>
          <w:szCs w:val="22"/>
          <w:lang w:val="es-PA"/>
        </w:rPr>
        <w:t xml:space="preserve"> un enfoque institucional y sostenido para la conservación, gestión y gobernanza de la biodiversidad terrestre y marina </w:t>
      </w:r>
      <w:r>
        <w:rPr>
          <w:rFonts w:ascii="Roboto" w:hAnsi="Roboto" w:cs="Tahoma"/>
          <w:bCs/>
          <w:sz w:val="22"/>
          <w:szCs w:val="22"/>
          <w:lang w:val="es-PA"/>
        </w:rPr>
        <w:t xml:space="preserve">en el </w:t>
      </w:r>
      <w:r w:rsidRPr="00E80BC3">
        <w:rPr>
          <w:rFonts w:ascii="Roboto" w:hAnsi="Roboto" w:cs="Tahoma"/>
          <w:bCs/>
          <w:i/>
          <w:sz w:val="22"/>
          <w:szCs w:val="22"/>
          <w:lang w:val="es-PA"/>
        </w:rPr>
        <w:t>hotspot</w:t>
      </w:r>
      <w:r w:rsidRPr="00E80BC3">
        <w:rPr>
          <w:rFonts w:ascii="Roboto" w:hAnsi="Roboto" w:cs="Tahoma"/>
          <w:bCs/>
          <w:sz w:val="22"/>
          <w:szCs w:val="22"/>
          <w:lang w:val="es-PA"/>
        </w:rPr>
        <w:t xml:space="preserve"> de las islas del Caribe inicialmente en Cuba, Haití y República Dominicana con expansión progresiva y bien estructurada hacia otros países y territorios.</w:t>
      </w:r>
    </w:p>
    <w:p w14:paraId="7DEB9987" w14:textId="2309817E" w:rsidR="00E57FF3" w:rsidRPr="00D02132" w:rsidRDefault="00E57FF3" w:rsidP="00B663BD">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 xml:space="preserve">ONU Medio Ambiente y la Comisión Centroamericana de Ambiente y Desarrollo (CCAD) organizaron en conjunto el </w:t>
      </w:r>
      <w:r w:rsidR="00B103B7" w:rsidRPr="00D02132">
        <w:rPr>
          <w:rFonts w:ascii="Roboto" w:hAnsi="Roboto" w:cs="Tahoma"/>
          <w:bCs/>
          <w:sz w:val="22"/>
          <w:szCs w:val="22"/>
          <w:lang w:val="es-PA"/>
        </w:rPr>
        <w:t>Di</w:t>
      </w:r>
      <w:r w:rsidR="00B103B7">
        <w:rPr>
          <w:rFonts w:ascii="Roboto" w:hAnsi="Roboto" w:cs="Tahoma"/>
          <w:bCs/>
          <w:sz w:val="22"/>
          <w:szCs w:val="22"/>
          <w:lang w:val="es-PA"/>
        </w:rPr>
        <w:t>á</w:t>
      </w:r>
      <w:r w:rsidR="00B103B7" w:rsidRPr="00D02132">
        <w:rPr>
          <w:rFonts w:ascii="Roboto" w:hAnsi="Roboto" w:cs="Tahoma"/>
          <w:bCs/>
          <w:sz w:val="22"/>
          <w:szCs w:val="22"/>
          <w:lang w:val="es-PA"/>
        </w:rPr>
        <w:t>logo</w:t>
      </w:r>
      <w:r w:rsidRPr="00D02132">
        <w:rPr>
          <w:rFonts w:ascii="Roboto" w:hAnsi="Roboto" w:cs="Tahoma"/>
          <w:bCs/>
          <w:sz w:val="22"/>
          <w:szCs w:val="22"/>
          <w:lang w:val="es-PA"/>
        </w:rPr>
        <w:t xml:space="preserve"> Mesoamericano sobre la Conservación de la Vida Silvestre – Retos y Oportunidades. Este evento contó con la participación de miembros de Red de Observancia y Aplicación de la Normativa de Vida Silvestre de Centroamérica y República Dominicana (ROAVIS) quienes compartieron sus resultados y lecciones aprendidas en las actividades implementadas para </w:t>
      </w:r>
      <w:r w:rsidR="00B663BD" w:rsidRPr="00D02132">
        <w:rPr>
          <w:rFonts w:ascii="Roboto" w:hAnsi="Roboto" w:cs="Tahoma"/>
          <w:bCs/>
          <w:sz w:val="22"/>
          <w:szCs w:val="22"/>
          <w:lang w:val="es-PA"/>
        </w:rPr>
        <w:t>abordar el comercio ilegal de</w:t>
      </w:r>
      <w:r w:rsidRPr="00D02132">
        <w:rPr>
          <w:rFonts w:ascii="Roboto" w:hAnsi="Roboto" w:cs="Tahoma"/>
          <w:bCs/>
          <w:sz w:val="22"/>
          <w:szCs w:val="22"/>
          <w:lang w:val="es-PA"/>
        </w:rPr>
        <w:t xml:space="preserve"> la vida silvestre tanto nacional como regional. El objetivo principal del Dialogo Mesoamericano fue crear conciencia sobre la protección de la vida silvestre en la región Mesoamericana, así como identificar áreas de acción para fortalecer y armonizar marcos legales con el fin de </w:t>
      </w:r>
      <w:r w:rsidR="00B663BD" w:rsidRPr="00D02132">
        <w:rPr>
          <w:rFonts w:ascii="Roboto" w:hAnsi="Roboto" w:cs="Tahoma"/>
          <w:bCs/>
          <w:sz w:val="22"/>
          <w:szCs w:val="22"/>
          <w:lang w:val="es-PA"/>
        </w:rPr>
        <w:t>abordar el comercio ilegal de</w:t>
      </w:r>
      <w:r w:rsidRPr="00D02132">
        <w:rPr>
          <w:rFonts w:ascii="Roboto" w:hAnsi="Roboto" w:cs="Tahoma"/>
          <w:bCs/>
          <w:sz w:val="22"/>
          <w:szCs w:val="22"/>
          <w:lang w:val="es-PA"/>
        </w:rPr>
        <w:t xml:space="preserve"> la vida silvestre. En este sentido, se proporcionó aportes para: </w:t>
      </w:r>
      <w:r w:rsidR="00B663BD" w:rsidRPr="00D02132">
        <w:rPr>
          <w:rFonts w:ascii="Roboto" w:hAnsi="Roboto" w:cs="Tahoma"/>
          <w:bCs/>
          <w:sz w:val="22"/>
          <w:szCs w:val="22"/>
          <w:lang w:val="es-PA"/>
        </w:rPr>
        <w:t xml:space="preserve"> i) </w:t>
      </w:r>
      <w:r w:rsidRPr="00D02132">
        <w:rPr>
          <w:rFonts w:ascii="Roboto" w:hAnsi="Roboto" w:cs="Tahoma"/>
          <w:bCs/>
          <w:sz w:val="22"/>
          <w:szCs w:val="22"/>
          <w:lang w:val="es-PA"/>
        </w:rPr>
        <w:t xml:space="preserve">Fortalecer la coordinación y la cooperación entre las instituciones nacionales y regionales que protegen la vida silvestre; </w:t>
      </w:r>
      <w:r w:rsidR="00B663BD" w:rsidRPr="00D02132">
        <w:rPr>
          <w:rFonts w:ascii="Roboto" w:hAnsi="Roboto" w:cs="Tahoma"/>
          <w:bCs/>
          <w:sz w:val="22"/>
          <w:szCs w:val="22"/>
          <w:lang w:val="es-PA"/>
        </w:rPr>
        <w:t xml:space="preserve">ii) </w:t>
      </w:r>
      <w:r w:rsidR="00443FB5" w:rsidRPr="00D02132">
        <w:rPr>
          <w:rFonts w:ascii="Roboto" w:hAnsi="Roboto" w:cs="Tahoma"/>
          <w:bCs/>
          <w:sz w:val="22"/>
          <w:szCs w:val="22"/>
          <w:lang w:val="es-PA"/>
        </w:rPr>
        <w:t>Un e</w:t>
      </w:r>
      <w:r w:rsidRPr="00D02132">
        <w:rPr>
          <w:rFonts w:ascii="Roboto" w:hAnsi="Roboto" w:cs="Tahoma"/>
          <w:bCs/>
          <w:sz w:val="22"/>
          <w:szCs w:val="22"/>
          <w:lang w:val="es-PA"/>
        </w:rPr>
        <w:t>ntendimiento común de lo que se requiere para apoyar los esfuerzos de armonización de los regímenes jurídicos nacionales y regionales, que aborden de manera efectiva los múltiples aspectos involucradas en los delitos contra la vida silvestre.</w:t>
      </w:r>
    </w:p>
    <w:p w14:paraId="526DD2F1" w14:textId="77777777"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lastRenderedPageBreak/>
        <w:t xml:space="preserve">Un tema creciente importancia para la región es la necesidad de un mayor entendimiento de los bosques azules – manglares, praderas submarinas y marismas – que son piezas claves en la captura y almacenamiento de carbono. </w:t>
      </w:r>
    </w:p>
    <w:p w14:paraId="5A424DFA" w14:textId="77777777" w:rsidR="00E57FF3" w:rsidRPr="00D02132" w:rsidRDefault="00E57FF3" w:rsidP="00E57FF3">
      <w:pPr>
        <w:spacing w:line="276" w:lineRule="auto"/>
        <w:rPr>
          <w:rFonts w:ascii="Roboto" w:eastAsia="Times New Roman" w:hAnsi="Roboto" w:cs="Tahoma"/>
          <w:bCs/>
          <w:sz w:val="22"/>
          <w:szCs w:val="22"/>
        </w:rPr>
      </w:pPr>
    </w:p>
    <w:p w14:paraId="3CB65546" w14:textId="77777777" w:rsidR="00E57FF3" w:rsidRPr="00B103B7" w:rsidRDefault="00E57FF3" w:rsidP="00E10BB1">
      <w:pPr>
        <w:spacing w:line="276" w:lineRule="auto"/>
        <w:outlineLvl w:val="0"/>
        <w:rPr>
          <w:rFonts w:ascii="Roboto" w:hAnsi="Roboto"/>
          <w:b/>
          <w:color w:val="548DD4" w:themeColor="text2" w:themeTint="99"/>
          <w:sz w:val="22"/>
          <w:szCs w:val="22"/>
        </w:rPr>
      </w:pPr>
      <w:r w:rsidRPr="00B103B7">
        <w:rPr>
          <w:rFonts w:ascii="Roboto" w:hAnsi="Roboto"/>
          <w:b/>
          <w:color w:val="548DD4" w:themeColor="text2" w:themeTint="99"/>
          <w:sz w:val="22"/>
          <w:szCs w:val="22"/>
        </w:rPr>
        <w:t>Actividades a futuro</w:t>
      </w:r>
    </w:p>
    <w:p w14:paraId="39F23606" w14:textId="77777777" w:rsidR="00E57FF3" w:rsidRPr="00D02132" w:rsidRDefault="00E57FF3" w:rsidP="00E57FF3">
      <w:pPr>
        <w:spacing w:line="276" w:lineRule="auto"/>
        <w:rPr>
          <w:rFonts w:ascii="Roboto" w:eastAsia="Times New Roman" w:hAnsi="Roboto" w:cs="Tahoma"/>
          <w:bCs/>
          <w:sz w:val="22"/>
          <w:szCs w:val="22"/>
        </w:rPr>
      </w:pPr>
      <w:r w:rsidRPr="00D02132">
        <w:rPr>
          <w:rFonts w:ascii="Roboto" w:eastAsia="Times New Roman" w:hAnsi="Roboto" w:cs="Tahoma"/>
          <w:bCs/>
          <w:sz w:val="22"/>
          <w:szCs w:val="22"/>
        </w:rPr>
        <w:t xml:space="preserve">                           </w:t>
      </w:r>
    </w:p>
    <w:p w14:paraId="1C0F449F" w14:textId="77777777"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 xml:space="preserve">La operatividad de un Programa de Cooperación Regional sobre Diversidad Biológica para América Latina y el Caribe se espera para la primera mitad de 2019. Se espera que los pilares se establezcan en torno a una plataforma de intercambio de información relevante, incluyendo sobre integración de la biodiversidad en diferentes sectores productivos nacionales de la región, como también, creación de una red activa de autoridades y puntos focales, interactuando de manera regular a partir de sesiones cortas y moderadas en temas críticos y prioritarios para la región. </w:t>
      </w:r>
    </w:p>
    <w:p w14:paraId="10C84355" w14:textId="103BEAFC"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 xml:space="preserve">La realización de diálogos nacionales sobre biodiversidad y negocios son una plataforma importante para establecer un acercamiento con los sectores productivos. Se espera un avance a nivel nacional y regional en la organización de estos diálogos. </w:t>
      </w:r>
    </w:p>
    <w:p w14:paraId="6DCBD6DD" w14:textId="77777777"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Se tiene prevista una reunión con los bancos de desarrollo de los países Amazónicos, con el fin de integrar los criterios de prácticas sostenibles en sectores productivos dentro de las carteras crediticias, al igual que discutir la creación de un Fondo Amazónico en el cual se integren criterios de sostenibilidad, para así asegurar la integración de la biodiversidad dentro de las actividades económicas en el bioma.</w:t>
      </w:r>
    </w:p>
    <w:p w14:paraId="3FFEC4F6" w14:textId="77777777"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Se está avanzando un estudio de valoración económica de servicios ecosistémicos de las áreas protegidas Amazónicas. El estudio está enfocado en las contribuciones de los servicios ecosistémicos al sector de turismo, con el fin de lograr mayor incidencia en las políticas públicas nacionales y las relacionadas a las áreas protegidas en los países que lo conforman, manteniendo un enfoque de conservación y uso sostenible de la biodiversidad.</w:t>
      </w:r>
    </w:p>
    <w:p w14:paraId="2BD6E1C4" w14:textId="77777777"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Como parte del seguimiento al proyecto IAPA, se está desarrollando un proyecto de integración de la conservación de la biodiversidad en paisajes productivos del bioma Amazónico, que establezca sistemas de producción amigables con la biodiversidad junto a ejercicios de valoración económica de servicios ecosistémicos para incorporar variables ambientales en presupuestos nacionales.</w:t>
      </w:r>
    </w:p>
    <w:p w14:paraId="6D9FF238" w14:textId="77777777"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Un análisis sobre las contribuciones de las áreas protegidas y los sectores productivos del bioma Amazónico al cumplimiento de los Objetivos de Desarrollo Sostenible está siendo elaborado, integrando datos sobre el valor de la biodiversidad para las exportaciones dentro de las economías de los países.</w:t>
      </w:r>
    </w:p>
    <w:p w14:paraId="2C1C3C44" w14:textId="77777777"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La región continúa experimentando un incremento en el comercio ilícito de vida silvestre. En este sentido, áreas de trabajo son necesarias para incrementar la conciencia sobre la protección de la vida silvestre, así como identificar áreas de acción para fortalecer y armonizar marcos legales con el fin de conservar la vida silvestre.</w:t>
      </w:r>
    </w:p>
    <w:p w14:paraId="5240C229" w14:textId="77777777"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lastRenderedPageBreak/>
        <w:t>Once países de América Latina y el Caribe continuarán la elaboración y revisión de sus Estrategias y Planes de Acción Nacionales para la Biodiversidad (NBSAP por sus siglas en inglés), apoyados por el financiamiento del Fondo Mundial para el Medio Ambiente (GEF por sus siglas en inglés).</w:t>
      </w:r>
    </w:p>
    <w:p w14:paraId="19658759" w14:textId="2C30ECA0"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 xml:space="preserve">A futuro, los esfuerzos de implementación del Protocolo de Cartagena en Panamá del Proyecto GEF Bioseguridad Panamá se van a orientar a creación de un marco legal actualizado, y toda la capacitación necesaria para su implementación en el país, además de la implementación de un </w:t>
      </w:r>
      <w:r w:rsidR="00BD18B8" w:rsidRPr="00D02132">
        <w:rPr>
          <w:rFonts w:ascii="Roboto" w:hAnsi="Roboto" w:cs="Tahoma"/>
          <w:bCs/>
          <w:sz w:val="22"/>
          <w:szCs w:val="22"/>
          <w:lang w:val="es-PA"/>
        </w:rPr>
        <w:t>Mecanismo de Intercambio de Información sobre Bioseguridad (</w:t>
      </w:r>
      <w:r w:rsidR="00464815" w:rsidRPr="00D02132">
        <w:rPr>
          <w:rFonts w:ascii="Roboto" w:hAnsi="Roboto" w:cs="Tahoma"/>
          <w:bCs/>
          <w:sz w:val="22"/>
          <w:szCs w:val="22"/>
          <w:lang w:val="es-PA"/>
        </w:rPr>
        <w:t>Biosafety</w:t>
      </w:r>
      <w:r w:rsidRPr="00D02132">
        <w:rPr>
          <w:rFonts w:ascii="Roboto" w:hAnsi="Roboto" w:cs="Tahoma"/>
          <w:bCs/>
          <w:sz w:val="22"/>
          <w:szCs w:val="22"/>
          <w:lang w:val="es-PA"/>
        </w:rPr>
        <w:t xml:space="preserve"> Clearing House</w:t>
      </w:r>
      <w:r w:rsidR="00BD18B8" w:rsidRPr="00D02132">
        <w:rPr>
          <w:rFonts w:ascii="Roboto" w:hAnsi="Roboto" w:cs="Tahoma"/>
          <w:bCs/>
          <w:sz w:val="22"/>
          <w:szCs w:val="22"/>
          <w:lang w:val="es-PA"/>
        </w:rPr>
        <w:t xml:space="preserve"> - </w:t>
      </w:r>
      <w:r w:rsidRPr="00D02132">
        <w:rPr>
          <w:rFonts w:ascii="Roboto" w:hAnsi="Roboto" w:cs="Tahoma"/>
          <w:bCs/>
          <w:sz w:val="22"/>
          <w:szCs w:val="22"/>
          <w:lang w:val="es-PA"/>
        </w:rPr>
        <w:t>BCH) para transparencia y presentación de todo lo que tiene que ver con OGM.  También se realizarán esfuerzos adicionales de comunicación informativa para informar y elevar el debate sobre el tema en el país, al igual que socialización y divulgación de lecciones aprendidas y mejores prácticas a través de los medios, y de foros internacionales como la Novena Reunión de las Partes del Protocolo de Cartagena (COP/MOP 9).</w:t>
      </w:r>
    </w:p>
    <w:p w14:paraId="67061CC0" w14:textId="77777777"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La región se prepara para la Décimo Cuarta Conferencia de las Partes del Convenio sobre la Diversidad Biológica (CDB COP 14), que tendrá lugar del 17 a 29 de noviembre de 2018 en Egipto, en donde se examinarán los avances en la implementación del Plan Estratégico para la Diversidad Biológica 2011-2020. Para la integración de biodiversidad en sectores productivos, la COP se centrará en los sectores de energía, minería, infraestructura, manufactura y procesamiento, y salud.</w:t>
      </w:r>
    </w:p>
    <w:p w14:paraId="7089CD29" w14:textId="77777777"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El Tercer Congreso Latinoamericano de Áreas Protegidas se llevará a cabo del 17 al 20 de marzo de 2019, bajo el lema “Bienestar y soluciones naturales para el desarrollo sostenible”, y en el cual se abordará la importancia de integrar la biodiversidad en todos los sectores de la sociedad, al igual que las estrategias internacionales, compromisos globales, alianzas y oportunidades y como estas se benefician de la integración.</w:t>
      </w:r>
    </w:p>
    <w:p w14:paraId="71908ECF" w14:textId="77777777" w:rsidR="00E57FF3" w:rsidRPr="00D02132" w:rsidRDefault="00E57FF3" w:rsidP="00C72484">
      <w:pPr>
        <w:pStyle w:val="ListParagraph"/>
        <w:numPr>
          <w:ilvl w:val="0"/>
          <w:numId w:val="4"/>
        </w:numPr>
        <w:spacing w:after="120" w:line="276" w:lineRule="auto"/>
        <w:ind w:left="0" w:firstLine="0"/>
        <w:rPr>
          <w:rFonts w:ascii="Roboto" w:hAnsi="Roboto" w:cs="Tahoma"/>
          <w:bCs/>
          <w:sz w:val="22"/>
          <w:szCs w:val="22"/>
          <w:lang w:val="es-PA"/>
        </w:rPr>
      </w:pPr>
      <w:r w:rsidRPr="00D02132">
        <w:rPr>
          <w:rFonts w:ascii="Roboto" w:hAnsi="Roboto" w:cs="Tahoma"/>
          <w:bCs/>
          <w:sz w:val="22"/>
          <w:szCs w:val="22"/>
          <w:lang w:val="es-PA"/>
        </w:rPr>
        <w:t>La región continuará buscando sinergias con los diferentes sectores dentro de las economías nacionales para integrar la biodiversidad y promover el uso sostenible de la misma, de la mano del cumplimiento de las metas internacionales.</w:t>
      </w:r>
    </w:p>
    <w:p w14:paraId="2B7105C0" w14:textId="77777777" w:rsidR="00083276" w:rsidRPr="00D02132" w:rsidRDefault="00083276" w:rsidP="00F651EC">
      <w:pPr>
        <w:spacing w:line="276" w:lineRule="auto"/>
        <w:rPr>
          <w:rFonts w:ascii="Roboto" w:eastAsia="Times New Roman" w:hAnsi="Roboto" w:cs="Tahoma"/>
          <w:bCs/>
          <w:sz w:val="22"/>
          <w:szCs w:val="22"/>
        </w:rPr>
      </w:pPr>
    </w:p>
    <w:p w14:paraId="29F666A0" w14:textId="77777777" w:rsidR="00083276" w:rsidRPr="00D02132" w:rsidRDefault="00083276" w:rsidP="00F651EC">
      <w:pPr>
        <w:spacing w:line="276" w:lineRule="auto"/>
        <w:rPr>
          <w:rFonts w:ascii="Roboto" w:eastAsia="Times New Roman" w:hAnsi="Roboto" w:cs="Tahoma"/>
          <w:bCs/>
          <w:sz w:val="22"/>
          <w:szCs w:val="22"/>
        </w:rPr>
      </w:pPr>
    </w:p>
    <w:p w14:paraId="6CCBDF3A" w14:textId="77777777" w:rsidR="003461EE" w:rsidRPr="00D02132" w:rsidRDefault="005762B9" w:rsidP="00E10BB1">
      <w:pPr>
        <w:spacing w:line="276" w:lineRule="auto"/>
        <w:jc w:val="center"/>
        <w:outlineLvl w:val="0"/>
        <w:rPr>
          <w:rFonts w:ascii="Roboto" w:eastAsia="Times New Roman" w:hAnsi="Roboto" w:cs="Tahoma"/>
          <w:b/>
          <w:bCs/>
          <w:sz w:val="32"/>
          <w:szCs w:val="22"/>
        </w:rPr>
      </w:pPr>
      <w:r w:rsidRPr="00D02132">
        <w:rPr>
          <w:rFonts w:ascii="Roboto" w:eastAsia="Times New Roman" w:hAnsi="Roboto" w:cs="Tahoma"/>
          <w:b/>
          <w:bCs/>
          <w:sz w:val="32"/>
          <w:szCs w:val="22"/>
        </w:rPr>
        <w:t>Decisión 11 – Océanos</w:t>
      </w:r>
    </w:p>
    <w:p w14:paraId="643FA71F" w14:textId="77777777" w:rsidR="003461EE" w:rsidRPr="00D02132" w:rsidRDefault="003461EE" w:rsidP="00F651EC">
      <w:pPr>
        <w:spacing w:line="276" w:lineRule="auto"/>
        <w:rPr>
          <w:rFonts w:ascii="Roboto" w:eastAsia="Times New Roman" w:hAnsi="Roboto" w:cs="Tahoma"/>
          <w:bCs/>
          <w:sz w:val="22"/>
          <w:szCs w:val="22"/>
        </w:rPr>
      </w:pPr>
    </w:p>
    <w:p w14:paraId="5651C891" w14:textId="77777777" w:rsidR="00A518CE" w:rsidRPr="00D02132" w:rsidRDefault="00A518CE" w:rsidP="00816572">
      <w:pPr>
        <w:spacing w:line="276" w:lineRule="auto"/>
        <w:jc w:val="center"/>
        <w:rPr>
          <w:rFonts w:ascii="Roboto" w:hAnsi="Roboto"/>
          <w:b/>
          <w:sz w:val="22"/>
          <w:szCs w:val="22"/>
        </w:rPr>
      </w:pPr>
    </w:p>
    <w:p w14:paraId="0D7EE7EE" w14:textId="77777777" w:rsidR="00125D82" w:rsidRPr="00D02132" w:rsidRDefault="00125D82" w:rsidP="00C37D13">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Esta decisión destacó la importancia de la conservación y uso sostenible de los recursos marino-costeros para el desarrollo sostenible. La región de América Latina y el Caribe tomó importantes pasos para combatir los principales factores que impactan la salud y productividad de los océanos, como la creciente contaminación de fuentes terrestres, en particular en torno a la basura marina, reducción de nutrientes a través de un mejor manejo de prácticas agrícolas y el manejo integrado de desechos sólidos. La región se encuentra liderando avances en el ámbito de la economía azul, con varias iniciativas en curso. Igualmente, se fortaleció la coordinación y gobernanza de los mares de la región a través de las convenciones de los mares regionales (Convención de Cartagena en el Mar Caribe; </w:t>
      </w:r>
      <w:r w:rsidRPr="00D02132">
        <w:rPr>
          <w:rFonts w:ascii="Roboto" w:hAnsi="Roboto" w:cs="Tahoma"/>
          <w:bCs/>
          <w:sz w:val="22"/>
          <w:szCs w:val="22"/>
          <w:lang w:val="es-PA"/>
        </w:rPr>
        <w:lastRenderedPageBreak/>
        <w:t xml:space="preserve">Convención de Lima en el Pacífico Sureste; y Convención de Antigua en el Pacífico Noreste). </w:t>
      </w:r>
    </w:p>
    <w:p w14:paraId="58943D66" w14:textId="77777777" w:rsidR="00125D82" w:rsidRPr="00D02132" w:rsidRDefault="00125D82" w:rsidP="00125D82">
      <w:pPr>
        <w:spacing w:line="276" w:lineRule="auto"/>
        <w:jc w:val="both"/>
        <w:rPr>
          <w:rFonts w:ascii="Roboto" w:hAnsi="Roboto"/>
          <w:b/>
          <w:color w:val="8DB3E2" w:themeColor="text2" w:themeTint="66"/>
          <w:sz w:val="22"/>
          <w:szCs w:val="22"/>
        </w:rPr>
      </w:pPr>
    </w:p>
    <w:p w14:paraId="4A0444C6" w14:textId="6F3226F3" w:rsidR="00125D82" w:rsidRPr="00B103B7" w:rsidRDefault="00125D82" w:rsidP="00E10BB1">
      <w:pPr>
        <w:spacing w:line="276" w:lineRule="auto"/>
        <w:jc w:val="both"/>
        <w:outlineLvl w:val="0"/>
        <w:rPr>
          <w:rFonts w:ascii="Roboto" w:hAnsi="Roboto"/>
          <w:b/>
          <w:color w:val="548DD4" w:themeColor="text2" w:themeTint="99"/>
          <w:sz w:val="22"/>
          <w:szCs w:val="22"/>
        </w:rPr>
      </w:pPr>
      <w:r w:rsidRPr="00B103B7">
        <w:rPr>
          <w:rFonts w:ascii="Roboto" w:hAnsi="Roboto"/>
          <w:b/>
          <w:color w:val="548DD4" w:themeColor="text2" w:themeTint="99"/>
          <w:sz w:val="22"/>
          <w:szCs w:val="22"/>
        </w:rPr>
        <w:t xml:space="preserve">Avances </w:t>
      </w:r>
      <w:r w:rsidR="00B103B7" w:rsidRPr="00B103B7">
        <w:rPr>
          <w:rFonts w:ascii="Roboto" w:hAnsi="Roboto"/>
          <w:b/>
          <w:color w:val="548DD4" w:themeColor="text2" w:themeTint="99"/>
          <w:sz w:val="22"/>
          <w:szCs w:val="22"/>
        </w:rPr>
        <w:t>- Actividades</w:t>
      </w:r>
      <w:r w:rsidRPr="00B103B7">
        <w:rPr>
          <w:rFonts w:ascii="Roboto" w:hAnsi="Roboto"/>
          <w:b/>
          <w:color w:val="548DD4" w:themeColor="text2" w:themeTint="99"/>
          <w:sz w:val="22"/>
          <w:szCs w:val="22"/>
        </w:rPr>
        <w:t xml:space="preserve"> realizadas y resultados obtenidos </w:t>
      </w:r>
    </w:p>
    <w:p w14:paraId="20CF4E27" w14:textId="77777777" w:rsidR="00125D82" w:rsidRPr="00D02132" w:rsidRDefault="00125D82" w:rsidP="00125D82">
      <w:pPr>
        <w:spacing w:line="276" w:lineRule="auto"/>
        <w:jc w:val="both"/>
        <w:rPr>
          <w:rFonts w:ascii="Roboto" w:eastAsia="Times New Roman" w:hAnsi="Roboto" w:cs="Tahoma"/>
          <w:bCs/>
          <w:sz w:val="22"/>
          <w:szCs w:val="22"/>
        </w:rPr>
      </w:pPr>
    </w:p>
    <w:p w14:paraId="4BF5E910" w14:textId="77777777" w:rsidR="00125D82" w:rsidRPr="00D02132" w:rsidRDefault="00125D82" w:rsidP="00B46443">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La región avanzó en el desarrollo de planes regionales sobre basura marina, como parte de los compromisos de los países a las convenciones de mares regionales. Estos planes de acción regionales, en conjunto con los planes de acción nacionales, forman la base para atacar el creciente problema de la basura marina, incluyendo los micro-plásticos, a través de legislación, provisión de información científica, campañas de comunicación, participación de la sociedad civil y el sector privado.</w:t>
      </w:r>
    </w:p>
    <w:p w14:paraId="33FADBD0" w14:textId="77777777" w:rsidR="00125D82" w:rsidRPr="00D02132" w:rsidRDefault="00125D82" w:rsidP="00B46443">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La región ha demostrado gran interés y liderazgo en la campaña de Mares Limpios de ONU Medio Ambiente sobre basura marina. Hasta la fecha, 15 países de la región</w:t>
      </w:r>
      <w:r w:rsidRPr="00D02132">
        <w:rPr>
          <w:rFonts w:ascii="Roboto" w:hAnsi="Roboto"/>
          <w:lang w:val="es-PA"/>
        </w:rPr>
        <w:footnoteReference w:id="30"/>
      </w:r>
      <w:r w:rsidRPr="00D02132">
        <w:rPr>
          <w:rFonts w:ascii="Roboto" w:hAnsi="Roboto" w:cs="Tahoma"/>
          <w:bCs/>
          <w:sz w:val="22"/>
          <w:szCs w:val="22"/>
          <w:lang w:val="es-PA"/>
        </w:rPr>
        <w:t xml:space="preserve"> se han unido a la campaña y están tomando medidas importantes para eliminar la contaminación marina por plásticos, incluyendo acciones como: prohibir las bolsas de plástico, poliestireno expandido y otros artículos de plástico de un solo uso; aumentando la concienciación y conocimiento de la problemática; y desarrollo de planes nacionales de acción sobre la basura marina.</w:t>
      </w:r>
    </w:p>
    <w:p w14:paraId="39CF7B9A" w14:textId="103F88BE" w:rsidR="00125D82" w:rsidRPr="00D02132" w:rsidRDefault="00125D82" w:rsidP="00B46443">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En general, una gran cantidad de los países de la región están implementando y diseñando leyes nacionales</w:t>
      </w:r>
      <w:r w:rsidRPr="00D02132">
        <w:rPr>
          <w:rFonts w:ascii="Roboto" w:hAnsi="Roboto"/>
          <w:sz w:val="22"/>
          <w:vertAlign w:val="superscript"/>
          <w:lang w:val="es-PA"/>
        </w:rPr>
        <w:footnoteReference w:id="31"/>
      </w:r>
      <w:r w:rsidRPr="00D02132">
        <w:rPr>
          <w:rFonts w:ascii="Roboto" w:hAnsi="Roboto" w:cs="Tahoma"/>
          <w:bCs/>
          <w:sz w:val="20"/>
          <w:szCs w:val="22"/>
          <w:vertAlign w:val="superscript"/>
          <w:lang w:val="es-PA"/>
        </w:rPr>
        <w:t>,</w:t>
      </w:r>
      <w:r w:rsidRPr="00D02132">
        <w:rPr>
          <w:rFonts w:ascii="Roboto" w:hAnsi="Roboto" w:cs="Tahoma"/>
          <w:bCs/>
          <w:sz w:val="22"/>
          <w:szCs w:val="22"/>
          <w:lang w:val="es-PA"/>
        </w:rPr>
        <w:t xml:space="preserve"> </w:t>
      </w:r>
      <w:r w:rsidR="007D508D">
        <w:rPr>
          <w:rFonts w:ascii="Roboto" w:hAnsi="Roboto" w:cs="Tahoma"/>
          <w:bCs/>
          <w:sz w:val="22"/>
          <w:szCs w:val="22"/>
          <w:lang w:val="es-PA"/>
        </w:rPr>
        <w:t>y</w:t>
      </w:r>
      <w:r w:rsidR="002D02A8">
        <w:rPr>
          <w:rFonts w:ascii="Roboto" w:hAnsi="Roboto" w:cs="Tahoma"/>
          <w:bCs/>
          <w:sz w:val="22"/>
          <w:szCs w:val="22"/>
          <w:lang w:val="es-PA"/>
        </w:rPr>
        <w:t xml:space="preserve"> </w:t>
      </w:r>
      <w:r w:rsidRPr="00D02132">
        <w:rPr>
          <w:rFonts w:ascii="Roboto" w:hAnsi="Roboto" w:cs="Tahoma"/>
          <w:bCs/>
          <w:sz w:val="22"/>
          <w:szCs w:val="22"/>
          <w:lang w:val="es-PA"/>
        </w:rPr>
        <w:t>otros instrumentos</w:t>
      </w:r>
      <w:r w:rsidRPr="00D02132">
        <w:rPr>
          <w:rFonts w:ascii="Roboto" w:hAnsi="Roboto"/>
          <w:sz w:val="22"/>
          <w:vertAlign w:val="superscript"/>
          <w:lang w:val="es-PA"/>
        </w:rPr>
        <w:footnoteReference w:id="32"/>
      </w:r>
      <w:r w:rsidRPr="00D02132">
        <w:rPr>
          <w:rFonts w:ascii="Roboto" w:hAnsi="Roboto" w:cs="Tahoma"/>
          <w:bCs/>
          <w:sz w:val="22"/>
          <w:szCs w:val="22"/>
          <w:lang w:val="es-PA"/>
        </w:rPr>
        <w:t xml:space="preserve"> para abordar </w:t>
      </w:r>
      <w:r w:rsidR="00EC7A5B" w:rsidRPr="00D02132">
        <w:rPr>
          <w:rFonts w:ascii="Roboto" w:hAnsi="Roboto" w:cs="Tahoma"/>
          <w:bCs/>
          <w:sz w:val="22"/>
          <w:szCs w:val="22"/>
          <w:lang w:val="es-PA"/>
        </w:rPr>
        <w:t xml:space="preserve">específicamente </w:t>
      </w:r>
      <w:r w:rsidRPr="00D02132">
        <w:rPr>
          <w:rFonts w:ascii="Roboto" w:hAnsi="Roboto" w:cs="Tahoma"/>
          <w:bCs/>
          <w:sz w:val="22"/>
          <w:szCs w:val="22"/>
          <w:lang w:val="es-PA"/>
        </w:rPr>
        <w:t xml:space="preserve">el problema de la contaminación por bolsas de plástico y otros plásticos de un solo uso, tales como las botellas y envases. La creciente evidencia de desechos plásticos acumulados en las costas y playas de diferentes países de la región ha acelerado este proceso de concientización y elaboración de legislación correspondiente. Igualmente se ha incrementado el entendimiento de los impactos de estos contaminantes en los sectores productivos como las pesquerías y el turismo. </w:t>
      </w:r>
    </w:p>
    <w:p w14:paraId="67C58FE5" w14:textId="7BE5445C" w:rsidR="00125D82" w:rsidRPr="00D02132" w:rsidRDefault="00125D82" w:rsidP="00B46443">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La movilización de la sociedad civil en torno a la basura marina se evidencia en el incremento de limpiezas de playas e información disponible al público en general. Adicionalmente, existen varias campañas diferentes de </w:t>
      </w:r>
      <w:r w:rsidR="007A31FC">
        <w:rPr>
          <w:rFonts w:ascii="Roboto" w:hAnsi="Roboto" w:cs="Tahoma"/>
          <w:bCs/>
          <w:sz w:val="22"/>
          <w:szCs w:val="22"/>
          <w:lang w:val="es-PA"/>
        </w:rPr>
        <w:t xml:space="preserve">las </w:t>
      </w:r>
      <w:r w:rsidRPr="00D02132">
        <w:rPr>
          <w:rFonts w:ascii="Roboto" w:hAnsi="Roboto" w:cs="Tahoma"/>
          <w:bCs/>
          <w:sz w:val="22"/>
          <w:szCs w:val="22"/>
          <w:lang w:val="es-PA"/>
        </w:rPr>
        <w:t xml:space="preserve">ONGs en la región relacionadas con el uso de plásticos de un solo uso, como bolsas, pajuelas y botellas. En este sentido, la colaboración con la Fundación MarViva ha dado unos avances importantes en Centroamérica. </w:t>
      </w:r>
    </w:p>
    <w:p w14:paraId="212E32F0" w14:textId="77777777" w:rsidR="00125D82" w:rsidRPr="00D02132" w:rsidRDefault="00125D82" w:rsidP="00B46443">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La región esta aumentado su entendimiento de la “economía azul”, es decir cómo se puede mejorar las prácticas de sectores productivos en la utilización de los recursos marinos de una manera más sostenible y eficiente. Esto incluye mejorar las prácticas de pesca, manejo de nutrientes y pesticidas del sector agrícola, y la utilización de herramientas de planificación espacial marina para sectores como el turismo costero, además tomar </w:t>
      </w:r>
      <w:r w:rsidRPr="00D02132">
        <w:rPr>
          <w:rFonts w:ascii="Roboto" w:hAnsi="Roboto" w:cs="Tahoma"/>
          <w:bCs/>
          <w:sz w:val="22"/>
          <w:szCs w:val="22"/>
          <w:lang w:val="es-PA"/>
        </w:rPr>
        <w:lastRenderedPageBreak/>
        <w:t xml:space="preserve">medidas en torno al creciente transporte marítimo. En este sentido se han llevado a cabo talleres regionales en alianza con actores locales y regionales tales como el taller regional sobre la economía azul, enfocados en la Fosa y Cordillera Caimán del Mar Caribe, una de las áreas de importancia biológica marina de la región. </w:t>
      </w:r>
    </w:p>
    <w:p w14:paraId="0464E680" w14:textId="17C616F4" w:rsidR="00125D82" w:rsidRPr="00D02132" w:rsidRDefault="00125D82" w:rsidP="00B46443">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La región continúa firmemente </w:t>
      </w:r>
      <w:r w:rsidR="00335AB0" w:rsidRPr="00D02132">
        <w:rPr>
          <w:rFonts w:ascii="Roboto" w:hAnsi="Roboto" w:cs="Tahoma"/>
          <w:bCs/>
          <w:sz w:val="22"/>
          <w:szCs w:val="22"/>
          <w:lang w:val="es-PA"/>
        </w:rPr>
        <w:t xml:space="preserve">comprometida </w:t>
      </w:r>
      <w:r w:rsidRPr="00D02132">
        <w:rPr>
          <w:rFonts w:ascii="Roboto" w:hAnsi="Roboto" w:cs="Tahoma"/>
          <w:bCs/>
          <w:sz w:val="22"/>
          <w:szCs w:val="22"/>
          <w:lang w:val="es-PA"/>
        </w:rPr>
        <w:t xml:space="preserve">en alcanzar la </w:t>
      </w:r>
      <w:r w:rsidR="002E1A53" w:rsidRPr="00D02132">
        <w:rPr>
          <w:rFonts w:ascii="Roboto" w:hAnsi="Roboto" w:cs="Tahoma"/>
          <w:bCs/>
          <w:sz w:val="22"/>
          <w:szCs w:val="22"/>
          <w:lang w:val="es-PA"/>
        </w:rPr>
        <w:t>M</w:t>
      </w:r>
      <w:r w:rsidRPr="00D02132">
        <w:rPr>
          <w:rFonts w:ascii="Roboto" w:hAnsi="Roboto" w:cs="Tahoma"/>
          <w:bCs/>
          <w:sz w:val="22"/>
          <w:szCs w:val="22"/>
          <w:lang w:val="es-PA"/>
        </w:rPr>
        <w:t xml:space="preserve">eta 11 de las Metas de Aichi que pide a los países la conservación de al menos 10% de sus aguas territoriales que sean destinadas a áreas marinas protegidas. Como región de América Latina y el Caribe se estima un incremento de 3% en el 2015 a aproximadamente 7% en el año 2017. En este sentido ONU Medio Ambiente ha apoyado talleres regionales y nacionales, incluyendo cooperación sur-sur, relacionados a la gobernanza de áreas marinas protegidas y la utilización de herramientas de tomas de decisión, como lo es la planificación espacial marina. </w:t>
      </w:r>
    </w:p>
    <w:p w14:paraId="2DEB70A7" w14:textId="720D23F2" w:rsidR="00125D82" w:rsidRPr="00D02132" w:rsidRDefault="002F2750" w:rsidP="002F2750">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P</w:t>
      </w:r>
      <w:r w:rsidR="00125D82" w:rsidRPr="00D02132">
        <w:rPr>
          <w:rFonts w:ascii="Roboto" w:hAnsi="Roboto" w:cs="Tahoma"/>
          <w:bCs/>
          <w:sz w:val="22"/>
          <w:szCs w:val="22"/>
          <w:lang w:val="es-PA"/>
        </w:rPr>
        <w:t xml:space="preserve">ara la región </w:t>
      </w:r>
      <w:r w:rsidRPr="00D02132">
        <w:rPr>
          <w:rFonts w:ascii="Roboto" w:hAnsi="Roboto" w:cs="Tahoma"/>
          <w:bCs/>
          <w:sz w:val="22"/>
          <w:szCs w:val="22"/>
          <w:lang w:val="es-PA"/>
        </w:rPr>
        <w:t xml:space="preserve">es importante </w:t>
      </w:r>
      <w:r w:rsidR="00125D82" w:rsidRPr="00D02132">
        <w:rPr>
          <w:rFonts w:ascii="Roboto" w:hAnsi="Roboto" w:cs="Tahoma"/>
          <w:bCs/>
          <w:sz w:val="22"/>
          <w:szCs w:val="22"/>
          <w:lang w:val="es-PA"/>
        </w:rPr>
        <w:t xml:space="preserve">el entendimiento de los bosques azules – manglares, praderas submarinas y marismas – que son piezas claves en la captura y almacenamiento de carbono. Un taller mundial se </w:t>
      </w:r>
      <w:r w:rsidR="00501C9E" w:rsidRPr="00D02132">
        <w:rPr>
          <w:rFonts w:ascii="Roboto" w:hAnsi="Roboto" w:cs="Tahoma"/>
          <w:bCs/>
          <w:sz w:val="22"/>
          <w:szCs w:val="22"/>
          <w:lang w:val="es-PA"/>
        </w:rPr>
        <w:t>llevó</w:t>
      </w:r>
      <w:r w:rsidR="00125D82" w:rsidRPr="00D02132">
        <w:rPr>
          <w:rFonts w:ascii="Roboto" w:hAnsi="Roboto" w:cs="Tahoma"/>
          <w:bCs/>
          <w:sz w:val="22"/>
          <w:szCs w:val="22"/>
          <w:lang w:val="es-PA"/>
        </w:rPr>
        <w:t xml:space="preserve"> a cabo dentro del contexto del proyecto </w:t>
      </w:r>
      <w:r w:rsidR="00F7348A" w:rsidRPr="00D02132">
        <w:rPr>
          <w:rFonts w:ascii="Roboto" w:hAnsi="Roboto" w:cs="Tahoma"/>
          <w:bCs/>
          <w:sz w:val="22"/>
          <w:szCs w:val="22"/>
          <w:lang w:val="es-PA"/>
        </w:rPr>
        <w:t xml:space="preserve">de bosques azules del </w:t>
      </w:r>
      <w:r w:rsidR="00125D82" w:rsidRPr="00D02132">
        <w:rPr>
          <w:rFonts w:ascii="Roboto" w:hAnsi="Roboto" w:cs="Tahoma"/>
          <w:bCs/>
          <w:sz w:val="22"/>
          <w:szCs w:val="22"/>
          <w:lang w:val="es-PA"/>
        </w:rPr>
        <w:t xml:space="preserve">GEF por sus siglas en inglés) que reunió a expertos sobre esta temático. Un consenso de los expertos es que la región tiene un potencial muy amplio para el entendimiento e inclusión de los beneficios de estos bosques azules en la toma de decisiones de políticas públicas. </w:t>
      </w:r>
    </w:p>
    <w:p w14:paraId="3C4D7A54" w14:textId="77777777" w:rsidR="00125D82" w:rsidRPr="00D02132" w:rsidRDefault="00125D82" w:rsidP="00125D82">
      <w:pPr>
        <w:spacing w:line="276" w:lineRule="auto"/>
        <w:jc w:val="both"/>
        <w:rPr>
          <w:rFonts w:ascii="Roboto" w:eastAsia="Times New Roman" w:hAnsi="Roboto" w:cs="Tahoma"/>
          <w:bCs/>
          <w:sz w:val="22"/>
          <w:szCs w:val="22"/>
        </w:rPr>
      </w:pPr>
    </w:p>
    <w:p w14:paraId="035AC32F" w14:textId="77777777" w:rsidR="00125D82" w:rsidRPr="00B103B7" w:rsidRDefault="00125D82" w:rsidP="00E10BB1">
      <w:pPr>
        <w:spacing w:line="276" w:lineRule="auto"/>
        <w:jc w:val="both"/>
        <w:outlineLvl w:val="0"/>
        <w:rPr>
          <w:rFonts w:ascii="Roboto" w:eastAsia="Times New Roman" w:hAnsi="Roboto" w:cs="Tahoma"/>
          <w:bCs/>
          <w:color w:val="548DD4" w:themeColor="text2" w:themeTint="99"/>
          <w:sz w:val="22"/>
          <w:szCs w:val="22"/>
        </w:rPr>
      </w:pPr>
      <w:r w:rsidRPr="00B103B7">
        <w:rPr>
          <w:rFonts w:ascii="Roboto" w:hAnsi="Roboto"/>
          <w:b/>
          <w:color w:val="548DD4" w:themeColor="text2" w:themeTint="99"/>
          <w:sz w:val="22"/>
          <w:szCs w:val="22"/>
        </w:rPr>
        <w:t>Actividades a futuro</w:t>
      </w:r>
    </w:p>
    <w:p w14:paraId="4BFE8D4F" w14:textId="77777777" w:rsidR="00125D82" w:rsidRPr="00D02132" w:rsidRDefault="00125D82" w:rsidP="00125D82">
      <w:pPr>
        <w:spacing w:line="276" w:lineRule="auto"/>
        <w:jc w:val="both"/>
        <w:rPr>
          <w:rFonts w:ascii="Roboto" w:eastAsia="Times New Roman" w:hAnsi="Roboto" w:cs="Tahoma"/>
          <w:bCs/>
          <w:sz w:val="22"/>
          <w:szCs w:val="22"/>
        </w:rPr>
      </w:pPr>
      <w:r w:rsidRPr="00D02132">
        <w:rPr>
          <w:rFonts w:ascii="Roboto" w:eastAsia="Times New Roman" w:hAnsi="Roboto" w:cs="Tahoma"/>
          <w:bCs/>
          <w:sz w:val="22"/>
          <w:szCs w:val="22"/>
        </w:rPr>
        <w:tab/>
      </w:r>
    </w:p>
    <w:p w14:paraId="7F7FE21E" w14:textId="38993227" w:rsidR="00125D82" w:rsidRPr="00D02132" w:rsidRDefault="00125D82" w:rsidP="00B46443">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La región tiene la oportunidad de participar en la Cuarta Reunión Intergubernamental de Examen de la Aplicación del Programa de Acción Mundial para la Protección del Medio Marino frente a las Actividades Realizadas en Tierra (GPA-LBA, por sus siglas en inglés), que se llevara a cabo en Bali</w:t>
      </w:r>
      <w:r w:rsidR="00AA0405" w:rsidRPr="00D02132">
        <w:rPr>
          <w:rFonts w:ascii="Roboto" w:hAnsi="Roboto" w:cs="Tahoma"/>
          <w:bCs/>
          <w:sz w:val="22"/>
          <w:szCs w:val="22"/>
          <w:lang w:val="es-PA"/>
        </w:rPr>
        <w:t xml:space="preserve">, </w:t>
      </w:r>
      <w:r w:rsidR="007A31FC" w:rsidRPr="00D02132">
        <w:rPr>
          <w:rFonts w:ascii="Roboto" w:hAnsi="Roboto" w:cs="Tahoma"/>
          <w:bCs/>
          <w:sz w:val="22"/>
          <w:szCs w:val="22"/>
          <w:lang w:val="es-PA"/>
        </w:rPr>
        <w:t>Indonesia</w:t>
      </w:r>
      <w:r w:rsidR="00AA0405" w:rsidRPr="00D02132">
        <w:rPr>
          <w:rFonts w:ascii="Roboto" w:hAnsi="Roboto" w:cs="Tahoma"/>
          <w:bCs/>
          <w:sz w:val="22"/>
          <w:szCs w:val="22"/>
          <w:lang w:val="es-PA"/>
        </w:rPr>
        <w:t>,</w:t>
      </w:r>
      <w:r w:rsidRPr="00D02132">
        <w:rPr>
          <w:rFonts w:ascii="Roboto" w:hAnsi="Roboto" w:cs="Tahoma"/>
          <w:bCs/>
          <w:sz w:val="22"/>
          <w:szCs w:val="22"/>
          <w:lang w:val="es-PA"/>
        </w:rPr>
        <w:t xml:space="preserve"> 31 octubre – 1 noviembre de 2018. </w:t>
      </w:r>
    </w:p>
    <w:p w14:paraId="6812919B" w14:textId="77777777" w:rsidR="00125D82" w:rsidRPr="00D02132" w:rsidRDefault="00125D82" w:rsidP="00B46443">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Este evento analizará los avances en torno a las alianzas globales de basura marina, manejo de nutrientes y manejo de aguas residuales. En este sentido, es una oportunidad para los países de la región de renovar sus compromisos de ayudar con la protección de nuestros océanos de la contaminación de fuentes terrestres. </w:t>
      </w:r>
    </w:p>
    <w:p w14:paraId="2B68D920" w14:textId="77777777" w:rsidR="00125D82" w:rsidRPr="00D02132" w:rsidRDefault="00125D82" w:rsidP="00B46443">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Igualmente, esta conferencia se organizará consecutivamente con la 5ª Conferencia de “Nuestros Océanos”, que se celebrará en Bali, Indonesia, del 29 al 30 de octubre de 2018, que es otra oportunidad para los países de la región para participar en las discusiones globales sobre océanos.</w:t>
      </w:r>
    </w:p>
    <w:p w14:paraId="705E7717" w14:textId="3377C35C" w:rsidR="00125D82" w:rsidRPr="00D02132" w:rsidRDefault="007A31FC" w:rsidP="00B46443">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Con relación al</w:t>
      </w:r>
      <w:r w:rsidR="00125D82" w:rsidRPr="00D02132">
        <w:rPr>
          <w:rFonts w:ascii="Roboto" w:hAnsi="Roboto" w:cs="Tahoma"/>
          <w:bCs/>
          <w:sz w:val="22"/>
          <w:szCs w:val="22"/>
          <w:lang w:val="es-PA"/>
        </w:rPr>
        <w:t xml:space="preserve"> trabajo del Programa Mundial de Acción, la región tiene un interés específico en aumentar el conocimiento respecto al manejo sostenible de aguas residuales y nutrientes, como forma de reducir la contaminación a los océanos por actividades realizadas en tierra y aumentar la promoción de los principios circulares.</w:t>
      </w:r>
    </w:p>
    <w:p w14:paraId="730B9EB8" w14:textId="77777777" w:rsidR="00125D82" w:rsidRPr="00D02132" w:rsidRDefault="00125D82" w:rsidP="00B46443">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En alianza con organizaciones relevantes se espera un avance a nivel nacional en el entendimiento de los bosques azules – manglares, praderas submarinas y marismas – que son piezas claves en la captura y almacenamiento de carbono. </w:t>
      </w:r>
    </w:p>
    <w:p w14:paraId="1FD4F24E" w14:textId="300108E0" w:rsidR="00125D82" w:rsidRPr="00D02132" w:rsidRDefault="00125D82" w:rsidP="00B46443">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lastRenderedPageBreak/>
        <w:t>De particular importancia para la región es el incremento en el entendimiento sobre el manejo integrado de ecosistemas marinos y la utilización de la herramienta ordenación/planificación espacial marina. En este sentido se espera llevar a cabo talleres regionales en alianza con las convenciones de los mares regionales, en torno a la articulación de estrategias nacionales y regionales para la economía azul. Existen propuestas nacionales y regionales orientadas al</w:t>
      </w:r>
      <w:r w:rsidR="00EB573B" w:rsidRPr="00D02132">
        <w:rPr>
          <w:rFonts w:ascii="Roboto" w:hAnsi="Roboto" w:cs="Tahoma"/>
          <w:bCs/>
          <w:sz w:val="22"/>
          <w:szCs w:val="22"/>
          <w:lang w:val="es-PA"/>
        </w:rPr>
        <w:t xml:space="preserve"> GEF</w:t>
      </w:r>
      <w:r w:rsidRPr="00D02132">
        <w:rPr>
          <w:rFonts w:ascii="Roboto" w:hAnsi="Roboto" w:cs="Tahoma"/>
          <w:bCs/>
          <w:sz w:val="22"/>
          <w:szCs w:val="22"/>
          <w:lang w:val="es-PA"/>
        </w:rPr>
        <w:t xml:space="preserve">.   </w:t>
      </w:r>
    </w:p>
    <w:p w14:paraId="47605EBF" w14:textId="3D27FEFA" w:rsidR="00125D82" w:rsidRPr="00D02132" w:rsidRDefault="00125D82" w:rsidP="00B46443">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La región tiene una oportunidad de integrar los océanos en su agenda de desarrollo, a través de la inclusión del Objetivo de Desarrollo Sostenible 14, cuyo propósito es conservar y utilizar de forma sostenible los océanos, los mares y los recursos marinos para el desarrollo sostenible. En este sentido se plantea la realización de un estudio sobre cómo la región puede hacer frente a estos compromisos que implican una coordinación intersectorial a nivel nacional. </w:t>
      </w:r>
    </w:p>
    <w:p w14:paraId="571F9901" w14:textId="6E6B3711" w:rsidR="00125D82" w:rsidRPr="00D02132" w:rsidRDefault="00125D82" w:rsidP="00B46443">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 xml:space="preserve">La región continuara acelerando el conocimiento y las actividades de la economía azul relacionado a la utilización de los recursos marinos en la manera sostenible, incluso contribuyendo a un evento paralelo planificado en la </w:t>
      </w:r>
      <w:r w:rsidR="00EB573B" w:rsidRPr="00D02132">
        <w:rPr>
          <w:rFonts w:ascii="Roboto" w:hAnsi="Roboto" w:cs="Tahoma"/>
          <w:bCs/>
          <w:sz w:val="22"/>
          <w:szCs w:val="22"/>
          <w:lang w:val="es-PA"/>
        </w:rPr>
        <w:t>D</w:t>
      </w:r>
      <w:r w:rsidRPr="00D02132">
        <w:rPr>
          <w:rFonts w:ascii="Roboto" w:hAnsi="Roboto" w:cs="Tahoma"/>
          <w:bCs/>
          <w:sz w:val="22"/>
          <w:szCs w:val="22"/>
          <w:lang w:val="es-PA"/>
        </w:rPr>
        <w:t xml:space="preserve">écimo </w:t>
      </w:r>
      <w:r w:rsidR="00EB573B" w:rsidRPr="00D02132">
        <w:rPr>
          <w:rFonts w:ascii="Roboto" w:hAnsi="Roboto" w:cs="Tahoma"/>
          <w:bCs/>
          <w:sz w:val="22"/>
          <w:szCs w:val="22"/>
          <w:lang w:val="es-PA"/>
        </w:rPr>
        <w:t>C</w:t>
      </w:r>
      <w:r w:rsidRPr="00D02132">
        <w:rPr>
          <w:rFonts w:ascii="Roboto" w:hAnsi="Roboto" w:cs="Tahoma"/>
          <w:bCs/>
          <w:sz w:val="22"/>
          <w:szCs w:val="22"/>
          <w:lang w:val="es-PA"/>
        </w:rPr>
        <w:t xml:space="preserve">uarta </w:t>
      </w:r>
      <w:r w:rsidR="00EB573B" w:rsidRPr="00D02132">
        <w:rPr>
          <w:rFonts w:ascii="Roboto" w:hAnsi="Roboto" w:cs="Tahoma"/>
          <w:bCs/>
          <w:sz w:val="22"/>
          <w:szCs w:val="22"/>
          <w:lang w:val="es-PA"/>
        </w:rPr>
        <w:t>C</w:t>
      </w:r>
      <w:r w:rsidRPr="00D02132">
        <w:rPr>
          <w:rFonts w:ascii="Roboto" w:hAnsi="Roboto" w:cs="Tahoma"/>
          <w:bCs/>
          <w:sz w:val="22"/>
          <w:szCs w:val="22"/>
          <w:lang w:val="es-PA"/>
        </w:rPr>
        <w:t xml:space="preserve">onferencia de las </w:t>
      </w:r>
      <w:r w:rsidR="00EB573B" w:rsidRPr="00D02132">
        <w:rPr>
          <w:rFonts w:ascii="Roboto" w:hAnsi="Roboto" w:cs="Tahoma"/>
          <w:bCs/>
          <w:sz w:val="22"/>
          <w:szCs w:val="22"/>
          <w:lang w:val="es-PA"/>
        </w:rPr>
        <w:t>P</w:t>
      </w:r>
      <w:r w:rsidRPr="00D02132">
        <w:rPr>
          <w:rFonts w:ascii="Roboto" w:hAnsi="Roboto" w:cs="Tahoma"/>
          <w:bCs/>
          <w:sz w:val="22"/>
          <w:szCs w:val="22"/>
          <w:lang w:val="es-PA"/>
        </w:rPr>
        <w:t xml:space="preserve">artes del </w:t>
      </w:r>
      <w:r w:rsidR="00EB573B" w:rsidRPr="00D02132">
        <w:rPr>
          <w:rFonts w:ascii="Roboto" w:hAnsi="Roboto" w:cs="Tahoma"/>
          <w:bCs/>
          <w:sz w:val="22"/>
          <w:szCs w:val="22"/>
          <w:lang w:val="es-PA"/>
        </w:rPr>
        <w:t>C</w:t>
      </w:r>
      <w:r w:rsidRPr="00D02132">
        <w:rPr>
          <w:rFonts w:ascii="Roboto" w:hAnsi="Roboto" w:cs="Tahoma"/>
          <w:bCs/>
          <w:sz w:val="22"/>
          <w:szCs w:val="22"/>
          <w:lang w:val="es-PA"/>
        </w:rPr>
        <w:t xml:space="preserve">onvenio sobre </w:t>
      </w:r>
      <w:r w:rsidR="00EB573B" w:rsidRPr="00D02132">
        <w:rPr>
          <w:rFonts w:ascii="Roboto" w:hAnsi="Roboto" w:cs="Tahoma"/>
          <w:bCs/>
          <w:sz w:val="22"/>
          <w:szCs w:val="22"/>
          <w:lang w:val="es-PA"/>
        </w:rPr>
        <w:t>D</w:t>
      </w:r>
      <w:r w:rsidRPr="00D02132">
        <w:rPr>
          <w:rFonts w:ascii="Roboto" w:hAnsi="Roboto" w:cs="Tahoma"/>
          <w:bCs/>
          <w:sz w:val="22"/>
          <w:szCs w:val="22"/>
          <w:lang w:val="es-PA"/>
        </w:rPr>
        <w:t xml:space="preserve">iversidad </w:t>
      </w:r>
      <w:r w:rsidR="00EB573B" w:rsidRPr="00D02132">
        <w:rPr>
          <w:rFonts w:ascii="Roboto" w:hAnsi="Roboto" w:cs="Tahoma"/>
          <w:bCs/>
          <w:sz w:val="22"/>
          <w:szCs w:val="22"/>
          <w:lang w:val="es-PA"/>
        </w:rPr>
        <w:t>B</w:t>
      </w:r>
      <w:r w:rsidRPr="00D02132">
        <w:rPr>
          <w:rFonts w:ascii="Roboto" w:hAnsi="Roboto" w:cs="Tahoma"/>
          <w:bCs/>
          <w:sz w:val="22"/>
          <w:szCs w:val="22"/>
          <w:lang w:val="es-PA"/>
        </w:rPr>
        <w:t>ilógica que se llevara a cabo en Egipto, 17-29 noviembre 2018.</w:t>
      </w:r>
    </w:p>
    <w:p w14:paraId="723DB079" w14:textId="7D28FBDD" w:rsidR="00125D82" w:rsidRPr="00D02132" w:rsidRDefault="00125D82" w:rsidP="00B46443">
      <w:pPr>
        <w:pStyle w:val="ListParagraph"/>
        <w:numPr>
          <w:ilvl w:val="0"/>
          <w:numId w:val="4"/>
        </w:numPr>
        <w:spacing w:after="120" w:line="276" w:lineRule="auto"/>
        <w:ind w:left="0" w:firstLine="0"/>
        <w:jc w:val="both"/>
        <w:rPr>
          <w:rFonts w:ascii="Roboto" w:hAnsi="Roboto" w:cs="Tahoma"/>
          <w:bCs/>
          <w:sz w:val="22"/>
          <w:szCs w:val="22"/>
          <w:lang w:val="es-PA"/>
        </w:rPr>
      </w:pPr>
      <w:r w:rsidRPr="00D02132">
        <w:rPr>
          <w:rFonts w:ascii="Roboto" w:hAnsi="Roboto" w:cs="Tahoma"/>
          <w:bCs/>
          <w:sz w:val="22"/>
          <w:szCs w:val="22"/>
          <w:lang w:val="es-PA"/>
        </w:rPr>
        <w:t>Se espera que continúen mayores avances legislativos en torno al tema de la basura marina con leyes especialmente dirigidas a fomentar una disminución en la utilización de plásticos no reciclables. Igualmente se espera campañas de concientización pública en varios países de la región.</w:t>
      </w:r>
    </w:p>
    <w:p w14:paraId="7694F07C" w14:textId="77777777" w:rsidR="00A518CE" w:rsidRPr="00D02132" w:rsidRDefault="00A518CE" w:rsidP="00816572">
      <w:pPr>
        <w:spacing w:line="276" w:lineRule="auto"/>
        <w:jc w:val="center"/>
        <w:rPr>
          <w:rFonts w:ascii="Roboto" w:hAnsi="Roboto"/>
          <w:b/>
          <w:sz w:val="22"/>
          <w:szCs w:val="22"/>
        </w:rPr>
      </w:pPr>
    </w:p>
    <w:p w14:paraId="45DF3939" w14:textId="77777777" w:rsidR="00A518CE" w:rsidRPr="00D02132" w:rsidRDefault="00A518CE" w:rsidP="00816572">
      <w:pPr>
        <w:spacing w:line="276" w:lineRule="auto"/>
        <w:jc w:val="center"/>
        <w:rPr>
          <w:rFonts w:ascii="Roboto" w:hAnsi="Roboto"/>
          <w:b/>
          <w:sz w:val="22"/>
          <w:szCs w:val="22"/>
        </w:rPr>
      </w:pPr>
    </w:p>
    <w:p w14:paraId="4C5D60F5" w14:textId="77777777" w:rsidR="00A518CE" w:rsidRPr="00D02132" w:rsidRDefault="00A518CE" w:rsidP="00816572">
      <w:pPr>
        <w:spacing w:line="276" w:lineRule="auto"/>
        <w:jc w:val="center"/>
        <w:rPr>
          <w:rFonts w:ascii="Roboto" w:hAnsi="Roboto"/>
          <w:b/>
          <w:sz w:val="22"/>
          <w:szCs w:val="22"/>
        </w:rPr>
      </w:pPr>
    </w:p>
    <w:p w14:paraId="7C696E5A" w14:textId="1FA30757" w:rsidR="00F21940" w:rsidRPr="00D02132" w:rsidRDefault="00F21940" w:rsidP="00816572">
      <w:pPr>
        <w:spacing w:line="276" w:lineRule="auto"/>
        <w:jc w:val="center"/>
        <w:rPr>
          <w:rFonts w:ascii="Roboto" w:hAnsi="Roboto"/>
          <w:b/>
          <w:sz w:val="22"/>
          <w:szCs w:val="22"/>
        </w:rPr>
      </w:pPr>
      <w:r w:rsidRPr="00D02132">
        <w:rPr>
          <w:rFonts w:ascii="Roboto" w:hAnsi="Roboto"/>
          <w:b/>
          <w:sz w:val="22"/>
          <w:szCs w:val="22"/>
        </w:rPr>
        <w:t></w:t>
      </w:r>
      <w:r w:rsidRPr="00D02132">
        <w:rPr>
          <w:rFonts w:ascii="Roboto" w:hAnsi="Roboto"/>
          <w:b/>
          <w:sz w:val="22"/>
          <w:szCs w:val="22"/>
        </w:rPr>
        <w:t></w:t>
      </w:r>
      <w:r w:rsidRPr="00D02132">
        <w:rPr>
          <w:rFonts w:ascii="Roboto" w:hAnsi="Roboto"/>
          <w:b/>
          <w:sz w:val="22"/>
          <w:szCs w:val="22"/>
        </w:rPr>
        <w:t></w:t>
      </w:r>
      <w:r w:rsidRPr="00D02132">
        <w:rPr>
          <w:rFonts w:ascii="Roboto" w:hAnsi="Roboto"/>
          <w:b/>
          <w:sz w:val="22"/>
          <w:szCs w:val="22"/>
        </w:rPr>
        <w:t></w:t>
      </w:r>
      <w:r w:rsidRPr="00D02132">
        <w:rPr>
          <w:rFonts w:ascii="Roboto" w:hAnsi="Roboto"/>
          <w:b/>
          <w:sz w:val="22"/>
          <w:szCs w:val="22"/>
        </w:rPr>
        <w:t></w:t>
      </w:r>
    </w:p>
    <w:p w14:paraId="73BB74B1" w14:textId="77777777" w:rsidR="00F21940" w:rsidRPr="00D02132" w:rsidRDefault="00F21940" w:rsidP="00816572">
      <w:pPr>
        <w:spacing w:line="276" w:lineRule="auto"/>
        <w:jc w:val="center"/>
        <w:rPr>
          <w:rFonts w:ascii="Roboto" w:hAnsi="Roboto"/>
          <w:b/>
          <w:sz w:val="22"/>
          <w:szCs w:val="22"/>
        </w:rPr>
      </w:pPr>
    </w:p>
    <w:sectPr w:rsidR="00F21940" w:rsidRPr="00D02132" w:rsidSect="000D2DBA">
      <w:headerReference w:type="default" r:id="rId10"/>
      <w:footerReference w:type="default" r:id="rId11"/>
      <w:headerReference w:type="first" r:id="rId12"/>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74D123" w14:textId="77777777" w:rsidR="006D162F" w:rsidRDefault="006D162F" w:rsidP="000E72AD">
      <w:r>
        <w:separator/>
      </w:r>
    </w:p>
  </w:endnote>
  <w:endnote w:type="continuationSeparator" w:id="0">
    <w:p w14:paraId="577FD9C2" w14:textId="77777777" w:rsidR="006D162F" w:rsidRDefault="006D162F" w:rsidP="000E7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Robotto">
    <w:altName w:val="Times New Roman"/>
    <w:panose1 w:val="00000000000000000000"/>
    <w:charset w:val="00"/>
    <w:family w:val="roman"/>
    <w:notTrueType/>
    <w:pitch w:val="default"/>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Batang">
    <w:panose1 w:val="02030600000101010101"/>
    <w:charset w:val="81"/>
    <w:family w:val="auto"/>
    <w:pitch w:val="variable"/>
    <w:sig w:usb0="B00002AF" w:usb1="69D77CFB" w:usb2="00000030" w:usb3="00000000" w:csb0="000800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Roboto">
    <w:altName w:val="Arial"/>
    <w:charset w:val="00"/>
    <w:family w:val="auto"/>
    <w:pitch w:val="variable"/>
    <w:sig w:usb0="E0000AFF" w:usb1="5000217F" w:usb2="00000021" w:usb3="00000000" w:csb0="0000019F" w:csb1="00000000"/>
  </w:font>
  <w:font w:name="MyriadMM.215.600">
    <w:panose1 w:val="00000000000000000000"/>
    <w:charset w:val="00"/>
    <w:family w:val="roman"/>
    <w:notTrueType/>
    <w:pitch w:val="default"/>
    <w:sig w:usb0="00000003" w:usb1="00000000" w:usb2="00000000" w:usb3="00000000" w:csb0="00000001" w:csb1="00000000"/>
  </w:font>
  <w:font w:name="Roboto 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1676313"/>
      <w:docPartObj>
        <w:docPartGallery w:val="Page Numbers (Bottom of Page)"/>
        <w:docPartUnique/>
      </w:docPartObj>
    </w:sdtPr>
    <w:sdtEndPr>
      <w:rPr>
        <w:rFonts w:asciiTheme="minorHAnsi" w:hAnsiTheme="minorHAnsi"/>
        <w:noProof/>
        <w:sz w:val="22"/>
      </w:rPr>
    </w:sdtEndPr>
    <w:sdtContent>
      <w:p w14:paraId="2B645896" w14:textId="77777777" w:rsidR="00083989" w:rsidRPr="00BA50ED" w:rsidRDefault="00083989">
        <w:pPr>
          <w:pStyle w:val="Footer"/>
          <w:jc w:val="right"/>
          <w:rPr>
            <w:rFonts w:asciiTheme="minorHAnsi" w:hAnsiTheme="minorHAnsi"/>
            <w:sz w:val="22"/>
          </w:rPr>
        </w:pPr>
        <w:r w:rsidRPr="00BA50ED">
          <w:rPr>
            <w:rFonts w:asciiTheme="minorHAnsi" w:hAnsiTheme="minorHAnsi"/>
            <w:sz w:val="22"/>
          </w:rPr>
          <w:fldChar w:fldCharType="begin"/>
        </w:r>
        <w:r w:rsidRPr="00BA50ED">
          <w:rPr>
            <w:rFonts w:asciiTheme="minorHAnsi" w:hAnsiTheme="minorHAnsi"/>
            <w:sz w:val="22"/>
          </w:rPr>
          <w:instrText xml:space="preserve"> PAGE   \* MERGEFORMAT </w:instrText>
        </w:r>
        <w:r w:rsidRPr="00BA50ED">
          <w:rPr>
            <w:rFonts w:asciiTheme="minorHAnsi" w:hAnsiTheme="minorHAnsi"/>
            <w:sz w:val="22"/>
          </w:rPr>
          <w:fldChar w:fldCharType="separate"/>
        </w:r>
        <w:r w:rsidR="00E10BB1">
          <w:rPr>
            <w:rFonts w:asciiTheme="minorHAnsi" w:hAnsiTheme="minorHAnsi"/>
            <w:noProof/>
            <w:sz w:val="22"/>
          </w:rPr>
          <w:t>37</w:t>
        </w:r>
        <w:r w:rsidRPr="00BA50ED">
          <w:rPr>
            <w:rFonts w:asciiTheme="minorHAnsi" w:hAnsiTheme="minorHAnsi"/>
            <w:noProof/>
            <w:sz w:val="22"/>
          </w:rPr>
          <w:fldChar w:fldCharType="end"/>
        </w:r>
      </w:p>
    </w:sdtContent>
  </w:sdt>
  <w:p w14:paraId="43A74823" w14:textId="77777777" w:rsidR="00083989" w:rsidRDefault="0008398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EA083E" w14:textId="77777777" w:rsidR="006D162F" w:rsidRDefault="006D162F" w:rsidP="000E72AD">
      <w:r>
        <w:separator/>
      </w:r>
    </w:p>
  </w:footnote>
  <w:footnote w:type="continuationSeparator" w:id="0">
    <w:p w14:paraId="7096E673" w14:textId="77777777" w:rsidR="006D162F" w:rsidRDefault="006D162F" w:rsidP="000E72AD">
      <w:r>
        <w:continuationSeparator/>
      </w:r>
    </w:p>
  </w:footnote>
  <w:footnote w:id="1">
    <w:p w14:paraId="065D032F" w14:textId="77777777" w:rsidR="00083989" w:rsidRPr="00D02132" w:rsidRDefault="00083989" w:rsidP="00655C92">
      <w:pPr>
        <w:rPr>
          <w:rFonts w:ascii="Roboto" w:hAnsi="Roboto"/>
          <w:sz w:val="16"/>
          <w:szCs w:val="16"/>
        </w:rPr>
      </w:pPr>
      <w:r>
        <w:rPr>
          <w:rStyle w:val="FootnoteReference"/>
        </w:rPr>
        <w:footnoteRef/>
      </w:r>
      <w:r>
        <w:t xml:space="preserve"> </w:t>
      </w:r>
      <w:bookmarkStart w:id="1" w:name="_Hlk523129197"/>
      <w:r w:rsidRPr="00D02132">
        <w:rPr>
          <w:rFonts w:ascii="Roboto" w:hAnsi="Roboto"/>
          <w:sz w:val="16"/>
          <w:szCs w:val="16"/>
        </w:rPr>
        <w:t>Ver: Plan de Trabajo 2016-2018 de la Red de Formación Ambiental: http://www.pnuma.org/educamb/documentos/Final_plan_de_trabajo_de_la_RFA-ALC_2014-2016.pdf</w:t>
      </w:r>
      <w:bookmarkEnd w:id="1"/>
    </w:p>
    <w:p w14:paraId="394FCDC2" w14:textId="77777777" w:rsidR="00083989" w:rsidRPr="00D05BD8" w:rsidRDefault="00083989" w:rsidP="00655C92">
      <w:pPr>
        <w:pStyle w:val="FootnoteText"/>
      </w:pPr>
    </w:p>
  </w:footnote>
  <w:footnote w:id="2">
    <w:p w14:paraId="6C2451EA" w14:textId="472D57DD" w:rsidR="00083989" w:rsidRPr="00472A7D" w:rsidRDefault="00083989" w:rsidP="00472A7D">
      <w:pPr>
        <w:rPr>
          <w:rFonts w:ascii="Roboto" w:hAnsi="Roboto"/>
          <w:sz w:val="16"/>
          <w:szCs w:val="22"/>
        </w:rPr>
      </w:pPr>
      <w:r>
        <w:rPr>
          <w:rStyle w:val="FootnoteReference"/>
        </w:rPr>
        <w:footnoteRef/>
      </w:r>
      <w:r>
        <w:t xml:space="preserve"> </w:t>
      </w:r>
      <w:hyperlink r:id="rId1" w:history="1">
        <w:r w:rsidRPr="00472A7D">
          <w:rPr>
            <w:rStyle w:val="Hyperlink"/>
            <w:rFonts w:ascii="Roboto" w:hAnsi="Roboto"/>
            <w:sz w:val="16"/>
            <w:szCs w:val="22"/>
          </w:rPr>
          <w:t>https://formacionambientalpnuma.files.wordpress.com/2017/11/reporte_experiencias_2017.pdf</w:t>
        </w:r>
      </w:hyperlink>
    </w:p>
  </w:footnote>
  <w:footnote w:id="3">
    <w:p w14:paraId="57F7B501" w14:textId="77777777" w:rsidR="00083989" w:rsidRPr="00431368" w:rsidRDefault="00083989" w:rsidP="00480A60">
      <w:pPr>
        <w:pStyle w:val="FootnoteText"/>
        <w:rPr>
          <w:sz w:val="16"/>
          <w:szCs w:val="16"/>
        </w:rPr>
      </w:pPr>
      <w:r>
        <w:rPr>
          <w:rStyle w:val="FootnoteReference"/>
        </w:rPr>
        <w:footnoteRef/>
      </w:r>
      <w:r>
        <w:t xml:space="preserve"> </w:t>
      </w:r>
      <w:hyperlink r:id="rId2" w:history="1">
        <w:r w:rsidRPr="00431368">
          <w:rPr>
            <w:rStyle w:val="Hyperlink"/>
            <w:rFonts w:ascii="Roboto" w:hAnsi="Roboto"/>
            <w:sz w:val="16"/>
            <w:szCs w:val="16"/>
          </w:rPr>
          <w:t>http://www.reduambiental.edu.uy/2016/09/declaratoria-final-6to-encuentro-nacional-renea-10/</w:t>
        </w:r>
      </w:hyperlink>
    </w:p>
  </w:footnote>
  <w:footnote w:id="4">
    <w:p w14:paraId="54E7D6B5" w14:textId="77777777" w:rsidR="00083989" w:rsidRPr="00431368" w:rsidRDefault="00083989" w:rsidP="00480A60">
      <w:pPr>
        <w:pStyle w:val="FootnoteText"/>
        <w:rPr>
          <w:sz w:val="16"/>
          <w:szCs w:val="16"/>
        </w:rPr>
      </w:pPr>
      <w:r w:rsidRPr="00431368">
        <w:rPr>
          <w:rStyle w:val="FootnoteReference"/>
          <w:sz w:val="16"/>
          <w:szCs w:val="16"/>
        </w:rPr>
        <w:footnoteRef/>
      </w:r>
      <w:r w:rsidRPr="00431368">
        <w:rPr>
          <w:sz w:val="16"/>
          <w:szCs w:val="16"/>
        </w:rPr>
        <w:t xml:space="preserve"> </w:t>
      </w:r>
      <w:hyperlink r:id="rId3" w:history="1">
        <w:r w:rsidRPr="00431368">
          <w:rPr>
            <w:rStyle w:val="Hyperlink"/>
            <w:rFonts w:ascii="Roboto" w:hAnsi="Roboto"/>
            <w:sz w:val="16"/>
            <w:szCs w:val="16"/>
          </w:rPr>
          <w:t>http://educacion.mma.gob.cl/encargada-de-la-red-de-formacion-ambiental-del-pnuma-visito-ministerio-del-medio-ambiente/</w:t>
        </w:r>
      </w:hyperlink>
    </w:p>
  </w:footnote>
  <w:footnote w:id="5">
    <w:p w14:paraId="47C5827A" w14:textId="039D2D21" w:rsidR="00083989" w:rsidRDefault="00083989" w:rsidP="005A58E4">
      <w:pPr>
        <w:pStyle w:val="FootnoteText"/>
        <w:rPr>
          <w:rFonts w:ascii="Roboto" w:hAnsi="Roboto"/>
          <w:sz w:val="16"/>
          <w:szCs w:val="16"/>
        </w:rPr>
      </w:pPr>
      <w:r w:rsidRPr="00431368">
        <w:rPr>
          <w:rStyle w:val="FootnoteReference"/>
          <w:sz w:val="16"/>
          <w:szCs w:val="16"/>
        </w:rPr>
        <w:footnoteRef/>
      </w:r>
      <w:hyperlink r:id="rId4" w:history="1">
        <w:r w:rsidRPr="006A1F55">
          <w:rPr>
            <w:rStyle w:val="Hyperlink"/>
            <w:sz w:val="16"/>
            <w:szCs w:val="16"/>
          </w:rPr>
          <w:t>https://www.facebook.com/RFALAC</w:t>
        </w:r>
      </w:hyperlink>
      <w:r>
        <w:rPr>
          <w:sz w:val="16"/>
          <w:szCs w:val="16"/>
        </w:rPr>
        <w:t xml:space="preserve"> </w:t>
      </w:r>
    </w:p>
    <w:p w14:paraId="3D9448E8" w14:textId="77777777" w:rsidR="00083989" w:rsidRPr="000B6675" w:rsidRDefault="00083989" w:rsidP="005A58E4">
      <w:pPr>
        <w:pStyle w:val="FootnoteText"/>
      </w:pPr>
    </w:p>
  </w:footnote>
  <w:footnote w:id="6">
    <w:p w14:paraId="3B7D5BF4" w14:textId="19AA1873" w:rsidR="00083989" w:rsidRDefault="00083989">
      <w:pPr>
        <w:pStyle w:val="FootnoteText"/>
      </w:pPr>
      <w:r>
        <w:rPr>
          <w:rStyle w:val="FootnoteReference"/>
        </w:rPr>
        <w:footnoteRef/>
      </w:r>
      <w:r>
        <w:t xml:space="preserve"> Disponible en Documentos de Referencia </w:t>
      </w:r>
      <w:hyperlink r:id="rId5" w:history="1">
        <w:r w:rsidRPr="00385FBF">
          <w:rPr>
            <w:rStyle w:val="Hyperlink"/>
          </w:rPr>
          <w:t>https://bit.ly/2vRlPHS</w:t>
        </w:r>
      </w:hyperlink>
    </w:p>
  </w:footnote>
  <w:footnote w:id="7">
    <w:p w14:paraId="1A640C2A" w14:textId="4DA52D25" w:rsidR="00083989" w:rsidRDefault="00083989">
      <w:pPr>
        <w:pStyle w:val="FootnoteText"/>
      </w:pPr>
      <w:r>
        <w:rPr>
          <w:rStyle w:val="FootnoteReference"/>
        </w:rPr>
        <w:footnoteRef/>
      </w:r>
      <w:r>
        <w:t xml:space="preserve"> </w:t>
      </w:r>
      <w:hyperlink r:id="rId6" w:history="1">
        <w:bookmarkStart w:id="2" w:name="_Hlk523143180"/>
        <w:r w:rsidRPr="003E5AD8">
          <w:rPr>
            <w:rStyle w:val="Hyperlink"/>
          </w:rPr>
          <w:t>http://comunidadpnacc.com/es</w:t>
        </w:r>
        <w:bookmarkEnd w:id="2"/>
        <w:r w:rsidRPr="003E5AD8">
          <w:rPr>
            <w:rStyle w:val="Hyperlink"/>
          </w:rPr>
          <w:t>/</w:t>
        </w:r>
      </w:hyperlink>
    </w:p>
  </w:footnote>
  <w:footnote w:id="8">
    <w:p w14:paraId="676AD9B1" w14:textId="092E3B4A" w:rsidR="00083989" w:rsidRDefault="00083989" w:rsidP="00E2659B">
      <w:pPr>
        <w:pStyle w:val="FootnoteText"/>
      </w:pPr>
      <w:r>
        <w:rPr>
          <w:rStyle w:val="FootnoteReference"/>
        </w:rPr>
        <w:footnoteRef/>
      </w:r>
      <w:r>
        <w:t xml:space="preserve"> </w:t>
      </w:r>
      <w:r>
        <w:rPr>
          <w:vertAlign w:val="superscript"/>
        </w:rPr>
        <w:t xml:space="preserve"> </w:t>
      </w:r>
      <w:bookmarkStart w:id="3" w:name="_Hlk523143215"/>
      <w:r>
        <w:rPr>
          <w:rStyle w:val="Hyperlink"/>
        </w:rPr>
        <w:fldChar w:fldCharType="begin"/>
      </w:r>
      <w:r>
        <w:rPr>
          <w:rStyle w:val="Hyperlink"/>
        </w:rPr>
        <w:instrText xml:space="preserve"> HYPERLINK "http://www.cambioclimatico-regatta.org/index.php/es/" </w:instrText>
      </w:r>
      <w:r>
        <w:rPr>
          <w:rStyle w:val="Hyperlink"/>
        </w:rPr>
        <w:fldChar w:fldCharType="separate"/>
      </w:r>
      <w:r w:rsidRPr="003E5AD8">
        <w:rPr>
          <w:rStyle w:val="Hyperlink"/>
        </w:rPr>
        <w:t>http://www.cambioclimatico-regatta.org/index.php/es/</w:t>
      </w:r>
      <w:r>
        <w:rPr>
          <w:rStyle w:val="Hyperlink"/>
        </w:rPr>
        <w:fldChar w:fldCharType="end"/>
      </w:r>
      <w:bookmarkEnd w:id="3"/>
    </w:p>
    <w:p w14:paraId="064C3376" w14:textId="373EF13F" w:rsidR="00083989" w:rsidRDefault="00083989">
      <w:pPr>
        <w:pStyle w:val="FootnoteText"/>
      </w:pPr>
    </w:p>
  </w:footnote>
  <w:footnote w:id="9">
    <w:p w14:paraId="04B84A74" w14:textId="4800454E" w:rsidR="00083989" w:rsidRDefault="00083989">
      <w:pPr>
        <w:pStyle w:val="FootnoteText"/>
      </w:pPr>
      <w:r>
        <w:rPr>
          <w:rStyle w:val="FootnoteReference"/>
        </w:rPr>
        <w:footnoteRef/>
      </w:r>
      <w:r>
        <w:t xml:space="preserve"> </w:t>
      </w:r>
      <w:r>
        <w:t xml:space="preserve">Disponible en los siguiente enlaces </w:t>
      </w:r>
      <w:hyperlink r:id="rId7" w:history="1">
        <w:r w:rsidRPr="00D70D6F">
          <w:rPr>
            <w:rStyle w:val="Hyperlink"/>
            <w:rFonts w:ascii="Roboto" w:hAnsi="Roboto"/>
            <w:sz w:val="16"/>
            <w:szCs w:val="16"/>
          </w:rPr>
          <w:t>inglés</w:t>
        </w:r>
      </w:hyperlink>
      <w:r w:rsidRPr="00D70D6F">
        <w:rPr>
          <w:rFonts w:ascii="Roboto" w:hAnsi="Roboto"/>
          <w:sz w:val="16"/>
          <w:szCs w:val="16"/>
        </w:rPr>
        <w:t xml:space="preserve"> y </w:t>
      </w:r>
      <w:hyperlink r:id="rId8" w:history="1">
        <w:r w:rsidRPr="00D70D6F">
          <w:rPr>
            <w:rStyle w:val="Hyperlink"/>
            <w:rFonts w:ascii="Roboto" w:hAnsi="Roboto"/>
            <w:sz w:val="16"/>
            <w:szCs w:val="16"/>
          </w:rPr>
          <w:t>español</w:t>
        </w:r>
      </w:hyperlink>
    </w:p>
  </w:footnote>
  <w:footnote w:id="10">
    <w:p w14:paraId="047933EA" w14:textId="497A74DE" w:rsidR="00083989" w:rsidRPr="00E37799" w:rsidRDefault="00083989">
      <w:pPr>
        <w:pStyle w:val="FootnoteText"/>
        <w:rPr>
          <w:rFonts w:ascii="Roboto" w:hAnsi="Roboto"/>
          <w:sz w:val="16"/>
          <w:szCs w:val="16"/>
        </w:rPr>
      </w:pPr>
      <w:r>
        <w:rPr>
          <w:rStyle w:val="FootnoteReference"/>
        </w:rPr>
        <w:footnoteRef/>
      </w:r>
      <w:r>
        <w:t xml:space="preserve"> </w:t>
      </w:r>
      <w:bookmarkStart w:id="4" w:name="_Hlk524079838"/>
      <w:r w:rsidRPr="00E37799">
        <w:rPr>
          <w:rFonts w:ascii="Roboto" w:hAnsi="Roboto"/>
          <w:sz w:val="16"/>
          <w:szCs w:val="16"/>
        </w:rPr>
        <w:t xml:space="preserve">Documento disponible en los siguientes enlaces </w:t>
      </w:r>
      <w:hyperlink r:id="rId9" w:history="1">
        <w:r w:rsidRPr="00E37799">
          <w:rPr>
            <w:rStyle w:val="Hyperlink"/>
            <w:rFonts w:ascii="Roboto" w:hAnsi="Roboto"/>
            <w:sz w:val="16"/>
            <w:szCs w:val="16"/>
          </w:rPr>
          <w:t>inglés</w:t>
        </w:r>
      </w:hyperlink>
      <w:r w:rsidRPr="00E37799">
        <w:rPr>
          <w:rFonts w:ascii="Roboto" w:hAnsi="Roboto"/>
          <w:sz w:val="16"/>
          <w:szCs w:val="16"/>
        </w:rPr>
        <w:t xml:space="preserve">, </w:t>
      </w:r>
      <w:hyperlink r:id="rId10" w:history="1">
        <w:r w:rsidRPr="00E37799">
          <w:rPr>
            <w:rStyle w:val="Hyperlink"/>
            <w:rFonts w:ascii="Roboto" w:hAnsi="Roboto"/>
            <w:sz w:val="16"/>
            <w:szCs w:val="16"/>
          </w:rPr>
          <w:t>español</w:t>
        </w:r>
      </w:hyperlink>
      <w:r w:rsidRPr="00E37799">
        <w:rPr>
          <w:rFonts w:ascii="Roboto" w:hAnsi="Roboto"/>
          <w:sz w:val="16"/>
          <w:szCs w:val="16"/>
        </w:rPr>
        <w:t xml:space="preserve"> y </w:t>
      </w:r>
      <w:hyperlink r:id="rId11" w:history="1">
        <w:r w:rsidRPr="00E37799">
          <w:rPr>
            <w:rStyle w:val="Hyperlink"/>
            <w:rFonts w:ascii="Roboto" w:hAnsi="Roboto"/>
            <w:sz w:val="16"/>
            <w:szCs w:val="16"/>
          </w:rPr>
          <w:t>portugués</w:t>
        </w:r>
      </w:hyperlink>
      <w:bookmarkEnd w:id="4"/>
    </w:p>
  </w:footnote>
  <w:footnote w:id="11">
    <w:p w14:paraId="640440EC" w14:textId="467CBAF3" w:rsidR="00083989" w:rsidRPr="00E37799" w:rsidRDefault="00083989">
      <w:pPr>
        <w:pStyle w:val="FootnoteText"/>
        <w:rPr>
          <w:rFonts w:ascii="Roboto" w:hAnsi="Roboto"/>
          <w:sz w:val="16"/>
          <w:szCs w:val="16"/>
        </w:rPr>
      </w:pPr>
      <w:r w:rsidRPr="00E37799">
        <w:rPr>
          <w:rStyle w:val="FootnoteReference"/>
          <w:rFonts w:ascii="Roboto" w:hAnsi="Roboto"/>
          <w:sz w:val="16"/>
          <w:szCs w:val="16"/>
        </w:rPr>
        <w:footnoteRef/>
      </w:r>
      <w:r w:rsidRPr="00E37799">
        <w:rPr>
          <w:rFonts w:ascii="Roboto" w:hAnsi="Roboto"/>
          <w:sz w:val="16"/>
          <w:szCs w:val="16"/>
        </w:rPr>
        <w:t xml:space="preserve"> </w:t>
      </w:r>
      <w:r w:rsidRPr="00E37799">
        <w:rPr>
          <w:rFonts w:ascii="Roboto" w:hAnsi="Roboto"/>
          <w:sz w:val="16"/>
          <w:szCs w:val="16"/>
        </w:rPr>
        <w:t>https://www.un.org/ecosoc/sites/www.un.org.ecosoc/files/files/en/integration/2017/une-170427-side-event-ecosoc-integration-segment-cn-summary.pdf</w:t>
      </w:r>
    </w:p>
  </w:footnote>
  <w:footnote w:id="12">
    <w:p w14:paraId="4EDAE8FB" w14:textId="7341227F" w:rsidR="00083989" w:rsidRDefault="00083989">
      <w:pPr>
        <w:pStyle w:val="FootnoteText"/>
      </w:pPr>
      <w:r w:rsidRPr="00E37799">
        <w:rPr>
          <w:rStyle w:val="FootnoteReference"/>
          <w:rFonts w:ascii="Roboto" w:hAnsi="Roboto"/>
          <w:sz w:val="16"/>
          <w:szCs w:val="16"/>
        </w:rPr>
        <w:footnoteRef/>
      </w:r>
      <w:r w:rsidRPr="00E37799">
        <w:rPr>
          <w:rFonts w:ascii="Roboto" w:hAnsi="Roboto"/>
          <w:sz w:val="16"/>
          <w:szCs w:val="16"/>
        </w:rPr>
        <w:t xml:space="preserve"> </w:t>
      </w:r>
      <w:bookmarkStart w:id="5" w:name="_Hlk524081016"/>
      <w:r w:rsidRPr="00E37799">
        <w:rPr>
          <w:rFonts w:ascii="Roboto" w:hAnsi="Roboto"/>
          <w:sz w:val="16"/>
          <w:szCs w:val="16"/>
        </w:rPr>
        <w:t>https://wedocs.unep.org/bitstream/handle/20.500.11822/25644/dimension_ambiental_agenda2030.pdf?sequence=1&amp;isAllowed=y</w:t>
      </w:r>
      <w:bookmarkEnd w:id="5"/>
    </w:p>
  </w:footnote>
  <w:footnote w:id="13">
    <w:p w14:paraId="689404EC" w14:textId="77777777" w:rsidR="00083989" w:rsidRPr="007F7218" w:rsidRDefault="00083989" w:rsidP="003E1444">
      <w:pPr>
        <w:pStyle w:val="FootnoteText"/>
        <w:rPr>
          <w:rFonts w:ascii="Roboto" w:hAnsi="Roboto"/>
          <w:sz w:val="16"/>
          <w:szCs w:val="16"/>
        </w:rPr>
      </w:pPr>
      <w:r w:rsidRPr="007F7218">
        <w:rPr>
          <w:rStyle w:val="FootnoteReference"/>
          <w:rFonts w:ascii="Roboto" w:hAnsi="Roboto"/>
          <w:sz w:val="16"/>
          <w:szCs w:val="16"/>
        </w:rPr>
        <w:footnoteRef/>
      </w:r>
      <w:r w:rsidRPr="007F7218">
        <w:rPr>
          <w:rFonts w:ascii="Roboto" w:hAnsi="Roboto"/>
          <w:sz w:val="16"/>
          <w:szCs w:val="16"/>
        </w:rPr>
        <w:t xml:space="preserve"> </w:t>
      </w:r>
      <w:r w:rsidRPr="007F7218">
        <w:rPr>
          <w:rFonts w:ascii="Roboto" w:hAnsi="Roboto"/>
          <w:sz w:val="16"/>
          <w:szCs w:val="16"/>
        </w:rPr>
        <w:t>https://papersmart.unon.org/resolution/uploads/k1800195.spanish.pdf</w:t>
      </w:r>
    </w:p>
  </w:footnote>
  <w:footnote w:id="14">
    <w:p w14:paraId="78B5EA8D" w14:textId="175E7CD3" w:rsidR="00083989" w:rsidRDefault="00083989">
      <w:pPr>
        <w:pStyle w:val="FootnoteText"/>
      </w:pPr>
      <w:r>
        <w:rPr>
          <w:rStyle w:val="FootnoteReference"/>
        </w:rPr>
        <w:footnoteRef/>
      </w:r>
      <w:r>
        <w:t xml:space="preserve"> </w:t>
      </w:r>
      <w:r w:rsidRPr="0000659B">
        <w:rPr>
          <w:sz w:val="16"/>
          <w:szCs w:val="16"/>
        </w:rPr>
        <w:t>https://papersmart.unon.org/resolution/uploads/k1800195.spanish.pdf</w:t>
      </w:r>
    </w:p>
  </w:footnote>
  <w:footnote w:id="15">
    <w:p w14:paraId="297906CB" w14:textId="3FD3184B" w:rsidR="00083989" w:rsidRDefault="00083989">
      <w:pPr>
        <w:pStyle w:val="FootnoteText"/>
      </w:pPr>
      <w:r>
        <w:rPr>
          <w:rStyle w:val="FootnoteReference"/>
        </w:rPr>
        <w:footnoteRef/>
      </w:r>
      <w:r>
        <w:t xml:space="preserve"> </w:t>
      </w:r>
      <w:r>
        <w:t xml:space="preserve">Disponible en el siguiente enlace </w:t>
      </w:r>
      <w:hyperlink r:id="rId12" w:history="1">
        <w:r w:rsidRPr="00EB2F87">
          <w:rPr>
            <w:rStyle w:val="Hyperlink"/>
          </w:rPr>
          <w:t>http://wedocs.unep.org/bitstream/handle/20.500.11822/11201/Bali_guidelines_sp.pdf?sequence=2&amp;isAllowed=y</w:t>
        </w:r>
      </w:hyperlink>
    </w:p>
  </w:footnote>
  <w:footnote w:id="16">
    <w:p w14:paraId="0A4B1DF8" w14:textId="26D82A97" w:rsidR="00083989" w:rsidRDefault="00083989">
      <w:pPr>
        <w:pStyle w:val="FootnoteText"/>
      </w:pPr>
      <w:r>
        <w:rPr>
          <w:rStyle w:val="FootnoteReference"/>
        </w:rPr>
        <w:footnoteRef/>
      </w:r>
      <w:r>
        <w:t xml:space="preserve"> </w:t>
      </w:r>
      <w:bookmarkStart w:id="6" w:name="_Hlk524076851"/>
      <w:r>
        <w:t xml:space="preserve">Informe del taller disponible en Documentos de Referencia </w:t>
      </w:r>
      <w:hyperlink r:id="rId13" w:history="1">
        <w:r w:rsidRPr="00385FBF">
          <w:rPr>
            <w:rStyle w:val="Hyperlink"/>
          </w:rPr>
          <w:t>https://bit.ly/2vRlPHS</w:t>
        </w:r>
      </w:hyperlink>
      <w:r>
        <w:t xml:space="preserve"> </w:t>
      </w:r>
      <w:bookmarkEnd w:id="6"/>
    </w:p>
  </w:footnote>
  <w:footnote w:id="17">
    <w:p w14:paraId="1FA65292" w14:textId="3BE26F5F" w:rsidR="000904DB" w:rsidRDefault="000904DB">
      <w:pPr>
        <w:pStyle w:val="FootnoteText"/>
      </w:pPr>
      <w:r>
        <w:rPr>
          <w:rStyle w:val="FootnoteReference"/>
        </w:rPr>
        <w:footnoteRef/>
      </w:r>
      <w:r>
        <w:t xml:space="preserve"> </w:t>
      </w:r>
      <w:r w:rsidRPr="000904DB">
        <w:t xml:space="preserve">La Alianza del Pacífico </w:t>
      </w:r>
      <w:r>
        <w:t xml:space="preserve">es una </w:t>
      </w:r>
      <w:r w:rsidRPr="000904DB">
        <w:t>económica y de desarrollo entre cuatro naciones de América Latina: Chile, Colombia, México y Perú</w:t>
      </w:r>
    </w:p>
  </w:footnote>
  <w:footnote w:id="18">
    <w:p w14:paraId="6EBE128A" w14:textId="26F140B4" w:rsidR="00083989" w:rsidRDefault="00083989">
      <w:pPr>
        <w:pStyle w:val="FootnoteText"/>
      </w:pPr>
      <w:r>
        <w:rPr>
          <w:rStyle w:val="FootnoteReference"/>
        </w:rPr>
        <w:footnoteRef/>
      </w:r>
      <w:r>
        <w:t xml:space="preserve"> Informe de la reunión disponible en Documentos de Referencia </w:t>
      </w:r>
      <w:hyperlink r:id="rId14" w:history="1">
        <w:r w:rsidRPr="00385FBF">
          <w:rPr>
            <w:rStyle w:val="Hyperlink"/>
          </w:rPr>
          <w:t>https://bit.ly/2vRlPHS</w:t>
        </w:r>
      </w:hyperlink>
    </w:p>
  </w:footnote>
  <w:footnote w:id="19">
    <w:p w14:paraId="121BD5EC" w14:textId="1AE75668" w:rsidR="006E0A83" w:rsidRDefault="006E0A83">
      <w:pPr>
        <w:pStyle w:val="FootnoteText"/>
      </w:pPr>
      <w:r>
        <w:rPr>
          <w:rStyle w:val="FootnoteReference"/>
        </w:rPr>
        <w:footnoteRef/>
      </w:r>
      <w:r>
        <w:t xml:space="preserve"> Plataforma online que promueve la transición hacia la movilidad eléctrica en </w:t>
      </w:r>
      <w:r w:rsidR="00E54641">
        <w:t>América</w:t>
      </w:r>
      <w:r>
        <w:t xml:space="preserve"> Latina</w:t>
      </w:r>
    </w:p>
  </w:footnote>
  <w:footnote w:id="20">
    <w:p w14:paraId="0B42FC31" w14:textId="77777777" w:rsidR="00083989" w:rsidRPr="00163E63" w:rsidRDefault="00083989" w:rsidP="00ED4AB2">
      <w:pPr>
        <w:pStyle w:val="FootnoteText"/>
        <w:jc w:val="both"/>
      </w:pPr>
      <w:r>
        <w:rPr>
          <w:rStyle w:val="FootnoteReference"/>
        </w:rPr>
        <w:footnoteRef/>
      </w:r>
      <w:r w:rsidRPr="000424F9">
        <w:t xml:space="preserve"> </w:t>
      </w:r>
      <w:bookmarkStart w:id="7" w:name="_Hlk523751903"/>
      <w:r>
        <w:t xml:space="preserve">Incluyendo gobernabilidad, mecanismos de coordinación y presencia internacional; conocimiento, información y monitoreo; temas prioritarios en el marco del Enfoque Estratégico para la Gestión de Productos Químicos a Nivel Internacional (SAICM); los Convenios de Basilea, Rotterdam y Estocolmo; Mercurio/Convenio de Minamata y Plomo; gestión de residuos. </w:t>
      </w:r>
      <w:bookmarkEnd w:id="7"/>
    </w:p>
  </w:footnote>
  <w:footnote w:id="21">
    <w:p w14:paraId="23D1A3DE" w14:textId="589D0E3E" w:rsidR="00083989" w:rsidRDefault="00083989" w:rsidP="00ED4AB2">
      <w:pPr>
        <w:pStyle w:val="FootnoteText"/>
      </w:pPr>
      <w:r w:rsidRPr="0096789D">
        <w:rPr>
          <w:rStyle w:val="FootnoteReference"/>
        </w:rPr>
        <w:footnoteRef/>
      </w:r>
      <w:r w:rsidRPr="0096789D">
        <w:t xml:space="preserve"> </w:t>
      </w:r>
      <w:bookmarkStart w:id="8" w:name="_Hlk523751925"/>
      <w:r w:rsidRPr="0096789D">
        <w:t xml:space="preserve">Este informe fue también editado e incluido como </w:t>
      </w:r>
      <w:hyperlink r:id="rId15" w:history="1">
        <w:r w:rsidRPr="0096789D">
          <w:rPr>
            <w:rStyle w:val="Hyperlink"/>
          </w:rPr>
          <w:t>documento de referencia</w:t>
        </w:r>
      </w:hyperlink>
      <w:r w:rsidRPr="0096789D">
        <w:t xml:space="preserve"> para la 2ª reunión del proceso entre sesiones para considerar el Enfoque Estratégico y la gestión de productos químicos y desechos después de 2020</w:t>
      </w:r>
      <w:bookmarkEnd w:id="8"/>
      <w:r w:rsidRPr="0096789D">
        <w:t>.</w:t>
      </w:r>
    </w:p>
  </w:footnote>
  <w:footnote w:id="22">
    <w:p w14:paraId="51423C40" w14:textId="77777777" w:rsidR="00083989" w:rsidRDefault="00083989" w:rsidP="00ED4AB2">
      <w:pPr>
        <w:pStyle w:val="FootnoteText"/>
      </w:pPr>
      <w:r>
        <w:rPr>
          <w:rStyle w:val="FootnoteReference"/>
        </w:rPr>
        <w:footnoteRef/>
      </w:r>
      <w:r>
        <w:t xml:space="preserve"> </w:t>
      </w:r>
      <w:bookmarkStart w:id="9" w:name="_Hlk523753330"/>
      <w:r>
        <w:t xml:space="preserve">ONU Medio Ambiente (2017). Regulación de químicos de uso industrial. </w:t>
      </w:r>
      <w:r w:rsidRPr="00EB1CD4">
        <w:t>Revisión de algunos enfoques disponibles y casos de estudio en América Latina y el Caribe</w:t>
      </w:r>
      <w:r>
        <w:t>. Octubre 2017</w:t>
      </w:r>
      <w:bookmarkEnd w:id="9"/>
      <w:r>
        <w:t xml:space="preserve">. </w:t>
      </w:r>
    </w:p>
  </w:footnote>
  <w:footnote w:id="23">
    <w:p w14:paraId="750E4A0C" w14:textId="2A869158" w:rsidR="00083989" w:rsidRDefault="00083989" w:rsidP="00ED4AB2">
      <w:pPr>
        <w:pStyle w:val="FootnoteText"/>
      </w:pPr>
      <w:r>
        <w:rPr>
          <w:rStyle w:val="FootnoteReference"/>
        </w:rPr>
        <w:footnoteRef/>
      </w:r>
      <w:r>
        <w:t xml:space="preserve"> </w:t>
      </w:r>
      <w:bookmarkStart w:id="10" w:name="_Hlk523999825"/>
      <w:r w:rsidRPr="00A125D5">
        <w:t xml:space="preserve">Antigua y Barbuda, Argentina, Brasil, </w:t>
      </w:r>
      <w:r w:rsidR="00BC4700">
        <w:t xml:space="preserve">Chile, </w:t>
      </w:r>
      <w:r w:rsidRPr="00A125D5">
        <w:t>Costa Rica, Cuba, Ecuador, El Salvador, Honduras, Jamaica, Paraguay, República Dominicana, San Cristóbal y Nieves, y Surinam</w:t>
      </w:r>
      <w:bookmarkEnd w:id="10"/>
      <w:r>
        <w:t>.</w:t>
      </w:r>
    </w:p>
  </w:footnote>
  <w:footnote w:id="24">
    <w:p w14:paraId="40B1E31D" w14:textId="77777777" w:rsidR="00083989" w:rsidRPr="00857451" w:rsidRDefault="00083989" w:rsidP="00857451">
      <w:pPr>
        <w:pStyle w:val="FootnoteText"/>
        <w:rPr>
          <w:lang w:val="en-US"/>
        </w:rPr>
      </w:pPr>
      <w:r>
        <w:rPr>
          <w:rStyle w:val="FootnoteReference"/>
        </w:rPr>
        <w:footnoteRef/>
      </w:r>
      <w:r w:rsidRPr="00857451">
        <w:rPr>
          <w:lang w:val="en-US"/>
        </w:rPr>
        <w:t xml:space="preserve"> Enlace: </w:t>
      </w:r>
      <w:bookmarkStart w:id="11" w:name="_Hlk523997262"/>
      <w:r>
        <w:rPr>
          <w:rStyle w:val="Hyperlink"/>
          <w:lang w:val="es-ES_tradnl"/>
        </w:rPr>
        <w:fldChar w:fldCharType="begin"/>
      </w:r>
      <w:r w:rsidRPr="00857451">
        <w:rPr>
          <w:rStyle w:val="Hyperlink"/>
          <w:lang w:val="en-US"/>
        </w:rPr>
        <w:instrText xml:space="preserve"> HYPERLINK "https://papersmart.unon.org/resolution/uploads/k1800225.spanish.pdf" </w:instrText>
      </w:r>
      <w:r>
        <w:rPr>
          <w:rStyle w:val="Hyperlink"/>
          <w:lang w:val="es-ES_tradnl"/>
        </w:rPr>
        <w:fldChar w:fldCharType="separate"/>
      </w:r>
      <w:r w:rsidRPr="00857451">
        <w:rPr>
          <w:rStyle w:val="Hyperlink"/>
          <w:lang w:val="en-US"/>
        </w:rPr>
        <w:t>https://papersmart.unon.org/resolution/uploads/k1800225.spanish.pdf</w:t>
      </w:r>
      <w:r>
        <w:rPr>
          <w:rStyle w:val="Hyperlink"/>
          <w:lang w:val="es-ES_tradnl"/>
        </w:rPr>
        <w:fldChar w:fldCharType="end"/>
      </w:r>
      <w:r w:rsidRPr="00857451">
        <w:rPr>
          <w:lang w:val="en-US"/>
        </w:rPr>
        <w:t xml:space="preserve"> </w:t>
      </w:r>
      <w:bookmarkEnd w:id="11"/>
    </w:p>
  </w:footnote>
  <w:footnote w:id="25">
    <w:p w14:paraId="24169F9D" w14:textId="77777777" w:rsidR="00083989" w:rsidRPr="00857451" w:rsidRDefault="00083989" w:rsidP="001C0FBB">
      <w:pPr>
        <w:pStyle w:val="FootnoteText"/>
        <w:rPr>
          <w:lang w:val="en-US"/>
        </w:rPr>
      </w:pPr>
      <w:r>
        <w:rPr>
          <w:rStyle w:val="FootnoteReference"/>
        </w:rPr>
        <w:footnoteRef/>
      </w:r>
      <w:r w:rsidRPr="00857451">
        <w:rPr>
          <w:lang w:val="en-US"/>
        </w:rPr>
        <w:t xml:space="preserve"> Enlace: </w:t>
      </w:r>
      <w:bookmarkStart w:id="12" w:name="_Hlk523997270"/>
      <w:r>
        <w:rPr>
          <w:rStyle w:val="Hyperlink"/>
          <w:lang w:val="es-ES_tradnl"/>
        </w:rPr>
        <w:fldChar w:fldCharType="begin"/>
      </w:r>
      <w:r w:rsidRPr="00857451">
        <w:rPr>
          <w:rStyle w:val="Hyperlink"/>
          <w:lang w:val="en-US"/>
        </w:rPr>
        <w:instrText xml:space="preserve"> HYPERLINK "https://www.gob.mx/inecc/documentos/informe-del-taller-de-contaminantes-climaticos-de-vida-corta?idiom=es" </w:instrText>
      </w:r>
      <w:r>
        <w:rPr>
          <w:rStyle w:val="Hyperlink"/>
          <w:lang w:val="es-ES_tradnl"/>
        </w:rPr>
        <w:fldChar w:fldCharType="separate"/>
      </w:r>
      <w:r w:rsidRPr="00857451">
        <w:rPr>
          <w:rStyle w:val="Hyperlink"/>
          <w:lang w:val="en-US"/>
        </w:rPr>
        <w:t>https://www.gob.mx/inecc/documentos/informe-del-taller-de-contaminantes-climaticos-de-vida-corta?idiom=es</w:t>
      </w:r>
      <w:r>
        <w:rPr>
          <w:rStyle w:val="Hyperlink"/>
          <w:lang w:val="es-ES_tradnl"/>
        </w:rPr>
        <w:fldChar w:fldCharType="end"/>
      </w:r>
      <w:r w:rsidRPr="00857451">
        <w:rPr>
          <w:lang w:val="en-US"/>
        </w:rPr>
        <w:t xml:space="preserve"> </w:t>
      </w:r>
      <w:bookmarkEnd w:id="12"/>
    </w:p>
  </w:footnote>
  <w:footnote w:id="26">
    <w:p w14:paraId="7D477FAE" w14:textId="77777777" w:rsidR="00083989" w:rsidRPr="00857451" w:rsidRDefault="00083989" w:rsidP="00857451">
      <w:pPr>
        <w:pStyle w:val="FootnoteText"/>
        <w:rPr>
          <w:lang w:val="en-US"/>
        </w:rPr>
      </w:pPr>
      <w:r>
        <w:rPr>
          <w:rStyle w:val="FootnoteReference"/>
        </w:rPr>
        <w:footnoteRef/>
      </w:r>
      <w:r w:rsidRPr="00857451">
        <w:rPr>
          <w:lang w:val="en-US"/>
        </w:rPr>
        <w:t xml:space="preserve"> Enlace: </w:t>
      </w:r>
      <w:bookmarkStart w:id="13" w:name="_Hlk523997568"/>
      <w:r>
        <w:rPr>
          <w:rStyle w:val="Hyperlink"/>
          <w:lang w:val="es-ES_tradnl"/>
        </w:rPr>
        <w:fldChar w:fldCharType="begin"/>
      </w:r>
      <w:r w:rsidRPr="00857451">
        <w:rPr>
          <w:rStyle w:val="Hyperlink"/>
          <w:lang w:val="en-US"/>
        </w:rPr>
        <w:instrText xml:space="preserve"> HYPERLINK "http://ccacoalition.org/en/resources/air-now-platform-webinar-0" </w:instrText>
      </w:r>
      <w:r>
        <w:rPr>
          <w:rStyle w:val="Hyperlink"/>
          <w:lang w:val="es-ES_tradnl"/>
        </w:rPr>
        <w:fldChar w:fldCharType="separate"/>
      </w:r>
      <w:r w:rsidRPr="00857451">
        <w:rPr>
          <w:rStyle w:val="Hyperlink"/>
          <w:lang w:val="en-US"/>
        </w:rPr>
        <w:t>http://ccacoalition.org/en/resources/air-now-platform-webinar-0</w:t>
      </w:r>
      <w:r>
        <w:rPr>
          <w:rStyle w:val="Hyperlink"/>
          <w:lang w:val="es-ES_tradnl"/>
        </w:rPr>
        <w:fldChar w:fldCharType="end"/>
      </w:r>
      <w:bookmarkEnd w:id="13"/>
      <w:r w:rsidRPr="00857451">
        <w:rPr>
          <w:lang w:val="en-US"/>
        </w:rPr>
        <w:t xml:space="preserve"> </w:t>
      </w:r>
    </w:p>
  </w:footnote>
  <w:footnote w:id="27">
    <w:p w14:paraId="3AFA2362" w14:textId="77777777" w:rsidR="00083989" w:rsidRPr="00857451" w:rsidRDefault="00083989" w:rsidP="00857451">
      <w:pPr>
        <w:pStyle w:val="FootnoteText"/>
        <w:rPr>
          <w:lang w:val="en-US"/>
        </w:rPr>
      </w:pPr>
      <w:r>
        <w:rPr>
          <w:rStyle w:val="FootnoteReference"/>
        </w:rPr>
        <w:footnoteRef/>
      </w:r>
      <w:r w:rsidRPr="00857451">
        <w:rPr>
          <w:lang w:val="en-US"/>
        </w:rPr>
        <w:t xml:space="preserve"> Enlace: </w:t>
      </w:r>
      <w:bookmarkStart w:id="14" w:name="_Hlk523997738"/>
      <w:r>
        <w:rPr>
          <w:rStyle w:val="Hyperlink"/>
          <w:lang w:val="es-ES_tradnl"/>
        </w:rPr>
        <w:fldChar w:fldCharType="begin"/>
      </w:r>
      <w:r w:rsidRPr="00857451">
        <w:rPr>
          <w:rStyle w:val="Hyperlink"/>
          <w:lang w:val="en-US"/>
        </w:rPr>
        <w:instrText xml:space="preserve"> HYPERLINK "http://ccacoalition.org/en/resources/low-cost-air-monitoring-devices-webinar" </w:instrText>
      </w:r>
      <w:r>
        <w:rPr>
          <w:rStyle w:val="Hyperlink"/>
          <w:lang w:val="es-ES_tradnl"/>
        </w:rPr>
        <w:fldChar w:fldCharType="separate"/>
      </w:r>
      <w:r w:rsidRPr="00857451">
        <w:rPr>
          <w:rStyle w:val="Hyperlink"/>
          <w:lang w:val="en-US"/>
        </w:rPr>
        <w:t>http://ccacoalition.org/en/resources/low-cost-air-monitoring-devices-webinar</w:t>
      </w:r>
      <w:r>
        <w:rPr>
          <w:rStyle w:val="Hyperlink"/>
          <w:lang w:val="es-ES_tradnl"/>
        </w:rPr>
        <w:fldChar w:fldCharType="end"/>
      </w:r>
      <w:r w:rsidRPr="00857451">
        <w:rPr>
          <w:lang w:val="en-US"/>
        </w:rPr>
        <w:t xml:space="preserve"> </w:t>
      </w:r>
    </w:p>
    <w:bookmarkEnd w:id="14"/>
  </w:footnote>
  <w:footnote w:id="28">
    <w:p w14:paraId="292C331B" w14:textId="77777777" w:rsidR="00083989" w:rsidRPr="00857451" w:rsidRDefault="00083989" w:rsidP="00857451">
      <w:pPr>
        <w:pStyle w:val="FootnoteText"/>
        <w:rPr>
          <w:lang w:val="en-US"/>
        </w:rPr>
      </w:pPr>
      <w:r>
        <w:rPr>
          <w:rStyle w:val="FootnoteReference"/>
        </w:rPr>
        <w:footnoteRef/>
      </w:r>
      <w:r w:rsidRPr="00857451">
        <w:rPr>
          <w:lang w:val="en-US"/>
        </w:rPr>
        <w:t xml:space="preserve"> Enlace: </w:t>
      </w:r>
      <w:bookmarkStart w:id="15" w:name="_Hlk523997755"/>
      <w:r>
        <w:rPr>
          <w:rStyle w:val="Hyperlink"/>
          <w:lang w:val="es-ES_tradnl"/>
        </w:rPr>
        <w:fldChar w:fldCharType="begin"/>
      </w:r>
      <w:r w:rsidRPr="00857451">
        <w:rPr>
          <w:rStyle w:val="Hyperlink"/>
          <w:lang w:val="en-US"/>
        </w:rPr>
        <w:instrText xml:space="preserve"> HYPERLINK "http://ccacoalition.org/en/resources/integrated-assessment-short-lived-climate-pollutants-latin-america-and-caribbean" </w:instrText>
      </w:r>
      <w:r>
        <w:rPr>
          <w:rStyle w:val="Hyperlink"/>
          <w:lang w:val="es-ES_tradnl"/>
        </w:rPr>
        <w:fldChar w:fldCharType="separate"/>
      </w:r>
      <w:r w:rsidRPr="00857451">
        <w:rPr>
          <w:rStyle w:val="Hyperlink"/>
          <w:lang w:val="en-US"/>
        </w:rPr>
        <w:t>http://ccacoalition.org/en/resources/integrated-assessment-short-lived-climate-pollutants-latin-america-and-caribbean</w:t>
      </w:r>
      <w:r>
        <w:rPr>
          <w:rStyle w:val="Hyperlink"/>
          <w:lang w:val="es-ES_tradnl"/>
        </w:rPr>
        <w:fldChar w:fldCharType="end"/>
      </w:r>
      <w:r w:rsidRPr="00857451">
        <w:rPr>
          <w:lang w:val="en-US"/>
        </w:rPr>
        <w:t xml:space="preserve"> </w:t>
      </w:r>
      <w:bookmarkEnd w:id="15"/>
    </w:p>
  </w:footnote>
  <w:footnote w:id="29">
    <w:p w14:paraId="35B7F190" w14:textId="478D6027" w:rsidR="00F05EDF" w:rsidRDefault="00F05EDF">
      <w:pPr>
        <w:pStyle w:val="FootnoteText"/>
      </w:pPr>
      <w:r>
        <w:rPr>
          <w:rStyle w:val="FootnoteReference"/>
        </w:rPr>
        <w:footnoteRef/>
      </w:r>
      <w:r>
        <w:t xml:space="preserve"> </w:t>
      </w:r>
      <w:r w:rsidRPr="00F05EDF">
        <w:t>Sistema de Planificación de Alternativas de Energía a Largo Plazo – Calculadora de Beneficios Integrada</w:t>
      </w:r>
    </w:p>
  </w:footnote>
  <w:footnote w:id="30">
    <w:p w14:paraId="43A80E7D" w14:textId="77777777" w:rsidR="00083989" w:rsidRPr="006A1224" w:rsidRDefault="00083989" w:rsidP="00125D82">
      <w:pPr>
        <w:pStyle w:val="FootnoteText"/>
        <w:rPr>
          <w:rFonts w:ascii="Roboto" w:hAnsi="Roboto"/>
          <w:sz w:val="16"/>
          <w:szCs w:val="16"/>
        </w:rPr>
      </w:pPr>
      <w:r w:rsidRPr="006A1224">
        <w:rPr>
          <w:rStyle w:val="FootnoteReference"/>
          <w:rFonts w:ascii="Roboto" w:hAnsi="Roboto"/>
        </w:rPr>
        <w:footnoteRef/>
      </w:r>
      <w:r w:rsidRPr="006A1224">
        <w:rPr>
          <w:rFonts w:ascii="Roboto" w:hAnsi="Roboto"/>
          <w:sz w:val="16"/>
          <w:szCs w:val="16"/>
        </w:rPr>
        <w:t xml:space="preserve"> </w:t>
      </w:r>
      <w:bookmarkStart w:id="16" w:name="_Hlk523826530"/>
      <w:r w:rsidRPr="006A1224">
        <w:rPr>
          <w:rFonts w:ascii="Roboto" w:hAnsi="Roboto" w:cs="Tahoma"/>
          <w:bCs/>
          <w:sz w:val="16"/>
          <w:szCs w:val="16"/>
        </w:rPr>
        <w:t>Argentina, Barbados, Brasil, Chile, Colombia, Costa Rica, República Dominicana, Ecuador, Granada, Guyana, Honduras, Panamá, Perú, Santa Lucía, Uruguay</w:t>
      </w:r>
      <w:bookmarkEnd w:id="16"/>
    </w:p>
  </w:footnote>
  <w:footnote w:id="31">
    <w:p w14:paraId="2140A70E" w14:textId="77777777" w:rsidR="00083989" w:rsidRPr="006A1224" w:rsidRDefault="00083989" w:rsidP="00125D82">
      <w:pPr>
        <w:pStyle w:val="FootnoteText"/>
        <w:rPr>
          <w:rStyle w:val="FootnoteReference"/>
          <w:rFonts w:ascii="Roboto" w:hAnsi="Roboto"/>
        </w:rPr>
      </w:pPr>
      <w:r w:rsidRPr="006A1224">
        <w:rPr>
          <w:rStyle w:val="FootnoteReference"/>
          <w:rFonts w:ascii="Roboto" w:hAnsi="Roboto"/>
        </w:rPr>
        <w:footnoteRef/>
      </w:r>
      <w:r w:rsidRPr="006A1224">
        <w:rPr>
          <w:rStyle w:val="FootnoteReference"/>
          <w:rFonts w:ascii="Roboto" w:hAnsi="Roboto"/>
        </w:rPr>
        <w:t xml:space="preserve"> </w:t>
      </w:r>
      <w:r w:rsidRPr="006A1224">
        <w:rPr>
          <w:rStyle w:val="FootnoteReference"/>
          <w:rFonts w:ascii="Roboto" w:hAnsi="Roboto"/>
        </w:rPr>
        <w:t>Antigua y Barbuda, Argentina, Aruba, Bahamas, Barbados, Belice, Islas Vírgenes Británicas, Chile, Colombia, Costa Rica, Dominica, Ecuador, Guyana, Haití, Panama, San Vicente y las Granadinas</w:t>
      </w:r>
    </w:p>
  </w:footnote>
  <w:footnote w:id="32">
    <w:p w14:paraId="48558F2A" w14:textId="77777777" w:rsidR="00083989" w:rsidRPr="006A1224" w:rsidRDefault="00083989" w:rsidP="00125D82">
      <w:pPr>
        <w:pStyle w:val="FootnoteText"/>
        <w:rPr>
          <w:rStyle w:val="FootnoteReference"/>
          <w:rFonts w:ascii="Roboto" w:hAnsi="Roboto"/>
        </w:rPr>
      </w:pPr>
      <w:r w:rsidRPr="006A1224">
        <w:rPr>
          <w:rStyle w:val="FootnoteReference"/>
          <w:rFonts w:ascii="Roboto" w:hAnsi="Roboto"/>
        </w:rPr>
        <w:footnoteRef/>
      </w:r>
      <w:r w:rsidRPr="006A1224">
        <w:rPr>
          <w:rStyle w:val="FootnoteReference"/>
          <w:rFonts w:ascii="Roboto" w:hAnsi="Roboto"/>
        </w:rPr>
        <w:t xml:space="preserve"> </w:t>
      </w:r>
      <w:r w:rsidRPr="006A1224">
        <w:rPr>
          <w:rStyle w:val="FootnoteReference"/>
          <w:rFonts w:ascii="Roboto" w:hAnsi="Roboto"/>
        </w:rPr>
        <w:t>Barbados, Islas Caimán, Jamaica</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BEC5C0" w14:textId="77777777" w:rsidR="00083989" w:rsidRPr="00434985" w:rsidRDefault="00083989" w:rsidP="002D426E">
    <w:pPr>
      <w:pStyle w:val="Header"/>
      <w:jc w:val="right"/>
      <w:rPr>
        <w:sz w:val="16"/>
      </w:rPr>
    </w:pPr>
    <w:r w:rsidRPr="00434985">
      <w:rPr>
        <w:rStyle w:val="Strong"/>
        <w:rFonts w:ascii="Roboto" w:hAnsi="Roboto"/>
        <w:color w:val="1E1E1E"/>
        <w:sz w:val="22"/>
        <w:szCs w:val="30"/>
        <w:shd w:val="clear" w:color="auto" w:fill="FFFFFF"/>
        <w:lang w:val="es-MX"/>
      </w:rPr>
      <w:t>UNEP/LAC-IGWG.</w:t>
    </w:r>
    <w:r w:rsidRPr="00434985">
      <w:rPr>
        <w:rStyle w:val="Strong"/>
        <w:rFonts w:ascii="Roboto" w:hAnsi="Roboto"/>
        <w:color w:val="1E1E1E"/>
        <w:sz w:val="22"/>
        <w:szCs w:val="30"/>
        <w:shd w:val="clear" w:color="auto" w:fill="FFFFFF"/>
        <w:lang w:val="en-US"/>
      </w:rPr>
      <w:t>XXI</w:t>
    </w:r>
    <w:r w:rsidRPr="00434985">
      <w:rPr>
        <w:rStyle w:val="Strong"/>
        <w:rFonts w:ascii="Roboto" w:hAnsi="Roboto"/>
        <w:color w:val="1E1E1E"/>
        <w:sz w:val="22"/>
        <w:szCs w:val="30"/>
        <w:shd w:val="clear" w:color="auto" w:fill="FFFFFF"/>
      </w:rPr>
      <w:t> </w:t>
    </w:r>
    <w:r w:rsidRPr="00434985">
      <w:rPr>
        <w:rStyle w:val="Strong"/>
        <w:rFonts w:ascii="Roboto" w:hAnsi="Roboto"/>
        <w:color w:val="1E1E1E"/>
        <w:sz w:val="22"/>
        <w:szCs w:val="30"/>
        <w:shd w:val="clear" w:color="auto" w:fill="FFFFFF"/>
        <w:lang w:val="es-MX"/>
      </w:rPr>
      <w:t>/3</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8E12BB" w14:textId="77777777" w:rsidR="00083989" w:rsidRDefault="00083989">
    <w:pPr>
      <w:pStyle w:val="Header"/>
    </w:pPr>
    <w:r>
      <w:rPr>
        <w:noProof/>
        <w:lang w:val="en-US" w:eastAsia="en-US"/>
      </w:rPr>
      <w:drawing>
        <wp:anchor distT="0" distB="0" distL="114300" distR="114300" simplePos="0" relativeHeight="251659264" behindDoc="1" locked="0" layoutInCell="1" allowOverlap="1" wp14:anchorId="7BB368EF" wp14:editId="5838A845">
          <wp:simplePos x="0" y="0"/>
          <wp:positionH relativeFrom="page">
            <wp:posOffset>5591175</wp:posOffset>
          </wp:positionH>
          <wp:positionV relativeFrom="margin">
            <wp:align>top</wp:align>
          </wp:positionV>
          <wp:extent cx="1801368" cy="1228344"/>
          <wp:effectExtent l="0" t="0" r="889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Environment_Logo_Spanish_Full_colour.png"/>
                  <pic:cNvPicPr/>
                </pic:nvPicPr>
                <pic:blipFill>
                  <a:blip r:embed="rId1">
                    <a:extLst>
                      <a:ext uri="{28A0092B-C50C-407E-A947-70E740481C1C}">
                        <a14:useLocalDpi xmlns:a14="http://schemas.microsoft.com/office/drawing/2010/main" val="0"/>
                      </a:ext>
                    </a:extLst>
                  </a:blip>
                  <a:stretch>
                    <a:fillRect/>
                  </a:stretch>
                </pic:blipFill>
                <pic:spPr>
                  <a:xfrm>
                    <a:off x="0" y="0"/>
                    <a:ext cx="1801368" cy="1228344"/>
                  </a:xfrm>
                  <a:prstGeom prst="rect">
                    <a:avLst/>
                  </a:prstGeom>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D4CB2"/>
    <w:multiLevelType w:val="hybridMultilevel"/>
    <w:tmpl w:val="1088899E"/>
    <w:lvl w:ilvl="0" w:tplc="180A0015">
      <w:start w:val="1"/>
      <w:numFmt w:val="upperLetter"/>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0C269D"/>
    <w:multiLevelType w:val="hybridMultilevel"/>
    <w:tmpl w:val="10222816"/>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
    <w:nsid w:val="08A12A2C"/>
    <w:multiLevelType w:val="hybridMultilevel"/>
    <w:tmpl w:val="1C042B72"/>
    <w:lvl w:ilvl="0" w:tplc="180A0019">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3">
    <w:nsid w:val="10B64A9E"/>
    <w:multiLevelType w:val="hybridMultilevel"/>
    <w:tmpl w:val="D756B500"/>
    <w:lvl w:ilvl="0" w:tplc="180A0019">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2F61C40"/>
    <w:multiLevelType w:val="hybridMultilevel"/>
    <w:tmpl w:val="B5AAC238"/>
    <w:lvl w:ilvl="0" w:tplc="180A0019">
      <w:start w:val="1"/>
      <w:numFmt w:val="lowerLetter"/>
      <w:lvlText w:val="%1."/>
      <w:lvlJc w:val="left"/>
      <w:pPr>
        <w:ind w:left="170" w:firstLine="1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96851AE"/>
    <w:multiLevelType w:val="hybridMultilevel"/>
    <w:tmpl w:val="84E27416"/>
    <w:lvl w:ilvl="0" w:tplc="180A0019">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6">
    <w:nsid w:val="19C67DDA"/>
    <w:multiLevelType w:val="hybridMultilevel"/>
    <w:tmpl w:val="2A627CC8"/>
    <w:lvl w:ilvl="0" w:tplc="9E6E8D90">
      <w:start w:val="1"/>
      <w:numFmt w:val="lowerLetter"/>
      <w:lvlText w:val="%1."/>
      <w:lvlJc w:val="left"/>
      <w:pPr>
        <w:ind w:left="720" w:hanging="360"/>
      </w:pPr>
      <w:rPr>
        <w:rFonts w:hint="default"/>
        <w:sz w:val="22"/>
        <w:szCs w:val="22"/>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7">
    <w:nsid w:val="1EB52D2F"/>
    <w:multiLevelType w:val="hybridMultilevel"/>
    <w:tmpl w:val="C20021E8"/>
    <w:lvl w:ilvl="0" w:tplc="4F40BD60">
      <w:start w:val="1"/>
      <w:numFmt w:val="decimal"/>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8">
    <w:nsid w:val="20970364"/>
    <w:multiLevelType w:val="hybridMultilevel"/>
    <w:tmpl w:val="95B85D94"/>
    <w:lvl w:ilvl="0" w:tplc="180A0019">
      <w:start w:val="1"/>
      <w:numFmt w:val="lowerLetter"/>
      <w:lvlText w:val="%1."/>
      <w:lvlJc w:val="left"/>
      <w:pPr>
        <w:ind w:left="644" w:hanging="360"/>
      </w:pPr>
    </w:lvl>
    <w:lvl w:ilvl="1" w:tplc="180A0019" w:tentative="1">
      <w:start w:val="1"/>
      <w:numFmt w:val="lowerLetter"/>
      <w:lvlText w:val="%2."/>
      <w:lvlJc w:val="left"/>
      <w:pPr>
        <w:ind w:left="1364" w:hanging="360"/>
      </w:pPr>
    </w:lvl>
    <w:lvl w:ilvl="2" w:tplc="180A001B" w:tentative="1">
      <w:start w:val="1"/>
      <w:numFmt w:val="lowerRoman"/>
      <w:lvlText w:val="%3."/>
      <w:lvlJc w:val="right"/>
      <w:pPr>
        <w:ind w:left="2084" w:hanging="180"/>
      </w:pPr>
    </w:lvl>
    <w:lvl w:ilvl="3" w:tplc="180A000F" w:tentative="1">
      <w:start w:val="1"/>
      <w:numFmt w:val="decimal"/>
      <w:lvlText w:val="%4."/>
      <w:lvlJc w:val="left"/>
      <w:pPr>
        <w:ind w:left="2804" w:hanging="360"/>
      </w:pPr>
    </w:lvl>
    <w:lvl w:ilvl="4" w:tplc="180A0019" w:tentative="1">
      <w:start w:val="1"/>
      <w:numFmt w:val="lowerLetter"/>
      <w:lvlText w:val="%5."/>
      <w:lvlJc w:val="left"/>
      <w:pPr>
        <w:ind w:left="3524" w:hanging="360"/>
      </w:pPr>
    </w:lvl>
    <w:lvl w:ilvl="5" w:tplc="180A001B" w:tentative="1">
      <w:start w:val="1"/>
      <w:numFmt w:val="lowerRoman"/>
      <w:lvlText w:val="%6."/>
      <w:lvlJc w:val="right"/>
      <w:pPr>
        <w:ind w:left="4244" w:hanging="180"/>
      </w:pPr>
    </w:lvl>
    <w:lvl w:ilvl="6" w:tplc="180A000F" w:tentative="1">
      <w:start w:val="1"/>
      <w:numFmt w:val="decimal"/>
      <w:lvlText w:val="%7."/>
      <w:lvlJc w:val="left"/>
      <w:pPr>
        <w:ind w:left="4964" w:hanging="360"/>
      </w:pPr>
    </w:lvl>
    <w:lvl w:ilvl="7" w:tplc="180A0019" w:tentative="1">
      <w:start w:val="1"/>
      <w:numFmt w:val="lowerLetter"/>
      <w:lvlText w:val="%8."/>
      <w:lvlJc w:val="left"/>
      <w:pPr>
        <w:ind w:left="5684" w:hanging="360"/>
      </w:pPr>
    </w:lvl>
    <w:lvl w:ilvl="8" w:tplc="180A001B" w:tentative="1">
      <w:start w:val="1"/>
      <w:numFmt w:val="lowerRoman"/>
      <w:lvlText w:val="%9."/>
      <w:lvlJc w:val="right"/>
      <w:pPr>
        <w:ind w:left="6404" w:hanging="180"/>
      </w:pPr>
    </w:lvl>
  </w:abstractNum>
  <w:abstractNum w:abstractNumId="9">
    <w:nsid w:val="22C22A56"/>
    <w:multiLevelType w:val="hybridMultilevel"/>
    <w:tmpl w:val="D67E19B2"/>
    <w:lvl w:ilvl="0" w:tplc="3A146E30">
      <w:start w:val="78"/>
      <w:numFmt w:val="decimal"/>
      <w:lvlText w:val="%1."/>
      <w:lvlJc w:val="left"/>
      <w:pPr>
        <w:ind w:left="360" w:hanging="360"/>
      </w:pPr>
      <w:rPr>
        <w:rFonts w:hint="default"/>
        <w:b/>
      </w:rPr>
    </w:lvl>
    <w:lvl w:ilvl="1" w:tplc="180A0019" w:tentative="1">
      <w:start w:val="1"/>
      <w:numFmt w:val="lowerLetter"/>
      <w:lvlText w:val="%2."/>
      <w:lvlJc w:val="left"/>
      <w:pPr>
        <w:ind w:left="1080" w:hanging="360"/>
      </w:pPr>
    </w:lvl>
    <w:lvl w:ilvl="2" w:tplc="180A001B" w:tentative="1">
      <w:start w:val="1"/>
      <w:numFmt w:val="lowerRoman"/>
      <w:lvlText w:val="%3."/>
      <w:lvlJc w:val="right"/>
      <w:pPr>
        <w:ind w:left="1800" w:hanging="180"/>
      </w:pPr>
    </w:lvl>
    <w:lvl w:ilvl="3" w:tplc="180A000F" w:tentative="1">
      <w:start w:val="1"/>
      <w:numFmt w:val="decimal"/>
      <w:lvlText w:val="%4."/>
      <w:lvlJc w:val="left"/>
      <w:pPr>
        <w:ind w:left="2520" w:hanging="360"/>
      </w:pPr>
    </w:lvl>
    <w:lvl w:ilvl="4" w:tplc="180A0019" w:tentative="1">
      <w:start w:val="1"/>
      <w:numFmt w:val="lowerLetter"/>
      <w:lvlText w:val="%5."/>
      <w:lvlJc w:val="left"/>
      <w:pPr>
        <w:ind w:left="3240" w:hanging="360"/>
      </w:pPr>
    </w:lvl>
    <w:lvl w:ilvl="5" w:tplc="180A001B" w:tentative="1">
      <w:start w:val="1"/>
      <w:numFmt w:val="lowerRoman"/>
      <w:lvlText w:val="%6."/>
      <w:lvlJc w:val="right"/>
      <w:pPr>
        <w:ind w:left="3960" w:hanging="180"/>
      </w:pPr>
    </w:lvl>
    <w:lvl w:ilvl="6" w:tplc="180A000F" w:tentative="1">
      <w:start w:val="1"/>
      <w:numFmt w:val="decimal"/>
      <w:lvlText w:val="%7."/>
      <w:lvlJc w:val="left"/>
      <w:pPr>
        <w:ind w:left="4680" w:hanging="360"/>
      </w:pPr>
    </w:lvl>
    <w:lvl w:ilvl="7" w:tplc="180A0019" w:tentative="1">
      <w:start w:val="1"/>
      <w:numFmt w:val="lowerLetter"/>
      <w:lvlText w:val="%8."/>
      <w:lvlJc w:val="left"/>
      <w:pPr>
        <w:ind w:left="5400" w:hanging="360"/>
      </w:pPr>
    </w:lvl>
    <w:lvl w:ilvl="8" w:tplc="180A001B" w:tentative="1">
      <w:start w:val="1"/>
      <w:numFmt w:val="lowerRoman"/>
      <w:lvlText w:val="%9."/>
      <w:lvlJc w:val="right"/>
      <w:pPr>
        <w:ind w:left="6120" w:hanging="180"/>
      </w:pPr>
    </w:lvl>
  </w:abstractNum>
  <w:abstractNum w:abstractNumId="10">
    <w:nsid w:val="24EB0C26"/>
    <w:multiLevelType w:val="hybridMultilevel"/>
    <w:tmpl w:val="76400B7C"/>
    <w:lvl w:ilvl="0" w:tplc="180A0019">
      <w:start w:val="1"/>
      <w:numFmt w:val="lowerLetter"/>
      <w:lvlText w:val="%1."/>
      <w:lvlJc w:val="left"/>
      <w:pPr>
        <w:ind w:left="720" w:hanging="360"/>
      </w:pPr>
      <w:rPr>
        <w:rFonts w:hint="default"/>
      </w:rPr>
    </w:lvl>
    <w:lvl w:ilvl="1" w:tplc="180A0011">
      <w:start w:val="1"/>
      <w:numFmt w:val="decimal"/>
      <w:lvlText w:val="%2)"/>
      <w:lvlJc w:val="left"/>
      <w:pPr>
        <w:ind w:left="1440" w:hanging="360"/>
      </w:pPr>
      <w:rPr>
        <w:rFonts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1">
    <w:nsid w:val="25891FA6"/>
    <w:multiLevelType w:val="hybridMultilevel"/>
    <w:tmpl w:val="BABAE36C"/>
    <w:lvl w:ilvl="0" w:tplc="716C9658">
      <w:start w:val="86"/>
      <w:numFmt w:val="decimal"/>
      <w:lvlText w:val="%1."/>
      <w:lvlJc w:val="left"/>
      <w:pPr>
        <w:ind w:left="360" w:hanging="360"/>
      </w:pPr>
      <w:rPr>
        <w:rFonts w:hint="default"/>
        <w:b/>
        <w:color w:val="auto"/>
      </w:rPr>
    </w:lvl>
    <w:lvl w:ilvl="1" w:tplc="180A0019">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2">
    <w:nsid w:val="27E5461B"/>
    <w:multiLevelType w:val="hybridMultilevel"/>
    <w:tmpl w:val="8700B410"/>
    <w:lvl w:ilvl="0" w:tplc="F96ADAB6">
      <w:start w:val="1"/>
      <w:numFmt w:val="decimal"/>
      <w:lvlText w:val="%1."/>
      <w:lvlJc w:val="left"/>
      <w:pPr>
        <w:ind w:left="720" w:hanging="360"/>
      </w:pPr>
      <w:rPr>
        <w:rFonts w:hint="default"/>
        <w:b/>
        <w:color w:val="auto"/>
        <w:vertAlign w:val="baseline"/>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29FB4353"/>
    <w:multiLevelType w:val="hybridMultilevel"/>
    <w:tmpl w:val="0E540B02"/>
    <w:lvl w:ilvl="0" w:tplc="180A0019">
      <w:start w:val="1"/>
      <w:numFmt w:val="lowerLetter"/>
      <w:lvlText w:val="%1."/>
      <w:lvlJc w:val="left"/>
      <w:pPr>
        <w:ind w:left="360" w:hanging="360"/>
      </w:pPr>
      <w:rPr>
        <w:rFonts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4">
    <w:nsid w:val="2AFA738E"/>
    <w:multiLevelType w:val="hybridMultilevel"/>
    <w:tmpl w:val="3B989018"/>
    <w:lvl w:ilvl="0" w:tplc="180A0015">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E1C1B26"/>
    <w:multiLevelType w:val="hybridMultilevel"/>
    <w:tmpl w:val="65EEEFAC"/>
    <w:lvl w:ilvl="0" w:tplc="180A0019">
      <w:start w:val="1"/>
      <w:numFmt w:val="lowerLetter"/>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6">
    <w:nsid w:val="2F1D200D"/>
    <w:multiLevelType w:val="hybridMultilevel"/>
    <w:tmpl w:val="7D6E86D0"/>
    <w:lvl w:ilvl="0" w:tplc="5FBC0C76">
      <w:start w:val="1"/>
      <w:numFmt w:val="lowerLetter"/>
      <w:lvlText w:val="%1."/>
      <w:lvlJc w:val="left"/>
      <w:pPr>
        <w:ind w:left="720" w:hanging="360"/>
      </w:pPr>
      <w:rPr>
        <w:rFonts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F9C3830"/>
    <w:multiLevelType w:val="hybridMultilevel"/>
    <w:tmpl w:val="99CCC756"/>
    <w:lvl w:ilvl="0" w:tplc="180A0019">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8">
    <w:nsid w:val="38585856"/>
    <w:multiLevelType w:val="hybridMultilevel"/>
    <w:tmpl w:val="70222034"/>
    <w:lvl w:ilvl="0" w:tplc="340A0001">
      <w:numFmt w:val="bullet"/>
      <w:lvlText w:val=""/>
      <w:lvlJc w:val="left"/>
      <w:pPr>
        <w:ind w:left="720" w:hanging="360"/>
      </w:pPr>
      <w:rPr>
        <w:rFonts w:ascii="Symbol" w:eastAsia="Times New Roman" w:hAnsi="Symbol" w:cs="Times New Roman"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nsid w:val="410D47B4"/>
    <w:multiLevelType w:val="hybridMultilevel"/>
    <w:tmpl w:val="4DFC0C64"/>
    <w:lvl w:ilvl="0" w:tplc="F96ADAB6">
      <w:start w:val="1"/>
      <w:numFmt w:val="decimal"/>
      <w:lvlText w:val="%1."/>
      <w:lvlJc w:val="left"/>
      <w:pPr>
        <w:ind w:left="360" w:hanging="360"/>
      </w:pPr>
      <w:rPr>
        <w:b/>
        <w:color w:val="auto"/>
        <w:vertAlign w:val="baseline"/>
      </w:rPr>
    </w:lvl>
    <w:lvl w:ilvl="1" w:tplc="180A0019" w:tentative="1">
      <w:start w:val="1"/>
      <w:numFmt w:val="lowerLetter"/>
      <w:lvlText w:val="%2."/>
      <w:lvlJc w:val="left"/>
      <w:pPr>
        <w:ind w:left="1080" w:hanging="360"/>
      </w:pPr>
    </w:lvl>
    <w:lvl w:ilvl="2" w:tplc="180A001B" w:tentative="1">
      <w:start w:val="1"/>
      <w:numFmt w:val="lowerRoman"/>
      <w:lvlText w:val="%3."/>
      <w:lvlJc w:val="right"/>
      <w:pPr>
        <w:ind w:left="1800" w:hanging="180"/>
      </w:pPr>
    </w:lvl>
    <w:lvl w:ilvl="3" w:tplc="180A000F" w:tentative="1">
      <w:start w:val="1"/>
      <w:numFmt w:val="decimal"/>
      <w:lvlText w:val="%4."/>
      <w:lvlJc w:val="left"/>
      <w:pPr>
        <w:ind w:left="2520" w:hanging="360"/>
      </w:pPr>
    </w:lvl>
    <w:lvl w:ilvl="4" w:tplc="180A0019" w:tentative="1">
      <w:start w:val="1"/>
      <w:numFmt w:val="lowerLetter"/>
      <w:lvlText w:val="%5."/>
      <w:lvlJc w:val="left"/>
      <w:pPr>
        <w:ind w:left="3240" w:hanging="360"/>
      </w:pPr>
    </w:lvl>
    <w:lvl w:ilvl="5" w:tplc="180A001B" w:tentative="1">
      <w:start w:val="1"/>
      <w:numFmt w:val="lowerRoman"/>
      <w:lvlText w:val="%6."/>
      <w:lvlJc w:val="right"/>
      <w:pPr>
        <w:ind w:left="3960" w:hanging="180"/>
      </w:pPr>
    </w:lvl>
    <w:lvl w:ilvl="6" w:tplc="180A000F" w:tentative="1">
      <w:start w:val="1"/>
      <w:numFmt w:val="decimal"/>
      <w:lvlText w:val="%7."/>
      <w:lvlJc w:val="left"/>
      <w:pPr>
        <w:ind w:left="4680" w:hanging="360"/>
      </w:pPr>
    </w:lvl>
    <w:lvl w:ilvl="7" w:tplc="180A0019" w:tentative="1">
      <w:start w:val="1"/>
      <w:numFmt w:val="lowerLetter"/>
      <w:lvlText w:val="%8."/>
      <w:lvlJc w:val="left"/>
      <w:pPr>
        <w:ind w:left="5400" w:hanging="360"/>
      </w:pPr>
    </w:lvl>
    <w:lvl w:ilvl="8" w:tplc="180A001B" w:tentative="1">
      <w:start w:val="1"/>
      <w:numFmt w:val="lowerRoman"/>
      <w:lvlText w:val="%9."/>
      <w:lvlJc w:val="right"/>
      <w:pPr>
        <w:ind w:left="6120" w:hanging="180"/>
      </w:pPr>
    </w:lvl>
  </w:abstractNum>
  <w:abstractNum w:abstractNumId="20">
    <w:nsid w:val="4DDA714B"/>
    <w:multiLevelType w:val="hybridMultilevel"/>
    <w:tmpl w:val="A754B7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742F88"/>
    <w:multiLevelType w:val="hybridMultilevel"/>
    <w:tmpl w:val="85E04458"/>
    <w:lvl w:ilvl="0" w:tplc="180A0017">
      <w:start w:val="1"/>
      <w:numFmt w:val="lowerLetter"/>
      <w:lvlText w:val="%1)"/>
      <w:lvlJc w:val="left"/>
      <w:pPr>
        <w:ind w:left="720" w:hanging="360"/>
      </w:pPr>
    </w:lvl>
    <w:lvl w:ilvl="1" w:tplc="180A0019">
      <w:start w:val="1"/>
      <w:numFmt w:val="lowerLetter"/>
      <w:lvlText w:val="%2."/>
      <w:lvlJc w:val="left"/>
      <w:pPr>
        <w:ind w:left="643" w:hanging="360"/>
      </w:pPr>
    </w:lvl>
    <w:lvl w:ilvl="2" w:tplc="180A001B">
      <w:start w:val="1"/>
      <w:numFmt w:val="lowerRoman"/>
      <w:lvlText w:val="%3."/>
      <w:lvlJc w:val="right"/>
      <w:pPr>
        <w:ind w:left="2160" w:hanging="180"/>
      </w:pPr>
    </w:lvl>
    <w:lvl w:ilvl="3" w:tplc="180A000F">
      <w:start w:val="1"/>
      <w:numFmt w:val="decimal"/>
      <w:lvlText w:val="%4."/>
      <w:lvlJc w:val="left"/>
      <w:pPr>
        <w:ind w:left="2880" w:hanging="360"/>
      </w:pPr>
    </w:lvl>
    <w:lvl w:ilvl="4" w:tplc="180A0019">
      <w:start w:val="1"/>
      <w:numFmt w:val="lowerLetter"/>
      <w:lvlText w:val="%5."/>
      <w:lvlJc w:val="left"/>
      <w:pPr>
        <w:ind w:left="3600" w:hanging="360"/>
      </w:pPr>
    </w:lvl>
    <w:lvl w:ilvl="5" w:tplc="180A001B">
      <w:start w:val="1"/>
      <w:numFmt w:val="lowerRoman"/>
      <w:lvlText w:val="%6."/>
      <w:lvlJc w:val="right"/>
      <w:pPr>
        <w:ind w:left="4320" w:hanging="180"/>
      </w:pPr>
    </w:lvl>
    <w:lvl w:ilvl="6" w:tplc="180A000F">
      <w:start w:val="1"/>
      <w:numFmt w:val="decimal"/>
      <w:lvlText w:val="%7."/>
      <w:lvlJc w:val="left"/>
      <w:pPr>
        <w:ind w:left="5040" w:hanging="360"/>
      </w:pPr>
    </w:lvl>
    <w:lvl w:ilvl="7" w:tplc="180A0019">
      <w:start w:val="1"/>
      <w:numFmt w:val="lowerLetter"/>
      <w:lvlText w:val="%8."/>
      <w:lvlJc w:val="left"/>
      <w:pPr>
        <w:ind w:left="5760" w:hanging="360"/>
      </w:pPr>
    </w:lvl>
    <w:lvl w:ilvl="8" w:tplc="180A001B">
      <w:start w:val="1"/>
      <w:numFmt w:val="lowerRoman"/>
      <w:lvlText w:val="%9."/>
      <w:lvlJc w:val="right"/>
      <w:pPr>
        <w:ind w:left="6480" w:hanging="180"/>
      </w:pPr>
    </w:lvl>
  </w:abstractNum>
  <w:abstractNum w:abstractNumId="22">
    <w:nsid w:val="52B117D0"/>
    <w:multiLevelType w:val="hybridMultilevel"/>
    <w:tmpl w:val="1A42B000"/>
    <w:lvl w:ilvl="0" w:tplc="180A0019">
      <w:start w:val="1"/>
      <w:numFmt w:val="lowerLetter"/>
      <w:lvlText w:val="%1."/>
      <w:lvlJc w:val="left"/>
      <w:pPr>
        <w:ind w:left="644" w:hanging="360"/>
      </w:pPr>
    </w:lvl>
    <w:lvl w:ilvl="1" w:tplc="180A0019" w:tentative="1">
      <w:start w:val="1"/>
      <w:numFmt w:val="lowerLetter"/>
      <w:lvlText w:val="%2."/>
      <w:lvlJc w:val="left"/>
      <w:pPr>
        <w:ind w:left="1364" w:hanging="360"/>
      </w:pPr>
    </w:lvl>
    <w:lvl w:ilvl="2" w:tplc="180A001B" w:tentative="1">
      <w:start w:val="1"/>
      <w:numFmt w:val="lowerRoman"/>
      <w:lvlText w:val="%3."/>
      <w:lvlJc w:val="right"/>
      <w:pPr>
        <w:ind w:left="2084" w:hanging="180"/>
      </w:pPr>
    </w:lvl>
    <w:lvl w:ilvl="3" w:tplc="180A000F" w:tentative="1">
      <w:start w:val="1"/>
      <w:numFmt w:val="decimal"/>
      <w:lvlText w:val="%4."/>
      <w:lvlJc w:val="left"/>
      <w:pPr>
        <w:ind w:left="2804" w:hanging="360"/>
      </w:pPr>
    </w:lvl>
    <w:lvl w:ilvl="4" w:tplc="180A0019" w:tentative="1">
      <w:start w:val="1"/>
      <w:numFmt w:val="lowerLetter"/>
      <w:lvlText w:val="%5."/>
      <w:lvlJc w:val="left"/>
      <w:pPr>
        <w:ind w:left="3524" w:hanging="360"/>
      </w:pPr>
    </w:lvl>
    <w:lvl w:ilvl="5" w:tplc="180A001B" w:tentative="1">
      <w:start w:val="1"/>
      <w:numFmt w:val="lowerRoman"/>
      <w:lvlText w:val="%6."/>
      <w:lvlJc w:val="right"/>
      <w:pPr>
        <w:ind w:left="4244" w:hanging="180"/>
      </w:pPr>
    </w:lvl>
    <w:lvl w:ilvl="6" w:tplc="180A000F" w:tentative="1">
      <w:start w:val="1"/>
      <w:numFmt w:val="decimal"/>
      <w:lvlText w:val="%7."/>
      <w:lvlJc w:val="left"/>
      <w:pPr>
        <w:ind w:left="4964" w:hanging="360"/>
      </w:pPr>
    </w:lvl>
    <w:lvl w:ilvl="7" w:tplc="180A0019" w:tentative="1">
      <w:start w:val="1"/>
      <w:numFmt w:val="lowerLetter"/>
      <w:lvlText w:val="%8."/>
      <w:lvlJc w:val="left"/>
      <w:pPr>
        <w:ind w:left="5684" w:hanging="360"/>
      </w:pPr>
    </w:lvl>
    <w:lvl w:ilvl="8" w:tplc="180A001B" w:tentative="1">
      <w:start w:val="1"/>
      <w:numFmt w:val="lowerRoman"/>
      <w:lvlText w:val="%9."/>
      <w:lvlJc w:val="right"/>
      <w:pPr>
        <w:ind w:left="6404" w:hanging="180"/>
      </w:pPr>
    </w:lvl>
  </w:abstractNum>
  <w:abstractNum w:abstractNumId="23">
    <w:nsid w:val="552B2941"/>
    <w:multiLevelType w:val="hybridMultilevel"/>
    <w:tmpl w:val="44E0A8B6"/>
    <w:lvl w:ilvl="0" w:tplc="180A0019">
      <w:start w:val="1"/>
      <w:numFmt w:val="lowerLetter"/>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57C61E43"/>
    <w:multiLevelType w:val="hybridMultilevel"/>
    <w:tmpl w:val="1A42B000"/>
    <w:lvl w:ilvl="0" w:tplc="180A0019">
      <w:start w:val="1"/>
      <w:numFmt w:val="lowerLetter"/>
      <w:lvlText w:val="%1."/>
      <w:lvlJc w:val="left"/>
      <w:pPr>
        <w:ind w:left="644" w:hanging="360"/>
      </w:pPr>
    </w:lvl>
    <w:lvl w:ilvl="1" w:tplc="180A0019" w:tentative="1">
      <w:start w:val="1"/>
      <w:numFmt w:val="lowerLetter"/>
      <w:lvlText w:val="%2."/>
      <w:lvlJc w:val="left"/>
      <w:pPr>
        <w:ind w:left="1364" w:hanging="360"/>
      </w:pPr>
    </w:lvl>
    <w:lvl w:ilvl="2" w:tplc="180A001B" w:tentative="1">
      <w:start w:val="1"/>
      <w:numFmt w:val="lowerRoman"/>
      <w:lvlText w:val="%3."/>
      <w:lvlJc w:val="right"/>
      <w:pPr>
        <w:ind w:left="2084" w:hanging="180"/>
      </w:pPr>
    </w:lvl>
    <w:lvl w:ilvl="3" w:tplc="180A000F" w:tentative="1">
      <w:start w:val="1"/>
      <w:numFmt w:val="decimal"/>
      <w:lvlText w:val="%4."/>
      <w:lvlJc w:val="left"/>
      <w:pPr>
        <w:ind w:left="2804" w:hanging="360"/>
      </w:pPr>
    </w:lvl>
    <w:lvl w:ilvl="4" w:tplc="180A0019" w:tentative="1">
      <w:start w:val="1"/>
      <w:numFmt w:val="lowerLetter"/>
      <w:lvlText w:val="%5."/>
      <w:lvlJc w:val="left"/>
      <w:pPr>
        <w:ind w:left="3524" w:hanging="360"/>
      </w:pPr>
    </w:lvl>
    <w:lvl w:ilvl="5" w:tplc="180A001B" w:tentative="1">
      <w:start w:val="1"/>
      <w:numFmt w:val="lowerRoman"/>
      <w:lvlText w:val="%6."/>
      <w:lvlJc w:val="right"/>
      <w:pPr>
        <w:ind w:left="4244" w:hanging="180"/>
      </w:pPr>
    </w:lvl>
    <w:lvl w:ilvl="6" w:tplc="180A000F" w:tentative="1">
      <w:start w:val="1"/>
      <w:numFmt w:val="decimal"/>
      <w:lvlText w:val="%7."/>
      <w:lvlJc w:val="left"/>
      <w:pPr>
        <w:ind w:left="4964" w:hanging="360"/>
      </w:pPr>
    </w:lvl>
    <w:lvl w:ilvl="7" w:tplc="180A0019" w:tentative="1">
      <w:start w:val="1"/>
      <w:numFmt w:val="lowerLetter"/>
      <w:lvlText w:val="%8."/>
      <w:lvlJc w:val="left"/>
      <w:pPr>
        <w:ind w:left="5684" w:hanging="360"/>
      </w:pPr>
    </w:lvl>
    <w:lvl w:ilvl="8" w:tplc="180A001B" w:tentative="1">
      <w:start w:val="1"/>
      <w:numFmt w:val="lowerRoman"/>
      <w:lvlText w:val="%9."/>
      <w:lvlJc w:val="right"/>
      <w:pPr>
        <w:ind w:left="6404" w:hanging="180"/>
      </w:pPr>
    </w:lvl>
  </w:abstractNum>
  <w:abstractNum w:abstractNumId="25">
    <w:nsid w:val="5EA410E0"/>
    <w:multiLevelType w:val="hybridMultilevel"/>
    <w:tmpl w:val="41BA0E8E"/>
    <w:lvl w:ilvl="0" w:tplc="180A0019">
      <w:start w:val="1"/>
      <w:numFmt w:val="lowerLetter"/>
      <w:lvlText w:val="%1."/>
      <w:lvlJc w:val="left"/>
      <w:pPr>
        <w:ind w:left="720" w:hanging="360"/>
      </w:pPr>
      <w:rPr>
        <w:rFonts w:hint="default"/>
      </w:rPr>
    </w:lvl>
    <w:lvl w:ilvl="1" w:tplc="99C829EC">
      <w:numFmt w:val="bullet"/>
      <w:lvlText w:val="•"/>
      <w:lvlJc w:val="left"/>
      <w:pPr>
        <w:ind w:left="1785" w:hanging="705"/>
      </w:pPr>
      <w:rPr>
        <w:rFonts w:ascii="Robotto" w:eastAsiaTheme="minorHAnsi" w:hAnsi="Robotto"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28E2A3D"/>
    <w:multiLevelType w:val="hybridMultilevel"/>
    <w:tmpl w:val="01E6156A"/>
    <w:lvl w:ilvl="0" w:tplc="F5882DAA">
      <w:start w:val="78"/>
      <w:numFmt w:val="decimal"/>
      <w:lvlText w:val="%1."/>
      <w:lvlJc w:val="left"/>
      <w:pPr>
        <w:ind w:left="360" w:hanging="360"/>
      </w:pPr>
      <w:rPr>
        <w:rFonts w:hint="default"/>
        <w:b/>
      </w:rPr>
    </w:lvl>
    <w:lvl w:ilvl="1" w:tplc="180A0019" w:tentative="1">
      <w:start w:val="1"/>
      <w:numFmt w:val="lowerLetter"/>
      <w:lvlText w:val="%2."/>
      <w:lvlJc w:val="left"/>
      <w:pPr>
        <w:ind w:left="1080" w:hanging="360"/>
      </w:pPr>
    </w:lvl>
    <w:lvl w:ilvl="2" w:tplc="180A001B" w:tentative="1">
      <w:start w:val="1"/>
      <w:numFmt w:val="lowerRoman"/>
      <w:lvlText w:val="%3."/>
      <w:lvlJc w:val="right"/>
      <w:pPr>
        <w:ind w:left="1800" w:hanging="180"/>
      </w:pPr>
    </w:lvl>
    <w:lvl w:ilvl="3" w:tplc="180A000F" w:tentative="1">
      <w:start w:val="1"/>
      <w:numFmt w:val="decimal"/>
      <w:lvlText w:val="%4."/>
      <w:lvlJc w:val="left"/>
      <w:pPr>
        <w:ind w:left="2520" w:hanging="360"/>
      </w:pPr>
    </w:lvl>
    <w:lvl w:ilvl="4" w:tplc="180A0019" w:tentative="1">
      <w:start w:val="1"/>
      <w:numFmt w:val="lowerLetter"/>
      <w:lvlText w:val="%5."/>
      <w:lvlJc w:val="left"/>
      <w:pPr>
        <w:ind w:left="3240" w:hanging="360"/>
      </w:pPr>
    </w:lvl>
    <w:lvl w:ilvl="5" w:tplc="180A001B" w:tentative="1">
      <w:start w:val="1"/>
      <w:numFmt w:val="lowerRoman"/>
      <w:lvlText w:val="%6."/>
      <w:lvlJc w:val="right"/>
      <w:pPr>
        <w:ind w:left="3960" w:hanging="180"/>
      </w:pPr>
    </w:lvl>
    <w:lvl w:ilvl="6" w:tplc="180A000F" w:tentative="1">
      <w:start w:val="1"/>
      <w:numFmt w:val="decimal"/>
      <w:lvlText w:val="%7."/>
      <w:lvlJc w:val="left"/>
      <w:pPr>
        <w:ind w:left="4680" w:hanging="360"/>
      </w:pPr>
    </w:lvl>
    <w:lvl w:ilvl="7" w:tplc="180A0019" w:tentative="1">
      <w:start w:val="1"/>
      <w:numFmt w:val="lowerLetter"/>
      <w:lvlText w:val="%8."/>
      <w:lvlJc w:val="left"/>
      <w:pPr>
        <w:ind w:left="5400" w:hanging="360"/>
      </w:pPr>
    </w:lvl>
    <w:lvl w:ilvl="8" w:tplc="180A001B" w:tentative="1">
      <w:start w:val="1"/>
      <w:numFmt w:val="lowerRoman"/>
      <w:lvlText w:val="%9."/>
      <w:lvlJc w:val="right"/>
      <w:pPr>
        <w:ind w:left="6120" w:hanging="180"/>
      </w:pPr>
    </w:lvl>
  </w:abstractNum>
  <w:abstractNum w:abstractNumId="27">
    <w:nsid w:val="631C7A47"/>
    <w:multiLevelType w:val="hybridMultilevel"/>
    <w:tmpl w:val="91CE36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681839EB"/>
    <w:multiLevelType w:val="hybridMultilevel"/>
    <w:tmpl w:val="D088B07C"/>
    <w:lvl w:ilvl="0" w:tplc="B71C44AC">
      <w:start w:val="1"/>
      <w:numFmt w:val="lowerLetter"/>
      <w:lvlText w:val="%1."/>
      <w:lvlJc w:val="left"/>
      <w:pPr>
        <w:ind w:left="720" w:hanging="360"/>
      </w:pPr>
      <w:rPr>
        <w:rFonts w:hint="default"/>
        <w:b/>
        <w:u w:val="none"/>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9">
    <w:nsid w:val="6EE50713"/>
    <w:multiLevelType w:val="hybridMultilevel"/>
    <w:tmpl w:val="40F4626A"/>
    <w:lvl w:ilvl="0" w:tplc="180A0019">
      <w:start w:val="1"/>
      <w:numFmt w:val="lowerLetter"/>
      <w:lvlText w:val="%1."/>
      <w:lvlJc w:val="left"/>
      <w:pPr>
        <w:ind w:left="720" w:hanging="360"/>
      </w:pPr>
      <w:rPr>
        <w:rFonts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30">
    <w:nsid w:val="6FED3281"/>
    <w:multiLevelType w:val="hybridMultilevel"/>
    <w:tmpl w:val="60DADE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736B287E"/>
    <w:multiLevelType w:val="hybridMultilevel"/>
    <w:tmpl w:val="183041FE"/>
    <w:lvl w:ilvl="0" w:tplc="180A0019">
      <w:start w:val="1"/>
      <w:numFmt w:val="lowerLetter"/>
      <w:lvlText w:val="%1."/>
      <w:lvlJc w:val="left"/>
      <w:pPr>
        <w:ind w:left="1440" w:hanging="360"/>
      </w:pPr>
    </w:lvl>
    <w:lvl w:ilvl="1" w:tplc="180A0019" w:tentative="1">
      <w:start w:val="1"/>
      <w:numFmt w:val="lowerLetter"/>
      <w:lvlText w:val="%2."/>
      <w:lvlJc w:val="left"/>
      <w:pPr>
        <w:ind w:left="2160" w:hanging="360"/>
      </w:pPr>
    </w:lvl>
    <w:lvl w:ilvl="2" w:tplc="180A001B" w:tentative="1">
      <w:start w:val="1"/>
      <w:numFmt w:val="lowerRoman"/>
      <w:lvlText w:val="%3."/>
      <w:lvlJc w:val="right"/>
      <w:pPr>
        <w:ind w:left="2880" w:hanging="180"/>
      </w:pPr>
    </w:lvl>
    <w:lvl w:ilvl="3" w:tplc="180A000F" w:tentative="1">
      <w:start w:val="1"/>
      <w:numFmt w:val="decimal"/>
      <w:lvlText w:val="%4."/>
      <w:lvlJc w:val="left"/>
      <w:pPr>
        <w:ind w:left="3600" w:hanging="360"/>
      </w:pPr>
    </w:lvl>
    <w:lvl w:ilvl="4" w:tplc="180A0019" w:tentative="1">
      <w:start w:val="1"/>
      <w:numFmt w:val="lowerLetter"/>
      <w:lvlText w:val="%5."/>
      <w:lvlJc w:val="left"/>
      <w:pPr>
        <w:ind w:left="4320" w:hanging="360"/>
      </w:pPr>
    </w:lvl>
    <w:lvl w:ilvl="5" w:tplc="180A001B" w:tentative="1">
      <w:start w:val="1"/>
      <w:numFmt w:val="lowerRoman"/>
      <w:lvlText w:val="%6."/>
      <w:lvlJc w:val="right"/>
      <w:pPr>
        <w:ind w:left="5040" w:hanging="180"/>
      </w:pPr>
    </w:lvl>
    <w:lvl w:ilvl="6" w:tplc="180A000F" w:tentative="1">
      <w:start w:val="1"/>
      <w:numFmt w:val="decimal"/>
      <w:lvlText w:val="%7."/>
      <w:lvlJc w:val="left"/>
      <w:pPr>
        <w:ind w:left="5760" w:hanging="360"/>
      </w:pPr>
    </w:lvl>
    <w:lvl w:ilvl="7" w:tplc="180A0019" w:tentative="1">
      <w:start w:val="1"/>
      <w:numFmt w:val="lowerLetter"/>
      <w:lvlText w:val="%8."/>
      <w:lvlJc w:val="left"/>
      <w:pPr>
        <w:ind w:left="6480" w:hanging="360"/>
      </w:pPr>
    </w:lvl>
    <w:lvl w:ilvl="8" w:tplc="180A001B" w:tentative="1">
      <w:start w:val="1"/>
      <w:numFmt w:val="lowerRoman"/>
      <w:lvlText w:val="%9."/>
      <w:lvlJc w:val="right"/>
      <w:pPr>
        <w:ind w:left="7200" w:hanging="180"/>
      </w:pPr>
    </w:lvl>
  </w:abstractNum>
  <w:abstractNum w:abstractNumId="32">
    <w:nsid w:val="767F3CF6"/>
    <w:multiLevelType w:val="hybridMultilevel"/>
    <w:tmpl w:val="E674826A"/>
    <w:lvl w:ilvl="0" w:tplc="180A0019">
      <w:start w:val="1"/>
      <w:numFmt w:val="lowerLetter"/>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7943532A"/>
    <w:multiLevelType w:val="hybridMultilevel"/>
    <w:tmpl w:val="99CCC756"/>
    <w:lvl w:ilvl="0" w:tplc="180A0019">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34">
    <w:nsid w:val="7AA2698F"/>
    <w:multiLevelType w:val="hybridMultilevel"/>
    <w:tmpl w:val="AB3A576E"/>
    <w:lvl w:ilvl="0" w:tplc="180A0001">
      <w:start w:val="1"/>
      <w:numFmt w:val="bullet"/>
      <w:lvlText w:val=""/>
      <w:lvlJc w:val="left"/>
      <w:pPr>
        <w:ind w:left="720" w:hanging="360"/>
      </w:pPr>
      <w:rPr>
        <w:rFonts w:ascii="Symbol" w:hAnsi="Symbol" w:hint="default"/>
      </w:rPr>
    </w:lvl>
    <w:lvl w:ilvl="1" w:tplc="180A0003">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35">
    <w:nsid w:val="7AEB5807"/>
    <w:multiLevelType w:val="hybridMultilevel"/>
    <w:tmpl w:val="B1E65D18"/>
    <w:lvl w:ilvl="0" w:tplc="180A0019">
      <w:start w:val="1"/>
      <w:numFmt w:val="lowerLetter"/>
      <w:lvlText w:val="%1."/>
      <w:lvlJc w:val="left"/>
      <w:pPr>
        <w:ind w:left="360" w:hanging="360"/>
      </w:pPr>
      <w:rPr>
        <w:b/>
        <w:color w:val="auto"/>
        <w:vertAlign w:val="baseline"/>
      </w:rPr>
    </w:lvl>
    <w:lvl w:ilvl="1" w:tplc="180A0019" w:tentative="1">
      <w:start w:val="1"/>
      <w:numFmt w:val="lowerLetter"/>
      <w:lvlText w:val="%2."/>
      <w:lvlJc w:val="left"/>
      <w:pPr>
        <w:ind w:left="1080" w:hanging="360"/>
      </w:pPr>
    </w:lvl>
    <w:lvl w:ilvl="2" w:tplc="180A001B" w:tentative="1">
      <w:start w:val="1"/>
      <w:numFmt w:val="lowerRoman"/>
      <w:lvlText w:val="%3."/>
      <w:lvlJc w:val="right"/>
      <w:pPr>
        <w:ind w:left="1800" w:hanging="180"/>
      </w:pPr>
    </w:lvl>
    <w:lvl w:ilvl="3" w:tplc="180A000F" w:tentative="1">
      <w:start w:val="1"/>
      <w:numFmt w:val="decimal"/>
      <w:lvlText w:val="%4."/>
      <w:lvlJc w:val="left"/>
      <w:pPr>
        <w:ind w:left="2520" w:hanging="360"/>
      </w:pPr>
    </w:lvl>
    <w:lvl w:ilvl="4" w:tplc="180A0019" w:tentative="1">
      <w:start w:val="1"/>
      <w:numFmt w:val="lowerLetter"/>
      <w:lvlText w:val="%5."/>
      <w:lvlJc w:val="left"/>
      <w:pPr>
        <w:ind w:left="3240" w:hanging="360"/>
      </w:pPr>
    </w:lvl>
    <w:lvl w:ilvl="5" w:tplc="180A001B" w:tentative="1">
      <w:start w:val="1"/>
      <w:numFmt w:val="lowerRoman"/>
      <w:lvlText w:val="%6."/>
      <w:lvlJc w:val="right"/>
      <w:pPr>
        <w:ind w:left="3960" w:hanging="180"/>
      </w:pPr>
    </w:lvl>
    <w:lvl w:ilvl="6" w:tplc="180A000F" w:tentative="1">
      <w:start w:val="1"/>
      <w:numFmt w:val="decimal"/>
      <w:lvlText w:val="%7."/>
      <w:lvlJc w:val="left"/>
      <w:pPr>
        <w:ind w:left="4680" w:hanging="360"/>
      </w:pPr>
    </w:lvl>
    <w:lvl w:ilvl="7" w:tplc="180A0019" w:tentative="1">
      <w:start w:val="1"/>
      <w:numFmt w:val="lowerLetter"/>
      <w:lvlText w:val="%8."/>
      <w:lvlJc w:val="left"/>
      <w:pPr>
        <w:ind w:left="5400" w:hanging="360"/>
      </w:pPr>
    </w:lvl>
    <w:lvl w:ilvl="8" w:tplc="180A001B" w:tentative="1">
      <w:start w:val="1"/>
      <w:numFmt w:val="lowerRoman"/>
      <w:lvlText w:val="%9."/>
      <w:lvlJc w:val="right"/>
      <w:pPr>
        <w:ind w:left="6120" w:hanging="180"/>
      </w:pPr>
    </w:lvl>
  </w:abstractNum>
  <w:abstractNum w:abstractNumId="36">
    <w:nsid w:val="7B2763F3"/>
    <w:multiLevelType w:val="hybridMultilevel"/>
    <w:tmpl w:val="F9E8CFF0"/>
    <w:lvl w:ilvl="0" w:tplc="B9986E02">
      <w:start w:val="1"/>
      <w:numFmt w:val="lowerLetter"/>
      <w:lvlText w:val="%1."/>
      <w:lvlJc w:val="left"/>
      <w:pPr>
        <w:ind w:left="1080" w:hanging="72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BD43B2F"/>
    <w:multiLevelType w:val="hybridMultilevel"/>
    <w:tmpl w:val="9A320C2E"/>
    <w:lvl w:ilvl="0" w:tplc="659A483E">
      <w:start w:val="79"/>
      <w:numFmt w:val="decimal"/>
      <w:lvlText w:val="%1."/>
      <w:lvlJc w:val="left"/>
      <w:pPr>
        <w:ind w:left="360" w:hanging="360"/>
      </w:pPr>
      <w:rPr>
        <w:rFonts w:hint="default"/>
        <w:b/>
      </w:rPr>
    </w:lvl>
    <w:lvl w:ilvl="1" w:tplc="180A0019" w:tentative="1">
      <w:start w:val="1"/>
      <w:numFmt w:val="lowerLetter"/>
      <w:lvlText w:val="%2."/>
      <w:lvlJc w:val="left"/>
      <w:pPr>
        <w:ind w:left="720" w:hanging="360"/>
      </w:pPr>
    </w:lvl>
    <w:lvl w:ilvl="2" w:tplc="180A001B" w:tentative="1">
      <w:start w:val="1"/>
      <w:numFmt w:val="lowerRoman"/>
      <w:lvlText w:val="%3."/>
      <w:lvlJc w:val="right"/>
      <w:pPr>
        <w:ind w:left="1440" w:hanging="180"/>
      </w:pPr>
    </w:lvl>
    <w:lvl w:ilvl="3" w:tplc="180A000F" w:tentative="1">
      <w:start w:val="1"/>
      <w:numFmt w:val="decimal"/>
      <w:lvlText w:val="%4."/>
      <w:lvlJc w:val="left"/>
      <w:pPr>
        <w:ind w:left="2160" w:hanging="360"/>
      </w:pPr>
    </w:lvl>
    <w:lvl w:ilvl="4" w:tplc="180A0019" w:tentative="1">
      <w:start w:val="1"/>
      <w:numFmt w:val="lowerLetter"/>
      <w:lvlText w:val="%5."/>
      <w:lvlJc w:val="left"/>
      <w:pPr>
        <w:ind w:left="2880" w:hanging="360"/>
      </w:pPr>
    </w:lvl>
    <w:lvl w:ilvl="5" w:tplc="180A001B" w:tentative="1">
      <w:start w:val="1"/>
      <w:numFmt w:val="lowerRoman"/>
      <w:lvlText w:val="%6."/>
      <w:lvlJc w:val="right"/>
      <w:pPr>
        <w:ind w:left="3600" w:hanging="180"/>
      </w:pPr>
    </w:lvl>
    <w:lvl w:ilvl="6" w:tplc="180A000F" w:tentative="1">
      <w:start w:val="1"/>
      <w:numFmt w:val="decimal"/>
      <w:lvlText w:val="%7."/>
      <w:lvlJc w:val="left"/>
      <w:pPr>
        <w:ind w:left="4320" w:hanging="360"/>
      </w:pPr>
    </w:lvl>
    <w:lvl w:ilvl="7" w:tplc="180A0019" w:tentative="1">
      <w:start w:val="1"/>
      <w:numFmt w:val="lowerLetter"/>
      <w:lvlText w:val="%8."/>
      <w:lvlJc w:val="left"/>
      <w:pPr>
        <w:ind w:left="5040" w:hanging="360"/>
      </w:pPr>
    </w:lvl>
    <w:lvl w:ilvl="8" w:tplc="180A001B" w:tentative="1">
      <w:start w:val="1"/>
      <w:numFmt w:val="lowerRoman"/>
      <w:lvlText w:val="%9."/>
      <w:lvlJc w:val="right"/>
      <w:pPr>
        <w:ind w:left="5760" w:hanging="180"/>
      </w:pPr>
    </w:lvl>
  </w:abstractNum>
  <w:abstractNum w:abstractNumId="38">
    <w:nsid w:val="7C81287F"/>
    <w:multiLevelType w:val="hybridMultilevel"/>
    <w:tmpl w:val="807EF836"/>
    <w:lvl w:ilvl="0" w:tplc="180A0019">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39">
    <w:nsid w:val="7F5F2EDB"/>
    <w:multiLevelType w:val="hybridMultilevel"/>
    <w:tmpl w:val="9920060A"/>
    <w:lvl w:ilvl="0" w:tplc="180A0019">
      <w:start w:val="1"/>
      <w:numFmt w:val="lowerLetter"/>
      <w:lvlText w:val="%1."/>
      <w:lvlJc w:val="left"/>
      <w:pPr>
        <w:ind w:left="720" w:hanging="360"/>
      </w:pPr>
      <w:rPr>
        <w:rFonts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3"/>
  </w:num>
  <w:num w:numId="4">
    <w:abstractNumId w:val="19"/>
  </w:num>
  <w:num w:numId="5">
    <w:abstractNumId w:val="10"/>
  </w:num>
  <w:num w:numId="6">
    <w:abstractNumId w:val="14"/>
  </w:num>
  <w:num w:numId="7">
    <w:abstractNumId w:val="36"/>
  </w:num>
  <w:num w:numId="8">
    <w:abstractNumId w:val="0"/>
  </w:num>
  <w:num w:numId="9">
    <w:abstractNumId w:val="39"/>
  </w:num>
  <w:num w:numId="10">
    <w:abstractNumId w:val="6"/>
  </w:num>
  <w:num w:numId="11">
    <w:abstractNumId w:val="25"/>
  </w:num>
  <w:num w:numId="12">
    <w:abstractNumId w:val="16"/>
  </w:num>
  <w:num w:numId="13">
    <w:abstractNumId w:val="23"/>
  </w:num>
  <w:num w:numId="14">
    <w:abstractNumId w:val="32"/>
  </w:num>
  <w:num w:numId="15">
    <w:abstractNumId w:val="29"/>
  </w:num>
  <w:num w:numId="16">
    <w:abstractNumId w:val="9"/>
  </w:num>
  <w:num w:numId="17">
    <w:abstractNumId w:val="8"/>
  </w:num>
  <w:num w:numId="18">
    <w:abstractNumId w:val="22"/>
  </w:num>
  <w:num w:numId="19">
    <w:abstractNumId w:val="31"/>
  </w:num>
  <w:num w:numId="20">
    <w:abstractNumId w:val="17"/>
  </w:num>
  <w:num w:numId="21">
    <w:abstractNumId w:val="15"/>
  </w:num>
  <w:num w:numId="22">
    <w:abstractNumId w:val="33"/>
  </w:num>
  <w:num w:numId="23">
    <w:abstractNumId w:val="2"/>
  </w:num>
  <w:num w:numId="24">
    <w:abstractNumId w:val="38"/>
  </w:num>
  <w:num w:numId="25">
    <w:abstractNumId w:val="11"/>
  </w:num>
  <w:num w:numId="26">
    <w:abstractNumId w:val="26"/>
  </w:num>
  <w:num w:numId="27">
    <w:abstractNumId w:val="37"/>
  </w:num>
  <w:num w:numId="28">
    <w:abstractNumId w:val="24"/>
  </w:num>
  <w:num w:numId="29">
    <w:abstractNumId w:val="1"/>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 w:numId="33">
    <w:abstractNumId w:val="5"/>
  </w:num>
  <w:num w:numId="34">
    <w:abstractNumId w:val="18"/>
  </w:num>
  <w:num w:numId="35">
    <w:abstractNumId w:val="7"/>
  </w:num>
  <w:num w:numId="36">
    <w:abstractNumId w:val="34"/>
  </w:num>
  <w:num w:numId="37">
    <w:abstractNumId w:val="28"/>
  </w:num>
  <w:num w:numId="38">
    <w:abstractNumId w:val="20"/>
  </w:num>
  <w:num w:numId="39">
    <w:abstractNumId w:val="30"/>
  </w:num>
  <w:num w:numId="40">
    <w:abstractNumId w:val="27"/>
  </w:num>
  <w:num w:numId="41">
    <w:abstractNumId w:val="12"/>
  </w:num>
  <w:num w:numId="42">
    <w:abstractNumId w:val="3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3E"/>
    <w:rsid w:val="000002EA"/>
    <w:rsid w:val="00005B1D"/>
    <w:rsid w:val="0000659B"/>
    <w:rsid w:val="00014A24"/>
    <w:rsid w:val="00016544"/>
    <w:rsid w:val="000172E0"/>
    <w:rsid w:val="0001737F"/>
    <w:rsid w:val="00030B89"/>
    <w:rsid w:val="00033B63"/>
    <w:rsid w:val="000434BD"/>
    <w:rsid w:val="000451D0"/>
    <w:rsid w:val="00045744"/>
    <w:rsid w:val="00045BED"/>
    <w:rsid w:val="00051406"/>
    <w:rsid w:val="00052246"/>
    <w:rsid w:val="00057B58"/>
    <w:rsid w:val="000715CD"/>
    <w:rsid w:val="00072889"/>
    <w:rsid w:val="00073F9B"/>
    <w:rsid w:val="00076C2F"/>
    <w:rsid w:val="00077924"/>
    <w:rsid w:val="00083276"/>
    <w:rsid w:val="00083989"/>
    <w:rsid w:val="000904DB"/>
    <w:rsid w:val="00095A87"/>
    <w:rsid w:val="000977FE"/>
    <w:rsid w:val="000A39EA"/>
    <w:rsid w:val="000A5796"/>
    <w:rsid w:val="000A73EF"/>
    <w:rsid w:val="000B00F2"/>
    <w:rsid w:val="000B1439"/>
    <w:rsid w:val="000B1CC5"/>
    <w:rsid w:val="000B564D"/>
    <w:rsid w:val="000B57CA"/>
    <w:rsid w:val="000C07AA"/>
    <w:rsid w:val="000C4840"/>
    <w:rsid w:val="000D0150"/>
    <w:rsid w:val="000D2DBA"/>
    <w:rsid w:val="000D4606"/>
    <w:rsid w:val="000D6122"/>
    <w:rsid w:val="000E2964"/>
    <w:rsid w:val="000E72AD"/>
    <w:rsid w:val="000E7688"/>
    <w:rsid w:val="000F1C5A"/>
    <w:rsid w:val="000F5A57"/>
    <w:rsid w:val="0010131B"/>
    <w:rsid w:val="00101681"/>
    <w:rsid w:val="001153F8"/>
    <w:rsid w:val="00115EDC"/>
    <w:rsid w:val="00123232"/>
    <w:rsid w:val="00125D82"/>
    <w:rsid w:val="00135D5D"/>
    <w:rsid w:val="0013674B"/>
    <w:rsid w:val="0014204F"/>
    <w:rsid w:val="001422DB"/>
    <w:rsid w:val="00150BA5"/>
    <w:rsid w:val="001539F1"/>
    <w:rsid w:val="001539FE"/>
    <w:rsid w:val="001567B7"/>
    <w:rsid w:val="00162223"/>
    <w:rsid w:val="00162C6F"/>
    <w:rsid w:val="001632A9"/>
    <w:rsid w:val="001657A2"/>
    <w:rsid w:val="00166F79"/>
    <w:rsid w:val="0016749A"/>
    <w:rsid w:val="001704C3"/>
    <w:rsid w:val="00174063"/>
    <w:rsid w:val="001779D1"/>
    <w:rsid w:val="00194C08"/>
    <w:rsid w:val="0019520C"/>
    <w:rsid w:val="001A11B2"/>
    <w:rsid w:val="001A2451"/>
    <w:rsid w:val="001A46B2"/>
    <w:rsid w:val="001A5CD7"/>
    <w:rsid w:val="001B1BB7"/>
    <w:rsid w:val="001B1EE6"/>
    <w:rsid w:val="001B3F58"/>
    <w:rsid w:val="001C0FBB"/>
    <w:rsid w:val="001C21C8"/>
    <w:rsid w:val="001C2F18"/>
    <w:rsid w:val="001C31F0"/>
    <w:rsid w:val="001D19F4"/>
    <w:rsid w:val="001D3931"/>
    <w:rsid w:val="001D7358"/>
    <w:rsid w:val="001E1E84"/>
    <w:rsid w:val="001E2B5C"/>
    <w:rsid w:val="001E5A35"/>
    <w:rsid w:val="001E622E"/>
    <w:rsid w:val="001F178C"/>
    <w:rsid w:val="001F21EF"/>
    <w:rsid w:val="001F29F7"/>
    <w:rsid w:val="00205218"/>
    <w:rsid w:val="00206375"/>
    <w:rsid w:val="0021010E"/>
    <w:rsid w:val="00212941"/>
    <w:rsid w:val="00213F61"/>
    <w:rsid w:val="0021617F"/>
    <w:rsid w:val="002265A4"/>
    <w:rsid w:val="002265C1"/>
    <w:rsid w:val="00227674"/>
    <w:rsid w:val="00230B63"/>
    <w:rsid w:val="00240659"/>
    <w:rsid w:val="002424BB"/>
    <w:rsid w:val="00243BDD"/>
    <w:rsid w:val="002440E4"/>
    <w:rsid w:val="00245BD4"/>
    <w:rsid w:val="00251984"/>
    <w:rsid w:val="002547CA"/>
    <w:rsid w:val="00263237"/>
    <w:rsid w:val="0026715C"/>
    <w:rsid w:val="002676BC"/>
    <w:rsid w:val="0027216A"/>
    <w:rsid w:val="0027734B"/>
    <w:rsid w:val="00284994"/>
    <w:rsid w:val="0029166C"/>
    <w:rsid w:val="002919B2"/>
    <w:rsid w:val="00292415"/>
    <w:rsid w:val="00292CE1"/>
    <w:rsid w:val="00294930"/>
    <w:rsid w:val="00295C87"/>
    <w:rsid w:val="002A0830"/>
    <w:rsid w:val="002A2D87"/>
    <w:rsid w:val="002A7511"/>
    <w:rsid w:val="002B0797"/>
    <w:rsid w:val="002B499C"/>
    <w:rsid w:val="002D02A8"/>
    <w:rsid w:val="002D0EF2"/>
    <w:rsid w:val="002D426E"/>
    <w:rsid w:val="002E01DC"/>
    <w:rsid w:val="002E0417"/>
    <w:rsid w:val="002E1A53"/>
    <w:rsid w:val="002E3CDD"/>
    <w:rsid w:val="002E4CE4"/>
    <w:rsid w:val="002E69EC"/>
    <w:rsid w:val="002E7FC8"/>
    <w:rsid w:val="002F2750"/>
    <w:rsid w:val="002F30B1"/>
    <w:rsid w:val="003034EA"/>
    <w:rsid w:val="003040A7"/>
    <w:rsid w:val="00304B3C"/>
    <w:rsid w:val="003114FC"/>
    <w:rsid w:val="003142CA"/>
    <w:rsid w:val="00317797"/>
    <w:rsid w:val="003202C8"/>
    <w:rsid w:val="003227CF"/>
    <w:rsid w:val="00322AF3"/>
    <w:rsid w:val="00324916"/>
    <w:rsid w:val="00326BC4"/>
    <w:rsid w:val="00332B41"/>
    <w:rsid w:val="00333422"/>
    <w:rsid w:val="00333D23"/>
    <w:rsid w:val="00335AB0"/>
    <w:rsid w:val="00340859"/>
    <w:rsid w:val="00341262"/>
    <w:rsid w:val="00341AD2"/>
    <w:rsid w:val="00342283"/>
    <w:rsid w:val="00344DDF"/>
    <w:rsid w:val="003461EE"/>
    <w:rsid w:val="003465DD"/>
    <w:rsid w:val="00352995"/>
    <w:rsid w:val="003563F0"/>
    <w:rsid w:val="003578E1"/>
    <w:rsid w:val="00363171"/>
    <w:rsid w:val="00366949"/>
    <w:rsid w:val="00367C37"/>
    <w:rsid w:val="0037102A"/>
    <w:rsid w:val="00371479"/>
    <w:rsid w:val="00385572"/>
    <w:rsid w:val="003873F9"/>
    <w:rsid w:val="00387D3A"/>
    <w:rsid w:val="00390E3F"/>
    <w:rsid w:val="003B5514"/>
    <w:rsid w:val="003B7FAC"/>
    <w:rsid w:val="003D6500"/>
    <w:rsid w:val="003E1444"/>
    <w:rsid w:val="003E2040"/>
    <w:rsid w:val="003E23AC"/>
    <w:rsid w:val="003E6B4E"/>
    <w:rsid w:val="003E7857"/>
    <w:rsid w:val="003F0928"/>
    <w:rsid w:val="00402BF2"/>
    <w:rsid w:val="0040366E"/>
    <w:rsid w:val="004037E2"/>
    <w:rsid w:val="00403CB6"/>
    <w:rsid w:val="004124E5"/>
    <w:rsid w:val="0041371B"/>
    <w:rsid w:val="0041374F"/>
    <w:rsid w:val="004153C8"/>
    <w:rsid w:val="0042583A"/>
    <w:rsid w:val="00426EF7"/>
    <w:rsid w:val="0042786E"/>
    <w:rsid w:val="00431368"/>
    <w:rsid w:val="00434985"/>
    <w:rsid w:val="00443CA7"/>
    <w:rsid w:val="00443FB5"/>
    <w:rsid w:val="00446558"/>
    <w:rsid w:val="0045283A"/>
    <w:rsid w:val="00452FA5"/>
    <w:rsid w:val="0045320B"/>
    <w:rsid w:val="00453BB1"/>
    <w:rsid w:val="004571E5"/>
    <w:rsid w:val="00464815"/>
    <w:rsid w:val="0046769D"/>
    <w:rsid w:val="00472A7D"/>
    <w:rsid w:val="004756D5"/>
    <w:rsid w:val="00480A60"/>
    <w:rsid w:val="00482FBD"/>
    <w:rsid w:val="00485B62"/>
    <w:rsid w:val="00486981"/>
    <w:rsid w:val="00491CD2"/>
    <w:rsid w:val="004929B8"/>
    <w:rsid w:val="00493555"/>
    <w:rsid w:val="004935D0"/>
    <w:rsid w:val="004A2DF8"/>
    <w:rsid w:val="004A395D"/>
    <w:rsid w:val="004B0BD0"/>
    <w:rsid w:val="004B53B0"/>
    <w:rsid w:val="004B7390"/>
    <w:rsid w:val="004B7C2C"/>
    <w:rsid w:val="004C39F4"/>
    <w:rsid w:val="004C5B61"/>
    <w:rsid w:val="004C7E59"/>
    <w:rsid w:val="004D190E"/>
    <w:rsid w:val="004D6DD7"/>
    <w:rsid w:val="004E1907"/>
    <w:rsid w:val="004E4B63"/>
    <w:rsid w:val="004F27C1"/>
    <w:rsid w:val="004F3AD9"/>
    <w:rsid w:val="004F407E"/>
    <w:rsid w:val="004F4463"/>
    <w:rsid w:val="004F472F"/>
    <w:rsid w:val="004F6F14"/>
    <w:rsid w:val="0050178E"/>
    <w:rsid w:val="00501BEC"/>
    <w:rsid w:val="00501C9E"/>
    <w:rsid w:val="005026FF"/>
    <w:rsid w:val="005103FA"/>
    <w:rsid w:val="0051201B"/>
    <w:rsid w:val="005213CB"/>
    <w:rsid w:val="00522FB8"/>
    <w:rsid w:val="00530769"/>
    <w:rsid w:val="00532C93"/>
    <w:rsid w:val="00532FB1"/>
    <w:rsid w:val="005330FC"/>
    <w:rsid w:val="0053655A"/>
    <w:rsid w:val="00536FA8"/>
    <w:rsid w:val="00553593"/>
    <w:rsid w:val="005615A5"/>
    <w:rsid w:val="0056386C"/>
    <w:rsid w:val="00564EED"/>
    <w:rsid w:val="00566F40"/>
    <w:rsid w:val="0057305D"/>
    <w:rsid w:val="00574DCD"/>
    <w:rsid w:val="005762B9"/>
    <w:rsid w:val="005827DC"/>
    <w:rsid w:val="00586128"/>
    <w:rsid w:val="005949BC"/>
    <w:rsid w:val="0059641B"/>
    <w:rsid w:val="005A1BAF"/>
    <w:rsid w:val="005A58E4"/>
    <w:rsid w:val="005A63D1"/>
    <w:rsid w:val="005A6D9A"/>
    <w:rsid w:val="005B2194"/>
    <w:rsid w:val="005B3A76"/>
    <w:rsid w:val="005B4B91"/>
    <w:rsid w:val="005B5F9B"/>
    <w:rsid w:val="005B63A7"/>
    <w:rsid w:val="005C18F1"/>
    <w:rsid w:val="005C48DA"/>
    <w:rsid w:val="005D7035"/>
    <w:rsid w:val="005E07A0"/>
    <w:rsid w:val="005E3B81"/>
    <w:rsid w:val="005F0E04"/>
    <w:rsid w:val="005F2D5B"/>
    <w:rsid w:val="005F342C"/>
    <w:rsid w:val="005F47F4"/>
    <w:rsid w:val="005F53F1"/>
    <w:rsid w:val="005F791A"/>
    <w:rsid w:val="00600528"/>
    <w:rsid w:val="00604E27"/>
    <w:rsid w:val="00611891"/>
    <w:rsid w:val="006124FE"/>
    <w:rsid w:val="006143CA"/>
    <w:rsid w:val="00616EA1"/>
    <w:rsid w:val="00620CF5"/>
    <w:rsid w:val="006224EA"/>
    <w:rsid w:val="006229FF"/>
    <w:rsid w:val="00623A1F"/>
    <w:rsid w:val="00624141"/>
    <w:rsid w:val="00624FD6"/>
    <w:rsid w:val="00627772"/>
    <w:rsid w:val="00631A2B"/>
    <w:rsid w:val="00641EC7"/>
    <w:rsid w:val="00643973"/>
    <w:rsid w:val="00644A3B"/>
    <w:rsid w:val="0064573A"/>
    <w:rsid w:val="00646E89"/>
    <w:rsid w:val="00647EFD"/>
    <w:rsid w:val="00655C92"/>
    <w:rsid w:val="00661439"/>
    <w:rsid w:val="00665448"/>
    <w:rsid w:val="00665D7C"/>
    <w:rsid w:val="00670153"/>
    <w:rsid w:val="006754C6"/>
    <w:rsid w:val="00676B0C"/>
    <w:rsid w:val="006817BF"/>
    <w:rsid w:val="00681B03"/>
    <w:rsid w:val="006840A1"/>
    <w:rsid w:val="0068470B"/>
    <w:rsid w:val="00686E36"/>
    <w:rsid w:val="006923AF"/>
    <w:rsid w:val="0069462F"/>
    <w:rsid w:val="006957EB"/>
    <w:rsid w:val="0069618D"/>
    <w:rsid w:val="006A6C71"/>
    <w:rsid w:val="006A7F70"/>
    <w:rsid w:val="006B263D"/>
    <w:rsid w:val="006B384B"/>
    <w:rsid w:val="006B6E12"/>
    <w:rsid w:val="006B7065"/>
    <w:rsid w:val="006D0E14"/>
    <w:rsid w:val="006D162F"/>
    <w:rsid w:val="006E0A83"/>
    <w:rsid w:val="006E24D3"/>
    <w:rsid w:val="006E4135"/>
    <w:rsid w:val="006F1D2E"/>
    <w:rsid w:val="006F35D1"/>
    <w:rsid w:val="006F41AF"/>
    <w:rsid w:val="00700B77"/>
    <w:rsid w:val="00701278"/>
    <w:rsid w:val="007017DD"/>
    <w:rsid w:val="00703F3B"/>
    <w:rsid w:val="00705783"/>
    <w:rsid w:val="007076DF"/>
    <w:rsid w:val="0071224D"/>
    <w:rsid w:val="00712C63"/>
    <w:rsid w:val="00712EDE"/>
    <w:rsid w:val="00715B44"/>
    <w:rsid w:val="00723CD2"/>
    <w:rsid w:val="0073387B"/>
    <w:rsid w:val="00733DEF"/>
    <w:rsid w:val="00734067"/>
    <w:rsid w:val="00737B5A"/>
    <w:rsid w:val="00744F3F"/>
    <w:rsid w:val="0075323E"/>
    <w:rsid w:val="00754588"/>
    <w:rsid w:val="007554B4"/>
    <w:rsid w:val="00767098"/>
    <w:rsid w:val="0077177F"/>
    <w:rsid w:val="00773613"/>
    <w:rsid w:val="0077377E"/>
    <w:rsid w:val="007759E1"/>
    <w:rsid w:val="00782089"/>
    <w:rsid w:val="007825B9"/>
    <w:rsid w:val="0078266F"/>
    <w:rsid w:val="00782842"/>
    <w:rsid w:val="007843AD"/>
    <w:rsid w:val="00784FE8"/>
    <w:rsid w:val="00790DA0"/>
    <w:rsid w:val="00794052"/>
    <w:rsid w:val="00795058"/>
    <w:rsid w:val="007A31FC"/>
    <w:rsid w:val="007A3220"/>
    <w:rsid w:val="007A4D96"/>
    <w:rsid w:val="007A7055"/>
    <w:rsid w:val="007B1D4F"/>
    <w:rsid w:val="007B2138"/>
    <w:rsid w:val="007C1C90"/>
    <w:rsid w:val="007C4025"/>
    <w:rsid w:val="007C6860"/>
    <w:rsid w:val="007C77C5"/>
    <w:rsid w:val="007D508D"/>
    <w:rsid w:val="007D792C"/>
    <w:rsid w:val="007E30A6"/>
    <w:rsid w:val="007E43D3"/>
    <w:rsid w:val="007E5BB4"/>
    <w:rsid w:val="007E62AC"/>
    <w:rsid w:val="007F09C5"/>
    <w:rsid w:val="007F0D13"/>
    <w:rsid w:val="007F2F61"/>
    <w:rsid w:val="007F3B5F"/>
    <w:rsid w:val="007F7218"/>
    <w:rsid w:val="00805D21"/>
    <w:rsid w:val="00813674"/>
    <w:rsid w:val="008141FE"/>
    <w:rsid w:val="00816572"/>
    <w:rsid w:val="00825BB5"/>
    <w:rsid w:val="00826AC4"/>
    <w:rsid w:val="00827493"/>
    <w:rsid w:val="00834C13"/>
    <w:rsid w:val="008378BA"/>
    <w:rsid w:val="00840537"/>
    <w:rsid w:val="00845B15"/>
    <w:rsid w:val="00847499"/>
    <w:rsid w:val="00857451"/>
    <w:rsid w:val="008657E7"/>
    <w:rsid w:val="00866C94"/>
    <w:rsid w:val="00870578"/>
    <w:rsid w:val="00870A1B"/>
    <w:rsid w:val="0087565A"/>
    <w:rsid w:val="00891169"/>
    <w:rsid w:val="00893DBC"/>
    <w:rsid w:val="008A30AE"/>
    <w:rsid w:val="008B4518"/>
    <w:rsid w:val="008C6836"/>
    <w:rsid w:val="008D2A6F"/>
    <w:rsid w:val="008D4F9F"/>
    <w:rsid w:val="008E091D"/>
    <w:rsid w:val="008E3257"/>
    <w:rsid w:val="008E7DFB"/>
    <w:rsid w:val="008E7FD1"/>
    <w:rsid w:val="008F021F"/>
    <w:rsid w:val="008F5D32"/>
    <w:rsid w:val="008F7C6B"/>
    <w:rsid w:val="00901FC8"/>
    <w:rsid w:val="00904A32"/>
    <w:rsid w:val="009060ED"/>
    <w:rsid w:val="0090766D"/>
    <w:rsid w:val="0091009A"/>
    <w:rsid w:val="00913D7D"/>
    <w:rsid w:val="00917B06"/>
    <w:rsid w:val="00921096"/>
    <w:rsid w:val="00924967"/>
    <w:rsid w:val="00927A3B"/>
    <w:rsid w:val="00940521"/>
    <w:rsid w:val="0094243E"/>
    <w:rsid w:val="0094483B"/>
    <w:rsid w:val="0094774E"/>
    <w:rsid w:val="009477A0"/>
    <w:rsid w:val="00952CB6"/>
    <w:rsid w:val="0095603D"/>
    <w:rsid w:val="00956D22"/>
    <w:rsid w:val="00960EDA"/>
    <w:rsid w:val="009623AF"/>
    <w:rsid w:val="00964EED"/>
    <w:rsid w:val="00964FFF"/>
    <w:rsid w:val="0097125A"/>
    <w:rsid w:val="00976316"/>
    <w:rsid w:val="00981CF1"/>
    <w:rsid w:val="00983183"/>
    <w:rsid w:val="00984D73"/>
    <w:rsid w:val="00986CF0"/>
    <w:rsid w:val="009A6AF2"/>
    <w:rsid w:val="009A6C02"/>
    <w:rsid w:val="009B0EBF"/>
    <w:rsid w:val="009B35EA"/>
    <w:rsid w:val="009C20C5"/>
    <w:rsid w:val="009C2877"/>
    <w:rsid w:val="009C349D"/>
    <w:rsid w:val="009C5589"/>
    <w:rsid w:val="009D46A2"/>
    <w:rsid w:val="009D5442"/>
    <w:rsid w:val="009D5F63"/>
    <w:rsid w:val="009D7544"/>
    <w:rsid w:val="009E1AC3"/>
    <w:rsid w:val="009F33CD"/>
    <w:rsid w:val="009F3E31"/>
    <w:rsid w:val="009F546D"/>
    <w:rsid w:val="009F60B6"/>
    <w:rsid w:val="009F61A2"/>
    <w:rsid w:val="00A02E4F"/>
    <w:rsid w:val="00A034EF"/>
    <w:rsid w:val="00A03BE6"/>
    <w:rsid w:val="00A05239"/>
    <w:rsid w:val="00A05DBC"/>
    <w:rsid w:val="00A1252C"/>
    <w:rsid w:val="00A12813"/>
    <w:rsid w:val="00A142B7"/>
    <w:rsid w:val="00A15B9A"/>
    <w:rsid w:val="00A17617"/>
    <w:rsid w:val="00A23B75"/>
    <w:rsid w:val="00A2406E"/>
    <w:rsid w:val="00A24E96"/>
    <w:rsid w:val="00A2509E"/>
    <w:rsid w:val="00A25672"/>
    <w:rsid w:val="00A264E6"/>
    <w:rsid w:val="00A33022"/>
    <w:rsid w:val="00A3317B"/>
    <w:rsid w:val="00A34D94"/>
    <w:rsid w:val="00A34E68"/>
    <w:rsid w:val="00A40CD2"/>
    <w:rsid w:val="00A42B2B"/>
    <w:rsid w:val="00A4466F"/>
    <w:rsid w:val="00A45CB5"/>
    <w:rsid w:val="00A4678C"/>
    <w:rsid w:val="00A518CE"/>
    <w:rsid w:val="00A51B2C"/>
    <w:rsid w:val="00A51F3C"/>
    <w:rsid w:val="00A60A6F"/>
    <w:rsid w:val="00A60A8E"/>
    <w:rsid w:val="00A74929"/>
    <w:rsid w:val="00A81C25"/>
    <w:rsid w:val="00A85F4E"/>
    <w:rsid w:val="00A866D4"/>
    <w:rsid w:val="00A90699"/>
    <w:rsid w:val="00A913DB"/>
    <w:rsid w:val="00A92322"/>
    <w:rsid w:val="00A92419"/>
    <w:rsid w:val="00A92EF3"/>
    <w:rsid w:val="00A97446"/>
    <w:rsid w:val="00AA0405"/>
    <w:rsid w:val="00AA0B1F"/>
    <w:rsid w:val="00AA3A84"/>
    <w:rsid w:val="00AA69E8"/>
    <w:rsid w:val="00AB0B31"/>
    <w:rsid w:val="00AB1AB5"/>
    <w:rsid w:val="00AB7836"/>
    <w:rsid w:val="00AC074B"/>
    <w:rsid w:val="00AC119C"/>
    <w:rsid w:val="00AC5BBE"/>
    <w:rsid w:val="00AD5ECF"/>
    <w:rsid w:val="00AE22E3"/>
    <w:rsid w:val="00AE25D5"/>
    <w:rsid w:val="00AE5BCE"/>
    <w:rsid w:val="00AF318F"/>
    <w:rsid w:val="00AF6071"/>
    <w:rsid w:val="00B01BBD"/>
    <w:rsid w:val="00B06553"/>
    <w:rsid w:val="00B07015"/>
    <w:rsid w:val="00B076C6"/>
    <w:rsid w:val="00B07F93"/>
    <w:rsid w:val="00B10227"/>
    <w:rsid w:val="00B103B7"/>
    <w:rsid w:val="00B13294"/>
    <w:rsid w:val="00B13C8E"/>
    <w:rsid w:val="00B15A7F"/>
    <w:rsid w:val="00B21D81"/>
    <w:rsid w:val="00B352AC"/>
    <w:rsid w:val="00B358A4"/>
    <w:rsid w:val="00B42594"/>
    <w:rsid w:val="00B431FD"/>
    <w:rsid w:val="00B46099"/>
    <w:rsid w:val="00B46443"/>
    <w:rsid w:val="00B465F3"/>
    <w:rsid w:val="00B50846"/>
    <w:rsid w:val="00B51949"/>
    <w:rsid w:val="00B52569"/>
    <w:rsid w:val="00B53C43"/>
    <w:rsid w:val="00B54D94"/>
    <w:rsid w:val="00B55C7B"/>
    <w:rsid w:val="00B60846"/>
    <w:rsid w:val="00B663BD"/>
    <w:rsid w:val="00B6672B"/>
    <w:rsid w:val="00B67248"/>
    <w:rsid w:val="00B71D1A"/>
    <w:rsid w:val="00B73FC2"/>
    <w:rsid w:val="00B760E6"/>
    <w:rsid w:val="00B76298"/>
    <w:rsid w:val="00B77388"/>
    <w:rsid w:val="00B84F10"/>
    <w:rsid w:val="00B871A2"/>
    <w:rsid w:val="00B876DB"/>
    <w:rsid w:val="00B90428"/>
    <w:rsid w:val="00BA2B72"/>
    <w:rsid w:val="00BA50ED"/>
    <w:rsid w:val="00BB6DE4"/>
    <w:rsid w:val="00BB71ED"/>
    <w:rsid w:val="00BB7C5E"/>
    <w:rsid w:val="00BC17FD"/>
    <w:rsid w:val="00BC18F2"/>
    <w:rsid w:val="00BC4700"/>
    <w:rsid w:val="00BD18B8"/>
    <w:rsid w:val="00BD78E3"/>
    <w:rsid w:val="00BD7953"/>
    <w:rsid w:val="00BD7B02"/>
    <w:rsid w:val="00BF0BB5"/>
    <w:rsid w:val="00BF0C97"/>
    <w:rsid w:val="00BF679E"/>
    <w:rsid w:val="00C00A24"/>
    <w:rsid w:val="00C03B40"/>
    <w:rsid w:val="00C03CD3"/>
    <w:rsid w:val="00C06549"/>
    <w:rsid w:val="00C07689"/>
    <w:rsid w:val="00C10948"/>
    <w:rsid w:val="00C10E12"/>
    <w:rsid w:val="00C11321"/>
    <w:rsid w:val="00C1453D"/>
    <w:rsid w:val="00C163EC"/>
    <w:rsid w:val="00C16DC0"/>
    <w:rsid w:val="00C17945"/>
    <w:rsid w:val="00C25761"/>
    <w:rsid w:val="00C2652A"/>
    <w:rsid w:val="00C27D0F"/>
    <w:rsid w:val="00C3425F"/>
    <w:rsid w:val="00C37D13"/>
    <w:rsid w:val="00C41EC0"/>
    <w:rsid w:val="00C440F5"/>
    <w:rsid w:val="00C51640"/>
    <w:rsid w:val="00C518BD"/>
    <w:rsid w:val="00C6037C"/>
    <w:rsid w:val="00C630AC"/>
    <w:rsid w:val="00C70615"/>
    <w:rsid w:val="00C72042"/>
    <w:rsid w:val="00C72484"/>
    <w:rsid w:val="00C738E8"/>
    <w:rsid w:val="00C7574C"/>
    <w:rsid w:val="00C76AD2"/>
    <w:rsid w:val="00C83475"/>
    <w:rsid w:val="00C8518E"/>
    <w:rsid w:val="00C8583E"/>
    <w:rsid w:val="00C868FF"/>
    <w:rsid w:val="00C877F8"/>
    <w:rsid w:val="00C91070"/>
    <w:rsid w:val="00C9128C"/>
    <w:rsid w:val="00C92802"/>
    <w:rsid w:val="00C94943"/>
    <w:rsid w:val="00C94EF0"/>
    <w:rsid w:val="00CA32A0"/>
    <w:rsid w:val="00CA5E8C"/>
    <w:rsid w:val="00CA6358"/>
    <w:rsid w:val="00CA670F"/>
    <w:rsid w:val="00CA6CD6"/>
    <w:rsid w:val="00CB3339"/>
    <w:rsid w:val="00CB50CE"/>
    <w:rsid w:val="00CC12BB"/>
    <w:rsid w:val="00CC4CB9"/>
    <w:rsid w:val="00CC4EB4"/>
    <w:rsid w:val="00CC7FD8"/>
    <w:rsid w:val="00CD07E8"/>
    <w:rsid w:val="00CD0D92"/>
    <w:rsid w:val="00CD2115"/>
    <w:rsid w:val="00CD50D0"/>
    <w:rsid w:val="00CD5ECE"/>
    <w:rsid w:val="00CD6C3E"/>
    <w:rsid w:val="00CD7927"/>
    <w:rsid w:val="00CE29B0"/>
    <w:rsid w:val="00CE4A38"/>
    <w:rsid w:val="00CF041F"/>
    <w:rsid w:val="00CF3385"/>
    <w:rsid w:val="00CF7014"/>
    <w:rsid w:val="00D010AE"/>
    <w:rsid w:val="00D02132"/>
    <w:rsid w:val="00D02954"/>
    <w:rsid w:val="00D0312D"/>
    <w:rsid w:val="00D05BD8"/>
    <w:rsid w:val="00D11E5A"/>
    <w:rsid w:val="00D14A77"/>
    <w:rsid w:val="00D150CE"/>
    <w:rsid w:val="00D15D0B"/>
    <w:rsid w:val="00D15FE3"/>
    <w:rsid w:val="00D20CA3"/>
    <w:rsid w:val="00D30303"/>
    <w:rsid w:val="00D4510C"/>
    <w:rsid w:val="00D46E7D"/>
    <w:rsid w:val="00D4716E"/>
    <w:rsid w:val="00D51E6E"/>
    <w:rsid w:val="00D5442C"/>
    <w:rsid w:val="00D55624"/>
    <w:rsid w:val="00D556CB"/>
    <w:rsid w:val="00D561C5"/>
    <w:rsid w:val="00D60FFF"/>
    <w:rsid w:val="00D64D9C"/>
    <w:rsid w:val="00D658D2"/>
    <w:rsid w:val="00D676A1"/>
    <w:rsid w:val="00D67E31"/>
    <w:rsid w:val="00D70D6F"/>
    <w:rsid w:val="00D710F0"/>
    <w:rsid w:val="00D80A96"/>
    <w:rsid w:val="00D9122B"/>
    <w:rsid w:val="00D9429A"/>
    <w:rsid w:val="00D94DEE"/>
    <w:rsid w:val="00DA061D"/>
    <w:rsid w:val="00DA25D1"/>
    <w:rsid w:val="00DA44D9"/>
    <w:rsid w:val="00DA6325"/>
    <w:rsid w:val="00DA7651"/>
    <w:rsid w:val="00DB1699"/>
    <w:rsid w:val="00DB3F8B"/>
    <w:rsid w:val="00DB5133"/>
    <w:rsid w:val="00DB5DCA"/>
    <w:rsid w:val="00DB6786"/>
    <w:rsid w:val="00DC0275"/>
    <w:rsid w:val="00DC22E2"/>
    <w:rsid w:val="00DC47B1"/>
    <w:rsid w:val="00DC58F5"/>
    <w:rsid w:val="00DC5CF1"/>
    <w:rsid w:val="00DD06C7"/>
    <w:rsid w:val="00DD1604"/>
    <w:rsid w:val="00DD6F01"/>
    <w:rsid w:val="00DD798C"/>
    <w:rsid w:val="00DE006E"/>
    <w:rsid w:val="00DE46A7"/>
    <w:rsid w:val="00DF06C5"/>
    <w:rsid w:val="00E0199A"/>
    <w:rsid w:val="00E02891"/>
    <w:rsid w:val="00E0596D"/>
    <w:rsid w:val="00E10BB1"/>
    <w:rsid w:val="00E10E62"/>
    <w:rsid w:val="00E208A7"/>
    <w:rsid w:val="00E21463"/>
    <w:rsid w:val="00E2346D"/>
    <w:rsid w:val="00E25A04"/>
    <w:rsid w:val="00E25FB5"/>
    <w:rsid w:val="00E2659B"/>
    <w:rsid w:val="00E26F99"/>
    <w:rsid w:val="00E30698"/>
    <w:rsid w:val="00E30888"/>
    <w:rsid w:val="00E36BA6"/>
    <w:rsid w:val="00E37799"/>
    <w:rsid w:val="00E5377F"/>
    <w:rsid w:val="00E53844"/>
    <w:rsid w:val="00E54641"/>
    <w:rsid w:val="00E56C0F"/>
    <w:rsid w:val="00E57FF3"/>
    <w:rsid w:val="00E66C9E"/>
    <w:rsid w:val="00E75AA4"/>
    <w:rsid w:val="00E80BC3"/>
    <w:rsid w:val="00E82147"/>
    <w:rsid w:val="00E85E50"/>
    <w:rsid w:val="00E90624"/>
    <w:rsid w:val="00E9692E"/>
    <w:rsid w:val="00EA53DB"/>
    <w:rsid w:val="00EA5869"/>
    <w:rsid w:val="00EA5AE2"/>
    <w:rsid w:val="00EB12A6"/>
    <w:rsid w:val="00EB4068"/>
    <w:rsid w:val="00EB529F"/>
    <w:rsid w:val="00EB573B"/>
    <w:rsid w:val="00EB6C97"/>
    <w:rsid w:val="00EC5983"/>
    <w:rsid w:val="00EC7A5B"/>
    <w:rsid w:val="00ED4AB2"/>
    <w:rsid w:val="00ED6037"/>
    <w:rsid w:val="00ED6203"/>
    <w:rsid w:val="00EE1834"/>
    <w:rsid w:val="00EE1CD9"/>
    <w:rsid w:val="00EE69D0"/>
    <w:rsid w:val="00EF018E"/>
    <w:rsid w:val="00EF02F0"/>
    <w:rsid w:val="00EF1345"/>
    <w:rsid w:val="00EF18C6"/>
    <w:rsid w:val="00EF1948"/>
    <w:rsid w:val="00EF4430"/>
    <w:rsid w:val="00EF606F"/>
    <w:rsid w:val="00EF7B2D"/>
    <w:rsid w:val="00F05EDF"/>
    <w:rsid w:val="00F0762E"/>
    <w:rsid w:val="00F106FE"/>
    <w:rsid w:val="00F10BBA"/>
    <w:rsid w:val="00F14244"/>
    <w:rsid w:val="00F21940"/>
    <w:rsid w:val="00F259EC"/>
    <w:rsid w:val="00F26AC6"/>
    <w:rsid w:val="00F27EB1"/>
    <w:rsid w:val="00F30EAB"/>
    <w:rsid w:val="00F40FF9"/>
    <w:rsid w:val="00F41789"/>
    <w:rsid w:val="00F46D2A"/>
    <w:rsid w:val="00F651EC"/>
    <w:rsid w:val="00F7348A"/>
    <w:rsid w:val="00F737B3"/>
    <w:rsid w:val="00F856C9"/>
    <w:rsid w:val="00F86DA2"/>
    <w:rsid w:val="00F9121F"/>
    <w:rsid w:val="00F91558"/>
    <w:rsid w:val="00FA2FA0"/>
    <w:rsid w:val="00FA4D7F"/>
    <w:rsid w:val="00FA522A"/>
    <w:rsid w:val="00FB0EE6"/>
    <w:rsid w:val="00FC6116"/>
    <w:rsid w:val="00FC64D5"/>
    <w:rsid w:val="00FC661F"/>
    <w:rsid w:val="00FD3AE1"/>
    <w:rsid w:val="00FE01BD"/>
    <w:rsid w:val="00FE16E7"/>
    <w:rsid w:val="00FE18B8"/>
    <w:rsid w:val="00FE5F93"/>
    <w:rsid w:val="00FF2070"/>
    <w:rsid w:val="00FF3480"/>
    <w:rsid w:val="00FF6B1E"/>
    <w:rsid w:val="00FF7C3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462E2"/>
  <w15:docId w15:val="{67AC6A2B-2ACC-49EC-8857-C7269A072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380">
    <w:lsdException w:name="Normal" w:uiPriority="0" w:qFormat="1"/>
    <w:lsdException w:name="heading 1" w:qFormat="1"/>
    <w:lsdException w:name="heading 2" w:semiHidden="1" w:unhideWhenUsed="1" w:qFormat="1"/>
    <w:lsdException w:name="heading 3" w:semiHidden="1"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83E"/>
    <w:rPr>
      <w:rFonts w:eastAsiaTheme="minorHAnsi"/>
      <w:sz w:val="24"/>
      <w:szCs w:val="24"/>
      <w:lang w:val="es-PA" w:eastAsia="es-PA"/>
    </w:rPr>
  </w:style>
  <w:style w:type="paragraph" w:styleId="Heading1">
    <w:name w:val="heading 1"/>
    <w:basedOn w:val="Normal"/>
    <w:next w:val="Normal"/>
    <w:link w:val="Heading1Char"/>
    <w:uiPriority w:val="99"/>
    <w:qFormat/>
    <w:rsid w:val="009623AF"/>
    <w:pPr>
      <w:keepNext/>
      <w:widowControl w:val="0"/>
      <w:tabs>
        <w:tab w:val="left" w:pos="323"/>
      </w:tabs>
      <w:autoSpaceDE w:val="0"/>
      <w:autoSpaceDN w:val="0"/>
      <w:adjustRightInd w:val="0"/>
      <w:jc w:val="center"/>
      <w:outlineLvl w:val="0"/>
    </w:pPr>
    <w:rPr>
      <w:rFonts w:ascii="Cambria" w:eastAsia="Times New Roman" w:hAnsi="Cambria"/>
      <w:b/>
      <w:kern w:val="32"/>
      <w:sz w:val="32"/>
      <w:szCs w:val="22"/>
      <w:lang w:val="es-ES" w:eastAsia="es-ES"/>
    </w:rPr>
  </w:style>
  <w:style w:type="paragraph" w:styleId="Heading2">
    <w:name w:val="heading 2"/>
    <w:basedOn w:val="Normal"/>
    <w:next w:val="Normal"/>
    <w:link w:val="Heading2Char"/>
    <w:uiPriority w:val="99"/>
    <w:qFormat/>
    <w:rsid w:val="009623AF"/>
    <w:pPr>
      <w:keepNext/>
      <w:spacing w:before="240" w:after="60"/>
      <w:outlineLvl w:val="1"/>
    </w:pPr>
    <w:rPr>
      <w:rFonts w:ascii="Cambria" w:eastAsia="Times New Roman" w:hAnsi="Cambria"/>
      <w:b/>
      <w:i/>
      <w:sz w:val="28"/>
      <w:szCs w:val="22"/>
      <w:lang w:val="es-ES" w:eastAsia="es-ES"/>
    </w:rPr>
  </w:style>
  <w:style w:type="paragraph" w:styleId="Heading3">
    <w:name w:val="heading 3"/>
    <w:basedOn w:val="Normal"/>
    <w:next w:val="Normal"/>
    <w:link w:val="Heading3Char"/>
    <w:uiPriority w:val="99"/>
    <w:qFormat/>
    <w:rsid w:val="009623AF"/>
    <w:pPr>
      <w:keepNext/>
      <w:spacing w:before="240" w:after="60"/>
      <w:outlineLvl w:val="2"/>
    </w:pPr>
    <w:rPr>
      <w:rFonts w:ascii="Cambria" w:eastAsia="Times New Roman" w:hAnsi="Cambria"/>
      <w:b/>
      <w:sz w:val="26"/>
      <w:szCs w:val="22"/>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623AF"/>
    <w:rPr>
      <w:rFonts w:ascii="Cambria" w:hAnsi="Cambria"/>
      <w:b/>
      <w:kern w:val="32"/>
      <w:sz w:val="32"/>
    </w:rPr>
  </w:style>
  <w:style w:type="character" w:customStyle="1" w:styleId="Heading2Char">
    <w:name w:val="Heading 2 Char"/>
    <w:basedOn w:val="DefaultParagraphFont"/>
    <w:link w:val="Heading2"/>
    <w:uiPriority w:val="99"/>
    <w:rsid w:val="009623AF"/>
    <w:rPr>
      <w:rFonts w:ascii="Cambria" w:hAnsi="Cambria"/>
      <w:b/>
      <w:i/>
      <w:sz w:val="28"/>
    </w:rPr>
  </w:style>
  <w:style w:type="character" w:customStyle="1" w:styleId="Heading3Char">
    <w:name w:val="Heading 3 Char"/>
    <w:basedOn w:val="DefaultParagraphFont"/>
    <w:link w:val="Heading3"/>
    <w:uiPriority w:val="99"/>
    <w:rsid w:val="009623AF"/>
    <w:rPr>
      <w:rFonts w:ascii="Cambria" w:hAnsi="Cambria"/>
      <w:b/>
      <w:sz w:val="26"/>
    </w:rPr>
  </w:style>
  <w:style w:type="paragraph" w:styleId="ListParagraph">
    <w:name w:val="List Paragraph"/>
    <w:basedOn w:val="Normal"/>
    <w:link w:val="ListParagraphChar"/>
    <w:uiPriority w:val="34"/>
    <w:qFormat/>
    <w:rsid w:val="009623AF"/>
    <w:pPr>
      <w:ind w:left="720"/>
    </w:pPr>
    <w:rPr>
      <w:rFonts w:eastAsia="Times New Roman"/>
      <w:lang w:val="en-US" w:eastAsia="en-US"/>
    </w:rPr>
  </w:style>
  <w:style w:type="paragraph" w:customStyle="1" w:styleId="Default">
    <w:name w:val="Default"/>
    <w:rsid w:val="00095A87"/>
    <w:pPr>
      <w:autoSpaceDE w:val="0"/>
      <w:autoSpaceDN w:val="0"/>
      <w:adjustRightInd w:val="0"/>
    </w:pPr>
    <w:rPr>
      <w:rFonts w:ascii="Calibri" w:hAnsi="Calibri" w:cs="Calibri"/>
      <w:color w:val="000000"/>
      <w:sz w:val="24"/>
      <w:szCs w:val="24"/>
      <w:lang w:val="es-PA"/>
    </w:rPr>
  </w:style>
  <w:style w:type="paragraph" w:customStyle="1" w:styleId="ParaAttribute2">
    <w:name w:val="ParaAttribute2"/>
    <w:rsid w:val="00700B77"/>
    <w:pPr>
      <w:widowControl w:val="0"/>
      <w:wordWrap w:val="0"/>
      <w:jc w:val="both"/>
    </w:pPr>
    <w:rPr>
      <w:rFonts w:eastAsia="Batang"/>
      <w:sz w:val="20"/>
      <w:szCs w:val="20"/>
      <w:lang w:val="es-PA" w:eastAsia="es-PA"/>
    </w:rPr>
  </w:style>
  <w:style w:type="character" w:customStyle="1" w:styleId="CharAttribute6">
    <w:name w:val="CharAttribute6"/>
    <w:rsid w:val="00700B77"/>
    <w:rPr>
      <w:rFonts w:ascii="Times New Roman" w:eastAsia="Times New Roman"/>
      <w:sz w:val="24"/>
    </w:rPr>
  </w:style>
  <w:style w:type="paragraph" w:styleId="FootnoteText">
    <w:name w:val="footnote text"/>
    <w:aliases w:val="Footnote,Footnotetext,-E Fußnotentext,Fußnote,Fußnotentext Ursprung,Geneva 9,Font: Geneva 9,Boston 10,f,ft,fn,Footnotes,Footnote ak,fn cafc,Footnotes Char Char,Footnote Text Char Char,fn Char Char,footnote text Char Char Char Ch,Car"/>
    <w:basedOn w:val="Normal"/>
    <w:link w:val="FootnoteTextChar"/>
    <w:uiPriority w:val="99"/>
    <w:unhideWhenUsed/>
    <w:qFormat/>
    <w:rsid w:val="000E72AD"/>
    <w:rPr>
      <w:sz w:val="20"/>
      <w:szCs w:val="20"/>
    </w:rPr>
  </w:style>
  <w:style w:type="character" w:customStyle="1" w:styleId="FootnoteTextChar">
    <w:name w:val="Footnote Text Char"/>
    <w:aliases w:val="Footnote Char,Footnotetext Char,-E Fußnotentext Char,Fußnote Char,Fußnotentext Ursprung Char,Geneva 9 Char,Font: Geneva 9 Char,Boston 10 Char,f Char,ft Char,fn Char,Footnotes Char,Footnote ak Char,fn cafc Char,Footnotes Char Char Char"/>
    <w:basedOn w:val="DefaultParagraphFont"/>
    <w:link w:val="FootnoteText"/>
    <w:uiPriority w:val="99"/>
    <w:rsid w:val="000E72AD"/>
    <w:rPr>
      <w:rFonts w:eastAsiaTheme="minorHAnsi"/>
      <w:sz w:val="20"/>
      <w:szCs w:val="20"/>
      <w:lang w:val="es-PA" w:eastAsia="es-PA"/>
    </w:rPr>
  </w:style>
  <w:style w:type="character" w:styleId="FootnoteReference">
    <w:name w:val="footnote reference"/>
    <w:aliases w:val="16 Point,Superscript 6 Point,(Ref. de nota al pie),Footnote Reference1"/>
    <w:basedOn w:val="DefaultParagraphFont"/>
    <w:uiPriority w:val="99"/>
    <w:unhideWhenUsed/>
    <w:rsid w:val="000E72AD"/>
    <w:rPr>
      <w:vertAlign w:val="superscript"/>
    </w:rPr>
  </w:style>
  <w:style w:type="paragraph" w:styleId="BalloonText">
    <w:name w:val="Balloon Text"/>
    <w:basedOn w:val="Normal"/>
    <w:link w:val="BalloonTextChar"/>
    <w:uiPriority w:val="99"/>
    <w:semiHidden/>
    <w:unhideWhenUsed/>
    <w:rsid w:val="00A15B9A"/>
    <w:rPr>
      <w:rFonts w:ascii="Tahoma" w:hAnsi="Tahoma" w:cs="Tahoma"/>
      <w:sz w:val="16"/>
      <w:szCs w:val="16"/>
    </w:rPr>
  </w:style>
  <w:style w:type="character" w:customStyle="1" w:styleId="BalloonTextChar">
    <w:name w:val="Balloon Text Char"/>
    <w:basedOn w:val="DefaultParagraphFont"/>
    <w:link w:val="BalloonText"/>
    <w:uiPriority w:val="99"/>
    <w:semiHidden/>
    <w:rsid w:val="00A15B9A"/>
    <w:rPr>
      <w:rFonts w:ascii="Tahoma" w:eastAsiaTheme="minorHAnsi" w:hAnsi="Tahoma" w:cs="Tahoma"/>
      <w:sz w:val="16"/>
      <w:szCs w:val="16"/>
      <w:lang w:val="es-PA" w:eastAsia="es-PA"/>
    </w:rPr>
  </w:style>
  <w:style w:type="character" w:styleId="Strong">
    <w:name w:val="Strong"/>
    <w:basedOn w:val="DefaultParagraphFont"/>
    <w:uiPriority w:val="22"/>
    <w:qFormat/>
    <w:locked/>
    <w:rsid w:val="008B4518"/>
    <w:rPr>
      <w:b/>
      <w:bCs/>
    </w:rPr>
  </w:style>
  <w:style w:type="paragraph" w:styleId="NormalWeb">
    <w:name w:val="Normal (Web)"/>
    <w:basedOn w:val="Normal"/>
    <w:uiPriority w:val="99"/>
    <w:unhideWhenUsed/>
    <w:rsid w:val="008B4518"/>
    <w:pPr>
      <w:spacing w:before="100" w:beforeAutospacing="1" w:after="100" w:afterAutospacing="1"/>
    </w:pPr>
    <w:rPr>
      <w:rFonts w:eastAsia="Times New Roman"/>
    </w:rPr>
  </w:style>
  <w:style w:type="character" w:customStyle="1" w:styleId="estilo208">
    <w:name w:val="estilo208"/>
    <w:basedOn w:val="DefaultParagraphFont"/>
    <w:rsid w:val="008B4518"/>
  </w:style>
  <w:style w:type="character" w:styleId="Hyperlink">
    <w:name w:val="Hyperlink"/>
    <w:basedOn w:val="DefaultParagraphFont"/>
    <w:uiPriority w:val="99"/>
    <w:unhideWhenUsed/>
    <w:rsid w:val="008B4518"/>
    <w:rPr>
      <w:color w:val="0000FF"/>
      <w:u w:val="single"/>
    </w:rPr>
  </w:style>
  <w:style w:type="character" w:customStyle="1" w:styleId="apple-converted-space">
    <w:name w:val="apple-converted-space"/>
    <w:basedOn w:val="DefaultParagraphFont"/>
    <w:rsid w:val="008B4518"/>
  </w:style>
  <w:style w:type="paragraph" w:customStyle="1" w:styleId="bodytext">
    <w:name w:val="bodytext"/>
    <w:basedOn w:val="Normal"/>
    <w:rsid w:val="00E0596D"/>
    <w:pPr>
      <w:spacing w:before="100" w:beforeAutospacing="1" w:after="100" w:afterAutospacing="1"/>
    </w:pPr>
    <w:rPr>
      <w:rFonts w:eastAsia="Times New Roman"/>
      <w:lang w:val="en-GB" w:eastAsia="en-GB"/>
    </w:rPr>
  </w:style>
  <w:style w:type="character" w:customStyle="1" w:styleId="ListParagraphChar">
    <w:name w:val="List Paragraph Char"/>
    <w:link w:val="ListParagraph"/>
    <w:uiPriority w:val="34"/>
    <w:locked/>
    <w:rsid w:val="00052246"/>
    <w:rPr>
      <w:sz w:val="24"/>
      <w:szCs w:val="24"/>
      <w:lang w:val="en-US" w:eastAsia="en-US"/>
    </w:rPr>
  </w:style>
  <w:style w:type="paragraph" w:styleId="Header">
    <w:name w:val="header"/>
    <w:basedOn w:val="Normal"/>
    <w:link w:val="HeaderChar"/>
    <w:uiPriority w:val="99"/>
    <w:unhideWhenUsed/>
    <w:rsid w:val="0094483B"/>
    <w:pPr>
      <w:tabs>
        <w:tab w:val="center" w:pos="4419"/>
        <w:tab w:val="right" w:pos="8838"/>
      </w:tabs>
    </w:pPr>
  </w:style>
  <w:style w:type="character" w:customStyle="1" w:styleId="HeaderChar">
    <w:name w:val="Header Char"/>
    <w:basedOn w:val="DefaultParagraphFont"/>
    <w:link w:val="Header"/>
    <w:uiPriority w:val="99"/>
    <w:rsid w:val="0094483B"/>
    <w:rPr>
      <w:rFonts w:eastAsiaTheme="minorHAnsi"/>
      <w:sz w:val="24"/>
      <w:szCs w:val="24"/>
      <w:lang w:val="es-PA" w:eastAsia="es-PA"/>
    </w:rPr>
  </w:style>
  <w:style w:type="paragraph" w:styleId="Footer">
    <w:name w:val="footer"/>
    <w:basedOn w:val="Normal"/>
    <w:link w:val="FooterChar"/>
    <w:uiPriority w:val="99"/>
    <w:unhideWhenUsed/>
    <w:rsid w:val="0094483B"/>
    <w:pPr>
      <w:tabs>
        <w:tab w:val="center" w:pos="4419"/>
        <w:tab w:val="right" w:pos="8838"/>
      </w:tabs>
    </w:pPr>
  </w:style>
  <w:style w:type="character" w:customStyle="1" w:styleId="FooterChar">
    <w:name w:val="Footer Char"/>
    <w:basedOn w:val="DefaultParagraphFont"/>
    <w:link w:val="Footer"/>
    <w:uiPriority w:val="99"/>
    <w:rsid w:val="0094483B"/>
    <w:rPr>
      <w:rFonts w:eastAsiaTheme="minorHAnsi"/>
      <w:sz w:val="24"/>
      <w:szCs w:val="24"/>
      <w:lang w:val="es-PA" w:eastAsia="es-PA"/>
    </w:rPr>
  </w:style>
  <w:style w:type="character" w:styleId="FollowedHyperlink">
    <w:name w:val="FollowedHyperlink"/>
    <w:basedOn w:val="DefaultParagraphFont"/>
    <w:uiPriority w:val="99"/>
    <w:semiHidden/>
    <w:unhideWhenUsed/>
    <w:rsid w:val="002424BB"/>
    <w:rPr>
      <w:color w:val="800080" w:themeColor="followedHyperlink"/>
      <w:u w:val="single"/>
    </w:rPr>
  </w:style>
  <w:style w:type="paragraph" w:styleId="Subtitle">
    <w:name w:val="Subtitle"/>
    <w:basedOn w:val="Normal"/>
    <w:next w:val="Normal"/>
    <w:link w:val="SubtitleChar"/>
    <w:qFormat/>
    <w:locked/>
    <w:rsid w:val="00F737B3"/>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F737B3"/>
    <w:rPr>
      <w:rFonts w:asciiTheme="majorHAnsi" w:eastAsiaTheme="majorEastAsia" w:hAnsiTheme="majorHAnsi" w:cstheme="majorBidi"/>
      <w:i/>
      <w:iCs/>
      <w:color w:val="4F81BD" w:themeColor="accent1"/>
      <w:spacing w:val="15"/>
      <w:sz w:val="24"/>
      <w:szCs w:val="24"/>
      <w:lang w:val="es-PA" w:eastAsia="es-PA"/>
    </w:rPr>
  </w:style>
  <w:style w:type="paragraph" w:customStyle="1" w:styleId="Marge">
    <w:name w:val="Marge"/>
    <w:basedOn w:val="Normal"/>
    <w:rsid w:val="00363171"/>
    <w:pPr>
      <w:tabs>
        <w:tab w:val="left" w:pos="567"/>
      </w:tabs>
      <w:snapToGrid w:val="0"/>
      <w:spacing w:after="240"/>
      <w:jc w:val="both"/>
    </w:pPr>
    <w:rPr>
      <w:rFonts w:ascii="Arial" w:eastAsia="Times New Roman" w:hAnsi="Arial"/>
      <w:snapToGrid w:val="0"/>
      <w:sz w:val="22"/>
      <w:lang w:val="fr-FR" w:eastAsia="en-US"/>
    </w:rPr>
  </w:style>
  <w:style w:type="paragraph" w:styleId="PlainText">
    <w:name w:val="Plain Text"/>
    <w:basedOn w:val="Normal"/>
    <w:link w:val="PlainTextChar"/>
    <w:uiPriority w:val="99"/>
    <w:semiHidden/>
    <w:unhideWhenUsed/>
    <w:rsid w:val="00530769"/>
    <w:rPr>
      <w:rFonts w:ascii="Roboto" w:hAnsi="Roboto"/>
      <w:b/>
      <w:bCs/>
      <w:sz w:val="20"/>
      <w:szCs w:val="20"/>
      <w:lang w:eastAsia="en-US"/>
    </w:rPr>
  </w:style>
  <w:style w:type="character" w:customStyle="1" w:styleId="PlainTextChar">
    <w:name w:val="Plain Text Char"/>
    <w:basedOn w:val="DefaultParagraphFont"/>
    <w:link w:val="PlainText"/>
    <w:uiPriority w:val="99"/>
    <w:semiHidden/>
    <w:rsid w:val="00530769"/>
    <w:rPr>
      <w:rFonts w:ascii="Roboto" w:eastAsiaTheme="minorHAnsi" w:hAnsi="Roboto"/>
      <w:b/>
      <w:bCs/>
      <w:sz w:val="20"/>
      <w:szCs w:val="20"/>
      <w:lang w:val="es-PA" w:eastAsia="en-US"/>
    </w:rPr>
  </w:style>
  <w:style w:type="character" w:styleId="CommentReference">
    <w:name w:val="annotation reference"/>
    <w:basedOn w:val="DefaultParagraphFont"/>
    <w:uiPriority w:val="99"/>
    <w:semiHidden/>
    <w:unhideWhenUsed/>
    <w:rsid w:val="00BF679E"/>
    <w:rPr>
      <w:sz w:val="16"/>
      <w:szCs w:val="16"/>
    </w:rPr>
  </w:style>
  <w:style w:type="paragraph" w:styleId="CommentText">
    <w:name w:val="annotation text"/>
    <w:basedOn w:val="Normal"/>
    <w:link w:val="CommentTextChar"/>
    <w:uiPriority w:val="99"/>
    <w:semiHidden/>
    <w:unhideWhenUsed/>
    <w:rsid w:val="00BF679E"/>
    <w:rPr>
      <w:sz w:val="20"/>
      <w:szCs w:val="20"/>
    </w:rPr>
  </w:style>
  <w:style w:type="character" w:customStyle="1" w:styleId="CommentTextChar">
    <w:name w:val="Comment Text Char"/>
    <w:basedOn w:val="DefaultParagraphFont"/>
    <w:link w:val="CommentText"/>
    <w:uiPriority w:val="99"/>
    <w:semiHidden/>
    <w:rsid w:val="00BF679E"/>
    <w:rPr>
      <w:rFonts w:eastAsiaTheme="minorHAnsi"/>
      <w:sz w:val="20"/>
      <w:szCs w:val="20"/>
      <w:lang w:val="es-PA" w:eastAsia="es-PA"/>
    </w:rPr>
  </w:style>
  <w:style w:type="character" w:customStyle="1" w:styleId="UnresolvedMention">
    <w:name w:val="Unresolved Mention"/>
    <w:basedOn w:val="DefaultParagraphFont"/>
    <w:uiPriority w:val="99"/>
    <w:semiHidden/>
    <w:unhideWhenUsed/>
    <w:rsid w:val="00472A7D"/>
    <w:rPr>
      <w:color w:val="605E5C"/>
      <w:shd w:val="clear" w:color="auto" w:fill="E1DFDD"/>
    </w:rPr>
  </w:style>
  <w:style w:type="paragraph" w:styleId="DocumentMap">
    <w:name w:val="Document Map"/>
    <w:basedOn w:val="Normal"/>
    <w:link w:val="DocumentMapChar"/>
    <w:uiPriority w:val="99"/>
    <w:semiHidden/>
    <w:unhideWhenUsed/>
    <w:rsid w:val="00E10BB1"/>
  </w:style>
  <w:style w:type="character" w:customStyle="1" w:styleId="DocumentMapChar">
    <w:name w:val="Document Map Char"/>
    <w:basedOn w:val="DefaultParagraphFont"/>
    <w:link w:val="DocumentMap"/>
    <w:uiPriority w:val="99"/>
    <w:semiHidden/>
    <w:rsid w:val="00E10BB1"/>
    <w:rPr>
      <w:rFonts w:eastAsiaTheme="minorHAnsi"/>
      <w:sz w:val="24"/>
      <w:szCs w:val="24"/>
      <w:lang w:val="es-PA" w:eastAsia="es-P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084597">
      <w:bodyDiv w:val="1"/>
      <w:marLeft w:val="0"/>
      <w:marRight w:val="0"/>
      <w:marTop w:val="0"/>
      <w:marBottom w:val="0"/>
      <w:divBdr>
        <w:top w:val="none" w:sz="0" w:space="0" w:color="auto"/>
        <w:left w:val="none" w:sz="0" w:space="0" w:color="auto"/>
        <w:bottom w:val="none" w:sz="0" w:space="0" w:color="auto"/>
        <w:right w:val="none" w:sz="0" w:space="0" w:color="auto"/>
      </w:divBdr>
    </w:div>
    <w:div w:id="347950757">
      <w:bodyDiv w:val="1"/>
      <w:marLeft w:val="0"/>
      <w:marRight w:val="0"/>
      <w:marTop w:val="0"/>
      <w:marBottom w:val="0"/>
      <w:divBdr>
        <w:top w:val="none" w:sz="0" w:space="0" w:color="auto"/>
        <w:left w:val="none" w:sz="0" w:space="0" w:color="auto"/>
        <w:bottom w:val="none" w:sz="0" w:space="0" w:color="auto"/>
        <w:right w:val="none" w:sz="0" w:space="0" w:color="auto"/>
      </w:divBdr>
    </w:div>
    <w:div w:id="448429284">
      <w:bodyDiv w:val="1"/>
      <w:marLeft w:val="0"/>
      <w:marRight w:val="0"/>
      <w:marTop w:val="0"/>
      <w:marBottom w:val="0"/>
      <w:divBdr>
        <w:top w:val="none" w:sz="0" w:space="0" w:color="auto"/>
        <w:left w:val="none" w:sz="0" w:space="0" w:color="auto"/>
        <w:bottom w:val="none" w:sz="0" w:space="0" w:color="auto"/>
        <w:right w:val="none" w:sz="0" w:space="0" w:color="auto"/>
      </w:divBdr>
    </w:div>
    <w:div w:id="663316246">
      <w:bodyDiv w:val="1"/>
      <w:marLeft w:val="0"/>
      <w:marRight w:val="0"/>
      <w:marTop w:val="0"/>
      <w:marBottom w:val="0"/>
      <w:divBdr>
        <w:top w:val="none" w:sz="0" w:space="0" w:color="auto"/>
        <w:left w:val="none" w:sz="0" w:space="0" w:color="auto"/>
        <w:bottom w:val="none" w:sz="0" w:space="0" w:color="auto"/>
        <w:right w:val="none" w:sz="0" w:space="0" w:color="auto"/>
      </w:divBdr>
    </w:div>
    <w:div w:id="748114763">
      <w:bodyDiv w:val="1"/>
      <w:marLeft w:val="0"/>
      <w:marRight w:val="0"/>
      <w:marTop w:val="0"/>
      <w:marBottom w:val="0"/>
      <w:divBdr>
        <w:top w:val="none" w:sz="0" w:space="0" w:color="auto"/>
        <w:left w:val="none" w:sz="0" w:space="0" w:color="auto"/>
        <w:bottom w:val="none" w:sz="0" w:space="0" w:color="auto"/>
        <w:right w:val="none" w:sz="0" w:space="0" w:color="auto"/>
      </w:divBdr>
    </w:div>
    <w:div w:id="799736392">
      <w:bodyDiv w:val="1"/>
      <w:marLeft w:val="0"/>
      <w:marRight w:val="0"/>
      <w:marTop w:val="0"/>
      <w:marBottom w:val="0"/>
      <w:divBdr>
        <w:top w:val="none" w:sz="0" w:space="0" w:color="auto"/>
        <w:left w:val="none" w:sz="0" w:space="0" w:color="auto"/>
        <w:bottom w:val="none" w:sz="0" w:space="0" w:color="auto"/>
        <w:right w:val="none" w:sz="0" w:space="0" w:color="auto"/>
      </w:divBdr>
    </w:div>
    <w:div w:id="822042668">
      <w:bodyDiv w:val="1"/>
      <w:marLeft w:val="0"/>
      <w:marRight w:val="0"/>
      <w:marTop w:val="0"/>
      <w:marBottom w:val="0"/>
      <w:divBdr>
        <w:top w:val="none" w:sz="0" w:space="0" w:color="auto"/>
        <w:left w:val="none" w:sz="0" w:space="0" w:color="auto"/>
        <w:bottom w:val="none" w:sz="0" w:space="0" w:color="auto"/>
        <w:right w:val="none" w:sz="0" w:space="0" w:color="auto"/>
      </w:divBdr>
    </w:div>
    <w:div w:id="1328704600">
      <w:bodyDiv w:val="1"/>
      <w:marLeft w:val="0"/>
      <w:marRight w:val="0"/>
      <w:marTop w:val="0"/>
      <w:marBottom w:val="0"/>
      <w:divBdr>
        <w:top w:val="none" w:sz="0" w:space="0" w:color="auto"/>
        <w:left w:val="none" w:sz="0" w:space="0" w:color="auto"/>
        <w:bottom w:val="none" w:sz="0" w:space="0" w:color="auto"/>
        <w:right w:val="none" w:sz="0" w:space="0" w:color="auto"/>
      </w:divBdr>
    </w:div>
    <w:div w:id="1334144004">
      <w:bodyDiv w:val="1"/>
      <w:marLeft w:val="0"/>
      <w:marRight w:val="0"/>
      <w:marTop w:val="0"/>
      <w:marBottom w:val="0"/>
      <w:divBdr>
        <w:top w:val="none" w:sz="0" w:space="0" w:color="auto"/>
        <w:left w:val="none" w:sz="0" w:space="0" w:color="auto"/>
        <w:bottom w:val="none" w:sz="0" w:space="0" w:color="auto"/>
        <w:right w:val="none" w:sz="0" w:space="0" w:color="auto"/>
      </w:divBdr>
    </w:div>
    <w:div w:id="1588424040">
      <w:bodyDiv w:val="1"/>
      <w:marLeft w:val="0"/>
      <w:marRight w:val="0"/>
      <w:marTop w:val="0"/>
      <w:marBottom w:val="0"/>
      <w:divBdr>
        <w:top w:val="none" w:sz="0" w:space="0" w:color="auto"/>
        <w:left w:val="none" w:sz="0" w:space="0" w:color="auto"/>
        <w:bottom w:val="none" w:sz="0" w:space="0" w:color="auto"/>
        <w:right w:val="none" w:sz="0" w:space="0" w:color="auto"/>
      </w:divBdr>
    </w:div>
    <w:div w:id="1655261985">
      <w:bodyDiv w:val="1"/>
      <w:marLeft w:val="0"/>
      <w:marRight w:val="0"/>
      <w:marTop w:val="0"/>
      <w:marBottom w:val="0"/>
      <w:divBdr>
        <w:top w:val="none" w:sz="0" w:space="0" w:color="auto"/>
        <w:left w:val="none" w:sz="0" w:space="0" w:color="auto"/>
        <w:bottom w:val="none" w:sz="0" w:space="0" w:color="auto"/>
        <w:right w:val="none" w:sz="0" w:space="0" w:color="auto"/>
      </w:divBdr>
    </w:div>
    <w:div w:id="1666129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chart" Target="charts/chart1.xml"/><Relationship Id="rId10" Type="http://schemas.openxmlformats.org/officeDocument/2006/relationships/header" Target="header1.xml"/></Relationships>
</file>

<file path=word/_rels/footnotes.xml.rels><?xml version="1.0" encoding="UTF-8" standalone="yes"?>
<Relationships xmlns="http://schemas.openxmlformats.org/package/2006/relationships"><Relationship Id="rId11" Type="http://schemas.openxmlformats.org/officeDocument/2006/relationships/hyperlink" Target="http://www.pnuma.org/documentos/UNEP_Sustainable%20Development%20PPOR%20WEB%20OK.pdf" TargetMode="External"/><Relationship Id="rId12" Type="http://schemas.openxmlformats.org/officeDocument/2006/relationships/hyperlink" Target="http://wedocs.unep.org/bitstream/handle/20.500.11822/11201/Bali_guidelines_sp.pdf?sequence=2&amp;isAllowed=y" TargetMode="External"/><Relationship Id="rId13" Type="http://schemas.openxmlformats.org/officeDocument/2006/relationships/hyperlink" Target="https://bit.ly/2vRlPHS" TargetMode="External"/><Relationship Id="rId14" Type="http://schemas.openxmlformats.org/officeDocument/2006/relationships/hyperlink" Target="https://bit.ly/2vRlPHS" TargetMode="External"/><Relationship Id="rId15" Type="http://schemas.openxmlformats.org/officeDocument/2006/relationships/hyperlink" Target="http://www.saicm.org/Portals/12/documents/meetings/IP2/Report_on_chemicals_and_waste_priorities_in_LAC_20180228.pdf" TargetMode="External"/><Relationship Id="rId1" Type="http://schemas.openxmlformats.org/officeDocument/2006/relationships/hyperlink" Target="https://formacionambientalpnuma.files.wordpress.com/2017/11/reporte_experiencias_2017.pdf" TargetMode="External"/><Relationship Id="rId2" Type="http://schemas.openxmlformats.org/officeDocument/2006/relationships/hyperlink" Target="http://www.reduambiental.edu.uy/2016/09/declaratoria-final-6to-encuentro-nacional-renea-10/" TargetMode="External"/><Relationship Id="rId3" Type="http://schemas.openxmlformats.org/officeDocument/2006/relationships/hyperlink" Target="http://educacion.mma.gob.cl/encargada-de-la-red-de-formacion-ambiental-del-pnuma-visito-ministerio-del-medio-ambiente/" TargetMode="External"/><Relationship Id="rId4" Type="http://schemas.openxmlformats.org/officeDocument/2006/relationships/hyperlink" Target="https://www.facebook.com/RFALAC" TargetMode="External"/><Relationship Id="rId5" Type="http://schemas.openxmlformats.org/officeDocument/2006/relationships/hyperlink" Target="https://bit.ly/2vRlPHS" TargetMode="External"/><Relationship Id="rId6" Type="http://schemas.openxmlformats.org/officeDocument/2006/relationships/hyperlink" Target="http://comunidadpnacc.com/es/" TargetMode="External"/><Relationship Id="rId7" Type="http://schemas.openxmlformats.org/officeDocument/2006/relationships/hyperlink" Target="https://wedocs.unep.org/bitstream/handle/20.500.11822/26026/dimensi%C3%B3n_ambiental_CostaRica_EN.pdf?sequence=2&amp;isAllowed=y" TargetMode="External"/><Relationship Id="rId8" Type="http://schemas.openxmlformats.org/officeDocument/2006/relationships/hyperlink" Target="https://wedocs.unep.org/bitstream/handle/20.500.11822/26026/dimensi%C3%B3n_ambiental_CostaRica_ES.pdf?sequence=1&amp;isAllowed=y" TargetMode="External"/><Relationship Id="rId9" Type="http://schemas.openxmlformats.org/officeDocument/2006/relationships/hyperlink" Target="http://www.pnuma.org/documentos/UNEP_Sustainable%20Development%20ENG%20WEB%20OK.pdf" TargetMode="External"/><Relationship Id="rId10" Type="http://schemas.openxmlformats.org/officeDocument/2006/relationships/hyperlink" Target="http://www.pnuma.org/documentos/UNEP_Sustainable%20Development%20ESP%20WEB%20OK.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Goli\Documents\UNEP%20ROLAC\RED%20DE%20FORMACI&#211;N%20AMBIENTAL(RFA)\REUNION%20PUNTOS%20FOCALES\PPT%20REUNION%20RED\CONTRIBUCIONES.xlsx" TargetMode="External"/><Relationship Id="rId4" Type="http://schemas.openxmlformats.org/officeDocument/2006/relationships/chartUserShapes" Target="../drawings/drawing1.xml"/><Relationship Id="rId1" Type="http://schemas.microsoft.com/office/2011/relationships/chartStyle" Target="style1.xml"/><Relationship Id="rId2" Type="http://schemas.microsoft.com/office/2011/relationships/chartColorStyle" Target="colors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r>
              <a:rPr lang="es-CL"/>
              <a:t>Fondo Fiduiciario de la Red de Formación Ambiental (2014-2017)</a:t>
            </a:r>
          </a:p>
        </c:rich>
      </c:tx>
      <c:layout>
        <c:manualLayout>
          <c:xMode val="edge"/>
          <c:yMode val="edge"/>
          <c:x val="0.221253593823016"/>
          <c:y val="0.0304138723375547"/>
        </c:manualLayout>
      </c:layout>
      <c:overlay val="0"/>
      <c:spPr>
        <a:noFill/>
        <a:ln>
          <a:noFill/>
        </a:ln>
        <a:effectLst/>
      </c:spPr>
      <c:txPr>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0321913596636"/>
          <c:y val="0.128871995929728"/>
          <c:w val="0.867630517803974"/>
          <c:h val="0.681808985638377"/>
        </c:manualLayout>
      </c:layout>
      <c:barChart>
        <c:barDir val="col"/>
        <c:grouping val="stacked"/>
        <c:varyColors val="0"/>
        <c:ser>
          <c:idx val="0"/>
          <c:order val="0"/>
          <c:tx>
            <c:strRef>
              <c:f>Hoja1!$A$2</c:f>
              <c:strCache>
                <c:ptCount val="1"/>
                <c:pt idx="0">
                  <c:v>Chile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Hoja1!$B$1:$E$1</c:f>
              <c:numCache>
                <c:formatCode>General</c:formatCode>
                <c:ptCount val="4"/>
                <c:pt idx="0">
                  <c:v>2014.0</c:v>
                </c:pt>
                <c:pt idx="1">
                  <c:v>2015.0</c:v>
                </c:pt>
                <c:pt idx="2">
                  <c:v>2016.0</c:v>
                </c:pt>
                <c:pt idx="3">
                  <c:v>2017.0</c:v>
                </c:pt>
              </c:numCache>
            </c:numRef>
          </c:cat>
          <c:val>
            <c:numRef>
              <c:f>Hoja1!$B$2:$E$2</c:f>
              <c:numCache>
                <c:formatCode>#,##0</c:formatCode>
                <c:ptCount val="4"/>
                <c:pt idx="0">
                  <c:v>10566.0</c:v>
                </c:pt>
                <c:pt idx="1">
                  <c:v>8777.0</c:v>
                </c:pt>
                <c:pt idx="2">
                  <c:v>3434.0</c:v>
                </c:pt>
                <c:pt idx="3">
                  <c:v>10000.0</c:v>
                </c:pt>
              </c:numCache>
            </c:numRef>
          </c:val>
          <c:extLst xmlns:c16r2="http://schemas.microsoft.com/office/drawing/2015/06/chart">
            <c:ext xmlns:c16="http://schemas.microsoft.com/office/drawing/2014/chart" uri="{C3380CC4-5D6E-409C-BE32-E72D297353CC}">
              <c16:uniqueId val="{00000000-C311-43D9-B863-170873858F6D}"/>
            </c:ext>
          </c:extLst>
        </c:ser>
        <c:ser>
          <c:idx val="1"/>
          <c:order val="1"/>
          <c:tx>
            <c:strRef>
              <c:f>Hoja1!$A$3</c:f>
              <c:strCache>
                <c:ptCount val="1"/>
                <c:pt idx="0">
                  <c:v>Colombia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Hoja1!$B$1:$E$1</c:f>
              <c:numCache>
                <c:formatCode>General</c:formatCode>
                <c:ptCount val="4"/>
                <c:pt idx="0">
                  <c:v>2014.0</c:v>
                </c:pt>
                <c:pt idx="1">
                  <c:v>2015.0</c:v>
                </c:pt>
                <c:pt idx="2">
                  <c:v>2016.0</c:v>
                </c:pt>
                <c:pt idx="3">
                  <c:v>2017.0</c:v>
                </c:pt>
              </c:numCache>
            </c:numRef>
          </c:cat>
          <c:val>
            <c:numRef>
              <c:f>Hoja1!$B$3:$E$3</c:f>
              <c:numCache>
                <c:formatCode>#,##0</c:formatCode>
                <c:ptCount val="4"/>
                <c:pt idx="0">
                  <c:v>20000.0</c:v>
                </c:pt>
                <c:pt idx="1">
                  <c:v>20000.0</c:v>
                </c:pt>
                <c:pt idx="2">
                  <c:v>20000.0</c:v>
                </c:pt>
                <c:pt idx="3">
                  <c:v>20000.0</c:v>
                </c:pt>
              </c:numCache>
            </c:numRef>
          </c:val>
          <c:extLst xmlns:c16r2="http://schemas.microsoft.com/office/drawing/2015/06/chart">
            <c:ext xmlns:c16="http://schemas.microsoft.com/office/drawing/2014/chart" uri="{C3380CC4-5D6E-409C-BE32-E72D297353CC}">
              <c16:uniqueId val="{00000001-C311-43D9-B863-170873858F6D}"/>
            </c:ext>
          </c:extLst>
        </c:ser>
        <c:ser>
          <c:idx val="2"/>
          <c:order val="2"/>
          <c:tx>
            <c:strRef>
              <c:f>Hoja1!$A$4</c:f>
              <c:strCache>
                <c:ptCount val="1"/>
                <c:pt idx="0">
                  <c:v>Costa Rica </c:v>
                </c:pt>
              </c:strCache>
            </c:strRef>
          </c:tx>
          <c:spPr>
            <a:solidFill>
              <a:schemeClr val="accent3"/>
            </a:solidFill>
            <a:ln>
              <a:noFill/>
            </a:ln>
            <a:effectLst/>
          </c:spPr>
          <c:invertIfNegative val="0"/>
          <c:dLbls>
            <c:dLbl>
              <c:idx val="0"/>
              <c:layout>
                <c:manualLayout>
                  <c:x val="0.00153361898093796"/>
                  <c:y val="-0.00557745426103233"/>
                </c:manualLayout>
              </c:layout>
              <c:dLblPos val="ctr"/>
              <c:showLegendKey val="0"/>
              <c:showVal val="0"/>
              <c:showCatName val="0"/>
              <c:showSerName val="1"/>
              <c:showPercent val="0"/>
              <c:showBubbleSize val="0"/>
              <c:extLst xmlns:c16r2="http://schemas.microsoft.com/office/drawing/2015/06/chart">
                <c:ext xmlns:c16="http://schemas.microsoft.com/office/drawing/2014/chart" uri="{C3380CC4-5D6E-409C-BE32-E72D297353CC}">
                  <c16:uniqueId val="{00000002-C311-43D9-B863-170873858F6D}"/>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Hoja1!$B$1:$E$1</c:f>
              <c:numCache>
                <c:formatCode>General</c:formatCode>
                <c:ptCount val="4"/>
                <c:pt idx="0">
                  <c:v>2014.0</c:v>
                </c:pt>
                <c:pt idx="1">
                  <c:v>2015.0</c:v>
                </c:pt>
                <c:pt idx="2">
                  <c:v>2016.0</c:v>
                </c:pt>
                <c:pt idx="3">
                  <c:v>2017.0</c:v>
                </c:pt>
              </c:numCache>
            </c:numRef>
          </c:cat>
          <c:val>
            <c:numRef>
              <c:f>Hoja1!$B$4:$E$4</c:f>
              <c:numCache>
                <c:formatCode>#,##0</c:formatCode>
                <c:ptCount val="4"/>
                <c:pt idx="0">
                  <c:v>2572.0</c:v>
                </c:pt>
                <c:pt idx="1">
                  <c:v>2572.0</c:v>
                </c:pt>
                <c:pt idx="3">
                  <c:v>10665.0</c:v>
                </c:pt>
              </c:numCache>
            </c:numRef>
          </c:val>
          <c:extLst xmlns:c16r2="http://schemas.microsoft.com/office/drawing/2015/06/chart">
            <c:ext xmlns:c16="http://schemas.microsoft.com/office/drawing/2014/chart" uri="{C3380CC4-5D6E-409C-BE32-E72D297353CC}">
              <c16:uniqueId val="{00000003-C311-43D9-B863-170873858F6D}"/>
            </c:ext>
          </c:extLst>
        </c:ser>
        <c:ser>
          <c:idx val="3"/>
          <c:order val="3"/>
          <c:tx>
            <c:strRef>
              <c:f>Hoja1!$A$5</c:f>
              <c:strCache>
                <c:ptCount val="1"/>
                <c:pt idx="0">
                  <c:v>Ecuador</c:v>
                </c:pt>
              </c:strCache>
            </c:strRef>
          </c:tx>
          <c:spPr>
            <a:solidFill>
              <a:schemeClr val="accent4"/>
            </a:solidFill>
            <a:ln>
              <a:noFill/>
            </a:ln>
            <a:effectLst/>
          </c:spPr>
          <c:invertIfNegative val="0"/>
          <c:dLbls>
            <c:dLbl>
              <c:idx val="1"/>
              <c:tx>
                <c:rich>
                  <a:bodyPr/>
                  <a:lstStyle/>
                  <a:p>
                    <a:fld id="{CF9F2164-10C3-4E38-B901-C4932ECC3C18}" type="SERIESNAME">
                      <a:rPr lang="en-US">
                        <a:solidFill>
                          <a:sysClr val="windowText" lastClr="000000"/>
                        </a:solidFill>
                      </a:rPr>
                      <a:pPr/>
                      <a:t>[SERIES NAME]</a:t>
                    </a:fld>
                    <a:endParaRPr lang="en-US"/>
                  </a:p>
                </c:rich>
              </c:tx>
              <c:dLblPos val="ctr"/>
              <c:showLegendKey val="0"/>
              <c:showVal val="0"/>
              <c:showCatName val="0"/>
              <c:showSerName val="1"/>
              <c:showPercent val="0"/>
              <c:showBubbleSize val="0"/>
              <c:extLst xmlns:c16r2="http://schemas.microsoft.com/office/drawing/2015/06/chart">
                <c:ext xmlns:c16="http://schemas.microsoft.com/office/drawing/2014/chart" uri="{C3380CC4-5D6E-409C-BE32-E72D297353CC}">
                  <c16:uniqueId val="{00000004-C311-43D9-B863-170873858F6D}"/>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Hoja1!$B$1:$E$1</c:f>
              <c:numCache>
                <c:formatCode>General</c:formatCode>
                <c:ptCount val="4"/>
                <c:pt idx="0">
                  <c:v>2014.0</c:v>
                </c:pt>
                <c:pt idx="1">
                  <c:v>2015.0</c:v>
                </c:pt>
                <c:pt idx="2">
                  <c:v>2016.0</c:v>
                </c:pt>
                <c:pt idx="3">
                  <c:v>2017.0</c:v>
                </c:pt>
              </c:numCache>
            </c:numRef>
          </c:cat>
          <c:val>
            <c:numRef>
              <c:f>Hoja1!$B$5:$E$5</c:f>
              <c:numCache>
                <c:formatCode>#,##0</c:formatCode>
                <c:ptCount val="4"/>
                <c:pt idx="1">
                  <c:v>20100.0</c:v>
                </c:pt>
              </c:numCache>
            </c:numRef>
          </c:val>
          <c:extLst xmlns:c16r2="http://schemas.microsoft.com/office/drawing/2015/06/chart">
            <c:ext xmlns:c16="http://schemas.microsoft.com/office/drawing/2014/chart" uri="{C3380CC4-5D6E-409C-BE32-E72D297353CC}">
              <c16:uniqueId val="{00000005-C311-43D9-B863-170873858F6D}"/>
            </c:ext>
          </c:extLst>
        </c:ser>
        <c:ser>
          <c:idx val="4"/>
          <c:order val="4"/>
          <c:tx>
            <c:strRef>
              <c:f>Hoja1!$A$6</c:f>
              <c:strCache>
                <c:ptCount val="1"/>
                <c:pt idx="0">
                  <c:v>Guatemala </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Hoja1!$B$1:$E$1</c:f>
              <c:numCache>
                <c:formatCode>General</c:formatCode>
                <c:ptCount val="4"/>
                <c:pt idx="0">
                  <c:v>2014.0</c:v>
                </c:pt>
                <c:pt idx="1">
                  <c:v>2015.0</c:v>
                </c:pt>
                <c:pt idx="2">
                  <c:v>2016.0</c:v>
                </c:pt>
                <c:pt idx="3">
                  <c:v>2017.0</c:v>
                </c:pt>
              </c:numCache>
            </c:numRef>
          </c:cat>
          <c:val>
            <c:numRef>
              <c:f>Hoja1!$B$6:$E$6</c:f>
              <c:numCache>
                <c:formatCode>#,##0</c:formatCode>
                <c:ptCount val="4"/>
                <c:pt idx="1">
                  <c:v>5000.0</c:v>
                </c:pt>
                <c:pt idx="2">
                  <c:v>5000.0</c:v>
                </c:pt>
                <c:pt idx="3">
                  <c:v>5000.0</c:v>
                </c:pt>
              </c:numCache>
            </c:numRef>
          </c:val>
          <c:extLst xmlns:c16r2="http://schemas.microsoft.com/office/drawing/2015/06/chart">
            <c:ext xmlns:c16="http://schemas.microsoft.com/office/drawing/2014/chart" uri="{C3380CC4-5D6E-409C-BE32-E72D297353CC}">
              <c16:uniqueId val="{00000006-C311-43D9-B863-170873858F6D}"/>
            </c:ext>
          </c:extLst>
        </c:ser>
        <c:ser>
          <c:idx val="5"/>
          <c:order val="5"/>
          <c:tx>
            <c:strRef>
              <c:f>Hoja1!$A$7</c:f>
              <c:strCache>
                <c:ptCount val="1"/>
                <c:pt idx="0">
                  <c:v>México </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Hoja1!$B$1:$E$1</c:f>
              <c:numCache>
                <c:formatCode>General</c:formatCode>
                <c:ptCount val="4"/>
                <c:pt idx="0">
                  <c:v>2014.0</c:v>
                </c:pt>
                <c:pt idx="1">
                  <c:v>2015.0</c:v>
                </c:pt>
                <c:pt idx="2">
                  <c:v>2016.0</c:v>
                </c:pt>
                <c:pt idx="3">
                  <c:v>2017.0</c:v>
                </c:pt>
              </c:numCache>
            </c:numRef>
          </c:cat>
          <c:val>
            <c:numRef>
              <c:f>Hoja1!$B$7:$E$7</c:f>
              <c:numCache>
                <c:formatCode>General</c:formatCode>
                <c:ptCount val="4"/>
                <c:pt idx="0" formatCode="#,##0">
                  <c:v>20000.0</c:v>
                </c:pt>
                <c:pt idx="2" formatCode="#,##0">
                  <c:v>3670.0</c:v>
                </c:pt>
              </c:numCache>
            </c:numRef>
          </c:val>
          <c:extLst xmlns:c16r2="http://schemas.microsoft.com/office/drawing/2015/06/chart">
            <c:ext xmlns:c16="http://schemas.microsoft.com/office/drawing/2014/chart" uri="{C3380CC4-5D6E-409C-BE32-E72D297353CC}">
              <c16:uniqueId val="{00000007-C311-43D9-B863-170873858F6D}"/>
            </c:ext>
          </c:extLst>
        </c:ser>
        <c:ser>
          <c:idx val="6"/>
          <c:order val="6"/>
          <c:tx>
            <c:strRef>
              <c:f>Hoja1!$A$8</c:f>
              <c:strCache>
                <c:ptCount val="1"/>
                <c:pt idx="0">
                  <c:v>Panamá </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lgn="ct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Hoja1!$B$1:$E$1</c:f>
              <c:numCache>
                <c:formatCode>General</c:formatCode>
                <c:ptCount val="4"/>
                <c:pt idx="0">
                  <c:v>2014.0</c:v>
                </c:pt>
                <c:pt idx="1">
                  <c:v>2015.0</c:v>
                </c:pt>
                <c:pt idx="2">
                  <c:v>2016.0</c:v>
                </c:pt>
                <c:pt idx="3">
                  <c:v>2017.0</c:v>
                </c:pt>
              </c:numCache>
            </c:numRef>
          </c:cat>
          <c:val>
            <c:numRef>
              <c:f>Hoja1!$B$8:$E$8</c:f>
              <c:numCache>
                <c:formatCode>#,##0</c:formatCode>
                <c:ptCount val="4"/>
                <c:pt idx="0">
                  <c:v>10000.0</c:v>
                </c:pt>
                <c:pt idx="1">
                  <c:v>10000.0</c:v>
                </c:pt>
                <c:pt idx="2">
                  <c:v>10000.0</c:v>
                </c:pt>
                <c:pt idx="3">
                  <c:v>10000.0</c:v>
                </c:pt>
              </c:numCache>
            </c:numRef>
          </c:val>
          <c:extLst xmlns:c16r2="http://schemas.microsoft.com/office/drawing/2015/06/chart">
            <c:ext xmlns:c16="http://schemas.microsoft.com/office/drawing/2014/chart" uri="{C3380CC4-5D6E-409C-BE32-E72D297353CC}">
              <c16:uniqueId val="{00000008-C311-43D9-B863-170873858F6D}"/>
            </c:ext>
          </c:extLst>
        </c:ser>
        <c:ser>
          <c:idx val="7"/>
          <c:order val="7"/>
          <c:tx>
            <c:strRef>
              <c:f>Hoja1!$A$9</c:f>
              <c:strCache>
                <c:ptCount val="1"/>
                <c:pt idx="0">
                  <c:v>Perú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Hoja1!$B$1:$E$1</c:f>
              <c:numCache>
                <c:formatCode>General</c:formatCode>
                <c:ptCount val="4"/>
                <c:pt idx="0">
                  <c:v>2014.0</c:v>
                </c:pt>
                <c:pt idx="1">
                  <c:v>2015.0</c:v>
                </c:pt>
                <c:pt idx="2">
                  <c:v>2016.0</c:v>
                </c:pt>
                <c:pt idx="3">
                  <c:v>2017.0</c:v>
                </c:pt>
              </c:numCache>
            </c:numRef>
          </c:cat>
          <c:val>
            <c:numRef>
              <c:f>Hoja1!$B$9:$E$9</c:f>
              <c:numCache>
                <c:formatCode>#,##0</c:formatCode>
                <c:ptCount val="4"/>
                <c:pt idx="1">
                  <c:v>10000.0</c:v>
                </c:pt>
                <c:pt idx="2">
                  <c:v>10000.0</c:v>
                </c:pt>
                <c:pt idx="3">
                  <c:v>20076.0</c:v>
                </c:pt>
              </c:numCache>
            </c:numRef>
          </c:val>
          <c:extLst xmlns:c16r2="http://schemas.microsoft.com/office/drawing/2015/06/chart">
            <c:ext xmlns:c16="http://schemas.microsoft.com/office/drawing/2014/chart" uri="{C3380CC4-5D6E-409C-BE32-E72D297353CC}">
              <c16:uniqueId val="{00000009-C311-43D9-B863-170873858F6D}"/>
            </c:ext>
          </c:extLst>
        </c:ser>
        <c:ser>
          <c:idx val="8"/>
          <c:order val="8"/>
          <c:tx>
            <c:strRef>
              <c:f>Hoja1!$A$10</c:f>
              <c:strCache>
                <c:ptCount val="1"/>
                <c:pt idx="0">
                  <c:v>Rep Dominicana </c:v>
                </c:pt>
              </c:strCache>
            </c:strRef>
          </c:tx>
          <c:spPr>
            <a:solidFill>
              <a:schemeClr val="accent3">
                <a:lumMod val="60000"/>
              </a:schemeClr>
            </a:solidFill>
            <a:ln>
              <a:noFill/>
            </a:ln>
            <a:effectLst/>
          </c:spPr>
          <c:invertIfNegative val="0"/>
          <c:dLbls>
            <c:spPr>
              <a:solidFill>
                <a:schemeClr val="accent5">
                  <a:lumMod val="60000"/>
                  <a:lumOff val="4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Hoja1!$B$1:$E$1</c:f>
              <c:numCache>
                <c:formatCode>General</c:formatCode>
                <c:ptCount val="4"/>
                <c:pt idx="0">
                  <c:v>2014.0</c:v>
                </c:pt>
                <c:pt idx="1">
                  <c:v>2015.0</c:v>
                </c:pt>
                <c:pt idx="2">
                  <c:v>2016.0</c:v>
                </c:pt>
                <c:pt idx="3">
                  <c:v>2017.0</c:v>
                </c:pt>
              </c:numCache>
            </c:numRef>
          </c:cat>
          <c:val>
            <c:numRef>
              <c:f>Hoja1!$B$10:$E$10</c:f>
              <c:numCache>
                <c:formatCode>General</c:formatCode>
                <c:ptCount val="4"/>
                <c:pt idx="2" formatCode="#,##0">
                  <c:v>4968.0</c:v>
                </c:pt>
                <c:pt idx="3" formatCode="#,##0">
                  <c:v>4968.0</c:v>
                </c:pt>
              </c:numCache>
            </c:numRef>
          </c:val>
          <c:extLst xmlns:c16r2="http://schemas.microsoft.com/office/drawing/2015/06/chart">
            <c:ext xmlns:c16="http://schemas.microsoft.com/office/drawing/2014/chart" uri="{C3380CC4-5D6E-409C-BE32-E72D297353CC}">
              <c16:uniqueId val="{0000000A-C311-43D9-B863-170873858F6D}"/>
            </c:ext>
          </c:extLst>
        </c:ser>
        <c:ser>
          <c:idx val="9"/>
          <c:order val="9"/>
          <c:spPr>
            <a:solidFill>
              <a:schemeClr val="accent4">
                <a:lumMod val="60000"/>
              </a:schemeClr>
            </a:solidFill>
            <a:ln>
              <a:noFill/>
            </a:ln>
            <a:effectLst/>
          </c:spPr>
          <c:invertIfNegative val="0"/>
          <c:dLbls>
            <c:dLbl>
              <c:idx val="0"/>
              <c:layout>
                <c:manualLayout>
                  <c:x val="0.0974590912693923"/>
                  <c:y val="0.438555364130111"/>
                </c:manualLayout>
              </c:layout>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C311-43D9-B863-170873858F6D}"/>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Hoja1!$B$1:$E$1</c:f>
              <c:numCache>
                <c:formatCode>General</c:formatCode>
                <c:ptCount val="4"/>
                <c:pt idx="0">
                  <c:v>2014.0</c:v>
                </c:pt>
                <c:pt idx="1">
                  <c:v>2015.0</c:v>
                </c:pt>
                <c:pt idx="2">
                  <c:v>2016.0</c:v>
                </c:pt>
                <c:pt idx="3">
                  <c:v>2017.0</c:v>
                </c:pt>
              </c:numCache>
            </c:numRef>
          </c:cat>
          <c:val>
            <c:numRef>
              <c:f>Hoja1!$C$15</c:f>
              <c:numCache>
                <c:formatCode>0%</c:formatCode>
                <c:ptCount val="1"/>
                <c:pt idx="0">
                  <c:v>0.167347714530077</c:v>
                </c:pt>
              </c:numCache>
            </c:numRef>
          </c:val>
          <c:extLst xmlns:c16r2="http://schemas.microsoft.com/office/drawing/2015/06/chart">
            <c:ext xmlns:c16="http://schemas.microsoft.com/office/drawing/2014/chart" uri="{C3380CC4-5D6E-409C-BE32-E72D297353CC}">
              <c16:uniqueId val="{0000000C-C311-43D9-B863-170873858F6D}"/>
            </c:ext>
          </c:extLst>
        </c:ser>
        <c:ser>
          <c:idx val="10"/>
          <c:order val="10"/>
          <c:spPr>
            <a:solidFill>
              <a:schemeClr val="accent5">
                <a:lumMod val="60000"/>
              </a:schemeClr>
            </a:solidFill>
            <a:ln>
              <a:noFill/>
            </a:ln>
            <a:effectLst/>
          </c:spPr>
          <c:invertIfNegative val="0"/>
          <c:dLbls>
            <c:dLbl>
              <c:idx val="0"/>
              <c:layout>
                <c:manualLayout>
                  <c:x val="0.102033322123178"/>
                  <c:y val="0.331288754228539"/>
                </c:manualLayout>
              </c:layout>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C311-43D9-B863-170873858F6D}"/>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Hoja1!$B$1:$E$1</c:f>
              <c:numCache>
                <c:formatCode>General</c:formatCode>
                <c:ptCount val="4"/>
                <c:pt idx="0">
                  <c:v>2014.0</c:v>
                </c:pt>
                <c:pt idx="1">
                  <c:v>2015.0</c:v>
                </c:pt>
                <c:pt idx="2">
                  <c:v>2016.0</c:v>
                </c:pt>
                <c:pt idx="3">
                  <c:v>2017.0</c:v>
                </c:pt>
              </c:numCache>
            </c:numRef>
          </c:cat>
          <c:val>
            <c:numRef>
              <c:f>Hoja1!$C$16</c:f>
              <c:numCache>
                <c:formatCode>0%</c:formatCode>
                <c:ptCount val="1"/>
                <c:pt idx="0">
                  <c:v>0.316766448097817</c:v>
                </c:pt>
              </c:numCache>
            </c:numRef>
          </c:val>
          <c:extLst xmlns:c16r2="http://schemas.microsoft.com/office/drawing/2015/06/chart">
            <c:ext xmlns:c16="http://schemas.microsoft.com/office/drawing/2014/chart" uri="{C3380CC4-5D6E-409C-BE32-E72D297353CC}">
              <c16:uniqueId val="{0000000E-C311-43D9-B863-170873858F6D}"/>
            </c:ext>
          </c:extLst>
        </c:ser>
        <c:ser>
          <c:idx val="11"/>
          <c:order val="11"/>
          <c:spPr>
            <a:solidFill>
              <a:schemeClr val="accent6">
                <a:lumMod val="60000"/>
              </a:schemeClr>
            </a:solidFill>
            <a:ln>
              <a:noFill/>
            </a:ln>
            <a:effectLst/>
          </c:spPr>
          <c:invertIfNegative val="0"/>
          <c:dLbls>
            <c:dLbl>
              <c:idx val="0"/>
              <c:layout>
                <c:manualLayout>
                  <c:x val="0.0977361385913837"/>
                  <c:y val="0.24082138345842"/>
                </c:manualLayout>
              </c:layout>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C311-43D9-B863-170873858F6D}"/>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Hoja1!$B$1:$E$1</c:f>
              <c:numCache>
                <c:formatCode>General</c:formatCode>
                <c:ptCount val="4"/>
                <c:pt idx="0">
                  <c:v>2014.0</c:v>
                </c:pt>
                <c:pt idx="1">
                  <c:v>2015.0</c:v>
                </c:pt>
                <c:pt idx="2">
                  <c:v>2016.0</c:v>
                </c:pt>
                <c:pt idx="3">
                  <c:v>2017.0</c:v>
                </c:pt>
              </c:numCache>
            </c:numRef>
          </c:cat>
          <c:val>
            <c:numRef>
              <c:f>Hoja1!$C$17</c:f>
              <c:numCache>
                <c:formatCode>0%</c:formatCode>
                <c:ptCount val="1"/>
                <c:pt idx="0">
                  <c:v>0.0407361652253793</c:v>
                </c:pt>
              </c:numCache>
            </c:numRef>
          </c:val>
          <c:extLst xmlns:c16r2="http://schemas.microsoft.com/office/drawing/2015/06/chart">
            <c:ext xmlns:c16="http://schemas.microsoft.com/office/drawing/2014/chart" uri="{C3380CC4-5D6E-409C-BE32-E72D297353CC}">
              <c16:uniqueId val="{00000010-C311-43D9-B863-170873858F6D}"/>
            </c:ext>
          </c:extLst>
        </c:ser>
        <c:ser>
          <c:idx val="12"/>
          <c:order val="12"/>
          <c:spPr>
            <a:solidFill>
              <a:schemeClr val="accent1">
                <a:lumMod val="80000"/>
                <a:lumOff val="20000"/>
              </a:schemeClr>
            </a:solidFill>
            <a:ln>
              <a:noFill/>
            </a:ln>
            <a:effectLst/>
          </c:spPr>
          <c:invertIfNegative val="0"/>
          <c:dLbls>
            <c:dLbl>
              <c:idx val="0"/>
              <c:layout>
                <c:manualLayout>
                  <c:x val="0.0993650742345734"/>
                  <c:y val="0.0319160869643689"/>
                </c:manualLayout>
              </c:layout>
              <c:tx>
                <c:rich>
                  <a:bodyPr/>
                  <a:lstStyle/>
                  <a:p>
                    <a:r>
                      <a:rPr lang="en-US"/>
                      <a:t>16%</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C311-43D9-B863-170873858F6D}"/>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Hoja1!$B$1:$E$1</c:f>
              <c:numCache>
                <c:formatCode>General</c:formatCode>
                <c:ptCount val="4"/>
                <c:pt idx="0">
                  <c:v>2014.0</c:v>
                </c:pt>
                <c:pt idx="1">
                  <c:v>2015.0</c:v>
                </c:pt>
                <c:pt idx="2">
                  <c:v>2016.0</c:v>
                </c:pt>
                <c:pt idx="3">
                  <c:v>2017.0</c:v>
                </c:pt>
              </c:numCache>
            </c:numRef>
          </c:cat>
          <c:val>
            <c:numRef>
              <c:f>Hoja1!$C$20</c:f>
              <c:numCache>
                <c:formatCode>0%</c:formatCode>
                <c:ptCount val="1"/>
                <c:pt idx="0">
                  <c:v>0.316766448097817</c:v>
                </c:pt>
              </c:numCache>
            </c:numRef>
          </c:val>
          <c:extLst xmlns:c16r2="http://schemas.microsoft.com/office/drawing/2015/06/chart">
            <c:ext xmlns:c16="http://schemas.microsoft.com/office/drawing/2014/chart" uri="{C3380CC4-5D6E-409C-BE32-E72D297353CC}">
              <c16:uniqueId val="{00000012-C311-43D9-B863-170873858F6D}"/>
            </c:ext>
          </c:extLst>
        </c:ser>
        <c:ser>
          <c:idx val="13"/>
          <c:order val="13"/>
          <c:spPr>
            <a:solidFill>
              <a:schemeClr val="accent2">
                <a:lumMod val="80000"/>
                <a:lumOff val="20000"/>
              </a:schemeClr>
            </a:solidFill>
            <a:ln>
              <a:noFill/>
            </a:ln>
            <a:effectLst/>
          </c:spPr>
          <c:invertIfNegative val="0"/>
          <c:dLbls>
            <c:dLbl>
              <c:idx val="0"/>
              <c:layout>
                <c:manualLayout>
                  <c:x val="0.102622945520953"/>
                  <c:y val="0.150876047467926"/>
                </c:manualLayout>
              </c:layout>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C311-43D9-B863-170873858F6D}"/>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Hoja1!$B$1:$E$1</c:f>
              <c:numCache>
                <c:formatCode>General</c:formatCode>
                <c:ptCount val="4"/>
                <c:pt idx="0">
                  <c:v>2014.0</c:v>
                </c:pt>
                <c:pt idx="1">
                  <c:v>2015.0</c:v>
                </c:pt>
                <c:pt idx="2">
                  <c:v>2016.0</c:v>
                </c:pt>
                <c:pt idx="3">
                  <c:v>2017.0</c:v>
                </c:pt>
              </c:numCache>
            </c:numRef>
          </c:cat>
          <c:val>
            <c:numRef>
              <c:f>Hoja1!$C$20</c:f>
              <c:numCache>
                <c:formatCode>0%</c:formatCode>
                <c:ptCount val="1"/>
                <c:pt idx="0">
                  <c:v>0.316766448097817</c:v>
                </c:pt>
              </c:numCache>
            </c:numRef>
          </c:val>
          <c:extLst xmlns:c16r2="http://schemas.microsoft.com/office/drawing/2015/06/chart">
            <c:ext xmlns:c16="http://schemas.microsoft.com/office/drawing/2014/chart" uri="{C3380CC4-5D6E-409C-BE32-E72D297353CC}">
              <c16:uniqueId val="{00000014-C311-43D9-B863-170873858F6D}"/>
            </c:ext>
          </c:extLst>
        </c:ser>
        <c:dLbls>
          <c:dLblPos val="ctr"/>
          <c:showLegendKey val="0"/>
          <c:showVal val="1"/>
          <c:showCatName val="0"/>
          <c:showSerName val="0"/>
          <c:showPercent val="0"/>
          <c:showBubbleSize val="0"/>
        </c:dLbls>
        <c:gapWidth val="43"/>
        <c:overlap val="100"/>
        <c:axId val="-2099559424"/>
        <c:axId val="-2099556720"/>
      </c:barChart>
      <c:catAx>
        <c:axId val="-2099559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9556720"/>
        <c:crosses val="autoZero"/>
        <c:auto val="1"/>
        <c:lblAlgn val="ctr"/>
        <c:lblOffset val="100"/>
        <c:noMultiLvlLbl val="0"/>
      </c:catAx>
      <c:valAx>
        <c:axId val="-20995567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CL"/>
                  <a:t>CONTRIBUCIONES (USD)</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9559424"/>
        <c:crosses val="autoZero"/>
        <c:crossBetween val="between"/>
      </c:valAx>
      <c:spPr>
        <a:noFill/>
        <a:ln>
          <a:noFill/>
        </a:ln>
        <a:effectLst/>
      </c:spPr>
    </c:plotArea>
    <c:legend>
      <c:legendPos val="b"/>
      <c:legendEntry>
        <c:idx val="9"/>
        <c:delete val="1"/>
      </c:legendEntry>
      <c:legendEntry>
        <c:idx val="10"/>
        <c:delete val="1"/>
      </c:legendEntry>
      <c:legendEntry>
        <c:idx val="11"/>
        <c:delete val="1"/>
      </c:legendEntry>
      <c:legendEntry>
        <c:idx val="12"/>
        <c:delete val="1"/>
      </c:legendEntry>
      <c:legendEntry>
        <c:idx val="13"/>
        <c:delete val="1"/>
      </c:legendEntry>
      <c:layout>
        <c:manualLayout>
          <c:xMode val="edge"/>
          <c:yMode val="edge"/>
          <c:x val="0.0884993754599412"/>
          <c:y val="0.867282978516574"/>
          <c:w val="0.809423516561448"/>
          <c:h val="0.13271702148342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0.49568</cdr:x>
      <cdr:y>0.23668</cdr:y>
    </cdr:from>
    <cdr:to>
      <cdr:x>0.55128</cdr:x>
      <cdr:y>0.69013</cdr:y>
    </cdr:to>
    <cdr:sp macro="" textlink="">
      <cdr:nvSpPr>
        <cdr:cNvPr id="2" name="Cuadro de texto 1"/>
        <cdr:cNvSpPr txBox="1"/>
      </cdr:nvSpPr>
      <cdr:spPr>
        <a:xfrm xmlns:a="http://schemas.openxmlformats.org/drawingml/2006/main">
          <a:off x="3844290" y="1037098"/>
          <a:ext cx="431165" cy="1986915"/>
        </a:xfrm>
        <a:prstGeom xmlns:a="http://schemas.openxmlformats.org/drawingml/2006/main" prst="rect">
          <a:avLst/>
        </a:prstGeom>
        <a:noFill xmlns:a="http://schemas.openxmlformats.org/drawingml/2006/main"/>
        <a:ln xmlns:a="http://schemas.openxmlformats.org/drawingml/2006/main" w="6350">
          <a:noFill/>
        </a:ln>
        <a:effectLst xmlns:a="http://schemas.openxmlformats.org/drawingml/2006/main"/>
      </cdr:spPr>
      <cdr:style>
        <a:lnRef xmlns:a="http://schemas.openxmlformats.org/drawingml/2006/main" idx="0">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nSpc>
              <a:spcPct val="107000"/>
            </a:lnSpc>
            <a:spcAft>
              <a:spcPts val="800"/>
            </a:spcAft>
          </a:pPr>
          <a:r>
            <a:rPr lang="es-CL" sz="900">
              <a:ln>
                <a:noFill/>
              </a:ln>
              <a:solidFill>
                <a:sysClr val="windowText" lastClr="000000"/>
              </a:solidFill>
              <a:effectLst/>
              <a:ea typeface="Calibri" panose="020F0502020204030204" pitchFamily="34" charset="0"/>
              <a:cs typeface="Times New Roman" panose="02020603050405020304" pitchFamily="18" charset="0"/>
            </a:rPr>
            <a:t>13%</a:t>
          </a:r>
        </a:p>
        <a:p xmlns:a="http://schemas.openxmlformats.org/drawingml/2006/main">
          <a:pPr>
            <a:lnSpc>
              <a:spcPct val="107000"/>
            </a:lnSpc>
            <a:spcAft>
              <a:spcPts val="800"/>
            </a:spcAft>
          </a:pPr>
          <a:r>
            <a:rPr lang="es-CL" sz="900">
              <a:ln>
                <a:noFill/>
              </a:ln>
              <a:solidFill>
                <a:sysClr val="windowText" lastClr="000000"/>
              </a:solidFill>
              <a:effectLst/>
              <a:ea typeface="Calibri" panose="020F0502020204030204" pitchFamily="34" charset="0"/>
              <a:cs typeface="Times New Roman" panose="02020603050405020304" pitchFamily="18" charset="0"/>
            </a:rPr>
            <a:t>13%</a:t>
          </a:r>
        </a:p>
        <a:p xmlns:a="http://schemas.openxmlformats.org/drawingml/2006/main">
          <a:pPr>
            <a:lnSpc>
              <a:spcPct val="107000"/>
            </a:lnSpc>
            <a:spcAft>
              <a:spcPts val="800"/>
            </a:spcAft>
          </a:pPr>
          <a:r>
            <a:rPr lang="es-CL" sz="900">
              <a:ln>
                <a:noFill/>
              </a:ln>
              <a:solidFill>
                <a:sysClr val="windowText" lastClr="000000"/>
              </a:solidFill>
              <a:effectLst/>
              <a:ea typeface="Calibri" panose="020F0502020204030204" pitchFamily="34" charset="0"/>
              <a:cs typeface="Times New Roman" panose="02020603050405020304" pitchFamily="18" charset="0"/>
            </a:rPr>
            <a:t>7%</a:t>
          </a:r>
        </a:p>
        <a:p xmlns:a="http://schemas.openxmlformats.org/drawingml/2006/main">
          <a:pPr>
            <a:lnSpc>
              <a:spcPct val="107000"/>
            </a:lnSpc>
            <a:spcAft>
              <a:spcPts val="800"/>
            </a:spcAft>
          </a:pPr>
          <a:r>
            <a:rPr lang="es-CL" sz="900">
              <a:ln>
                <a:noFill/>
              </a:ln>
              <a:solidFill>
                <a:sysClr val="windowText" lastClr="000000"/>
              </a:solidFill>
              <a:effectLst/>
              <a:ea typeface="Calibri" panose="020F0502020204030204" pitchFamily="34" charset="0"/>
              <a:cs typeface="Times New Roman" panose="02020603050405020304" pitchFamily="18" charset="0"/>
            </a:rPr>
            <a:t>26%</a:t>
          </a:r>
        </a:p>
        <a:p xmlns:a="http://schemas.openxmlformats.org/drawingml/2006/main">
          <a:pPr>
            <a:lnSpc>
              <a:spcPct val="107000"/>
            </a:lnSpc>
            <a:spcAft>
              <a:spcPts val="800"/>
            </a:spcAft>
          </a:pPr>
          <a:r>
            <a:rPr lang="es-CL" sz="900">
              <a:ln>
                <a:noFill/>
              </a:ln>
              <a:solidFill>
                <a:sysClr val="windowText" lastClr="000000"/>
              </a:solidFill>
              <a:effectLst/>
              <a:ea typeface="Calibri" panose="020F0502020204030204" pitchFamily="34" charset="0"/>
              <a:cs typeface="Times New Roman" panose="02020603050405020304" pitchFamily="18" charset="0"/>
            </a:rPr>
            <a:t>3%</a:t>
          </a:r>
        </a:p>
        <a:p xmlns:a="http://schemas.openxmlformats.org/drawingml/2006/main">
          <a:pPr>
            <a:lnSpc>
              <a:spcPct val="107000"/>
            </a:lnSpc>
            <a:spcAft>
              <a:spcPts val="800"/>
            </a:spcAft>
          </a:pPr>
          <a:r>
            <a:rPr lang="es-CL" sz="900">
              <a:ln>
                <a:noFill/>
              </a:ln>
              <a:solidFill>
                <a:sysClr val="windowText" lastClr="000000"/>
              </a:solidFill>
              <a:effectLst/>
              <a:ea typeface="Calibri" panose="020F0502020204030204" pitchFamily="34" charset="0"/>
              <a:cs typeface="Times New Roman" panose="02020603050405020304" pitchFamily="18" charset="0"/>
            </a:rPr>
            <a:t>26%</a:t>
          </a:r>
        </a:p>
        <a:p xmlns:a="http://schemas.openxmlformats.org/drawingml/2006/main">
          <a:pPr>
            <a:lnSpc>
              <a:spcPct val="107000"/>
            </a:lnSpc>
            <a:spcAft>
              <a:spcPts val="800"/>
            </a:spcAft>
          </a:pPr>
          <a:r>
            <a:rPr lang="es-CL" sz="900">
              <a:ln>
                <a:noFill/>
              </a:ln>
              <a:solidFill>
                <a:sysClr val="windowText" lastClr="000000"/>
              </a:solidFill>
              <a:effectLst/>
              <a:ea typeface="Calibri" panose="020F0502020204030204" pitchFamily="34" charset="0"/>
              <a:cs typeface="Times New Roman" panose="02020603050405020304" pitchFamily="18" charset="0"/>
            </a:rPr>
            <a:t>11%</a:t>
          </a:r>
        </a:p>
        <a:p xmlns:a="http://schemas.openxmlformats.org/drawingml/2006/main">
          <a:pPr>
            <a:lnSpc>
              <a:spcPct val="107000"/>
            </a:lnSpc>
            <a:spcAft>
              <a:spcPts val="800"/>
            </a:spcAft>
          </a:pPr>
          <a:r>
            <a:rPr lang="es-CL" sz="900">
              <a:ln>
                <a:noFill/>
              </a:ln>
              <a:solidFill>
                <a:sysClr val="windowText" lastClr="000000"/>
              </a:solidFill>
              <a:effectLst/>
              <a:ea typeface="Calibri" panose="020F0502020204030204" pitchFamily="34" charset="0"/>
              <a:cs typeface="Times New Roman" panose="02020603050405020304" pitchFamily="18" charset="0"/>
            </a:rPr>
            <a:t> </a:t>
          </a:r>
        </a:p>
      </cdr:txBody>
    </cdr:sp>
  </cdr:relSizeAnchor>
  <cdr:relSizeAnchor xmlns:cdr="http://schemas.openxmlformats.org/drawingml/2006/chartDrawing">
    <cdr:from>
      <cdr:x>0.71667</cdr:x>
      <cdr:y>0.33878</cdr:y>
    </cdr:from>
    <cdr:to>
      <cdr:x>0.85953</cdr:x>
      <cdr:y>0.79092</cdr:y>
    </cdr:to>
    <cdr:sp macro="" textlink="">
      <cdr:nvSpPr>
        <cdr:cNvPr id="3" name="Cuadro de texto 2"/>
        <cdr:cNvSpPr txBox="1"/>
      </cdr:nvSpPr>
      <cdr:spPr>
        <a:xfrm xmlns:a="http://schemas.openxmlformats.org/drawingml/2006/main">
          <a:off x="4022035" y="1045523"/>
          <a:ext cx="801756" cy="1395349"/>
        </a:xfrm>
        <a:prstGeom xmlns:a="http://schemas.openxmlformats.org/drawingml/2006/main" prst="rect">
          <a:avLst/>
        </a:prstGeom>
        <a:noFill xmlns:a="http://schemas.openxmlformats.org/drawingml/2006/main"/>
        <a:ln xmlns:a="http://schemas.openxmlformats.org/drawingml/2006/main" w="6350">
          <a:noFill/>
        </a:ln>
        <a:effectLst xmlns:a="http://schemas.openxmlformats.org/drawingml/2006/main"/>
      </cdr:spPr>
      <cdr:style>
        <a:lnRef xmlns:a="http://schemas.openxmlformats.org/drawingml/2006/main" idx="0">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9%</a:t>
          </a: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18%</a:t>
          </a: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18%</a:t>
          </a: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6%</a:t>
          </a: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9%</a:t>
          </a: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35%</a:t>
          </a: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6%</a:t>
          </a:r>
        </a:p>
      </cdr:txBody>
    </cdr:sp>
  </cdr:relSizeAnchor>
  <cdr:relSizeAnchor xmlns:cdr="http://schemas.openxmlformats.org/drawingml/2006/chartDrawing">
    <cdr:from>
      <cdr:x>0.71444</cdr:x>
      <cdr:y>0.60762</cdr:y>
    </cdr:from>
    <cdr:to>
      <cdr:x>0.73202</cdr:x>
      <cdr:y>0.61239</cdr:y>
    </cdr:to>
    <cdr:cxnSp macro="">
      <cdr:nvCxnSpPr>
        <cdr:cNvPr id="5" name="Conector recto 4"/>
        <cdr:cNvCxnSpPr/>
      </cdr:nvCxnSpPr>
      <cdr:spPr>
        <a:xfrm xmlns:a="http://schemas.openxmlformats.org/drawingml/2006/main" flipV="1">
          <a:off x="4009530" y="1875182"/>
          <a:ext cx="98644" cy="1471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0.70647</cdr:x>
      <cdr:y>0.79003</cdr:y>
    </cdr:from>
    <cdr:to>
      <cdr:x>0.73425</cdr:x>
      <cdr:y>0.79929</cdr:y>
    </cdr:to>
    <cdr:cxnSp macro="">
      <cdr:nvCxnSpPr>
        <cdr:cNvPr id="6" name="Conector recto 5"/>
        <cdr:cNvCxnSpPr/>
      </cdr:nvCxnSpPr>
      <cdr:spPr>
        <a:xfrm xmlns:a="http://schemas.openxmlformats.org/drawingml/2006/main" flipV="1">
          <a:off x="5479026" y="3461774"/>
          <a:ext cx="215490" cy="40557"/>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0.93391</cdr:x>
      <cdr:y>0.19529</cdr:y>
    </cdr:from>
    <cdr:to>
      <cdr:x>1</cdr:x>
      <cdr:y>0.6592</cdr:y>
    </cdr:to>
    <cdr:sp macro="" textlink="">
      <cdr:nvSpPr>
        <cdr:cNvPr id="11" name="Cuadro de texto 3"/>
        <cdr:cNvSpPr txBox="1"/>
      </cdr:nvSpPr>
      <cdr:spPr>
        <a:xfrm xmlns:a="http://schemas.openxmlformats.org/drawingml/2006/main">
          <a:off x="5241235" y="602684"/>
          <a:ext cx="370895" cy="1431673"/>
        </a:xfrm>
        <a:prstGeom xmlns:a="http://schemas.openxmlformats.org/drawingml/2006/main" prst="rect">
          <a:avLst/>
        </a:prstGeom>
        <a:noFill xmlns:a="http://schemas.openxmlformats.org/drawingml/2006/main"/>
        <a:ln xmlns:a="http://schemas.openxmlformats.org/drawingml/2006/main" w="6350">
          <a:noFill/>
        </a:ln>
        <a:effectLst xmlns:a="http://schemas.openxmlformats.org/drawingml/2006/main"/>
      </cdr:spPr>
      <cdr:style>
        <a:lnRef xmlns:a="http://schemas.openxmlformats.org/drawingml/2006/main" idx="0">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6%</a:t>
          </a: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25%</a:t>
          </a:r>
        </a:p>
        <a:p xmlns:a="http://schemas.openxmlformats.org/drawingml/2006/main">
          <a:pPr>
            <a:lnSpc>
              <a:spcPct val="107000"/>
            </a:lnSpc>
            <a:spcAft>
              <a:spcPts val="800"/>
            </a:spcAft>
          </a:pPr>
          <a:endParaRPr lang="es-CL" sz="100" dirty="0">
            <a:effectLst/>
            <a:ea typeface="Calibri" panose="020F0502020204030204" pitchFamily="34" charset="0"/>
            <a:cs typeface="Times New Roman" panose="02020603050405020304" pitchFamily="18" charset="0"/>
          </a:endParaRP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12%</a:t>
          </a: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6%</a:t>
          </a: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13%</a:t>
          </a: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25%</a:t>
          </a:r>
        </a:p>
        <a:p xmlns:a="http://schemas.openxmlformats.org/drawingml/2006/main">
          <a:pPr>
            <a:lnSpc>
              <a:spcPct val="107000"/>
            </a:lnSpc>
            <a:spcAft>
              <a:spcPts val="800"/>
            </a:spcAft>
          </a:pPr>
          <a:endParaRPr lang="es-CL" sz="200" dirty="0">
            <a:effectLst/>
            <a:ea typeface="Calibri" panose="020F0502020204030204" pitchFamily="34" charset="0"/>
            <a:cs typeface="Times New Roman" panose="02020603050405020304" pitchFamily="18" charset="0"/>
          </a:endParaRP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12%</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853DD0-638B-0A49-B4E5-B153B9B3D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15244</Words>
  <Characters>86896</Characters>
  <Application>Microsoft Macintosh Word</Application>
  <DocSecurity>0</DocSecurity>
  <Lines>724</Lines>
  <Paragraphs>203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101937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jordip</dc:creator>
  <cp:lastModifiedBy>Angeline djampou</cp:lastModifiedBy>
  <cp:revision>2</cp:revision>
  <cp:lastPrinted>2018-09-11T14:22:00Z</cp:lastPrinted>
  <dcterms:created xsi:type="dcterms:W3CDTF">2018-09-18T17:30:00Z</dcterms:created>
  <dcterms:modified xsi:type="dcterms:W3CDTF">2018-09-18T17:30:00Z</dcterms:modified>
</cp:coreProperties>
</file>