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8F4" w:rsidRPr="009B2FBE" w:rsidRDefault="00C008F4">
      <w:pPr>
        <w:jc w:val="both"/>
        <w:rPr>
          <w:rFonts w:ascii="Roboto" w:eastAsia="Calibri" w:hAnsi="Roboto" w:cs="Calibri"/>
          <w:sz w:val="22"/>
          <w:szCs w:val="22"/>
          <w:lang w:val="es-PA"/>
        </w:rPr>
      </w:pPr>
      <w:bookmarkStart w:id="0" w:name="_GoBack"/>
      <w:bookmarkEnd w:id="0"/>
    </w:p>
    <w:p w:rsidR="00C008F4" w:rsidRPr="009B2FBE" w:rsidRDefault="00C008F4">
      <w:pPr>
        <w:jc w:val="both"/>
        <w:rPr>
          <w:rFonts w:ascii="Roboto" w:eastAsia="Calibri" w:hAnsi="Roboto" w:cs="Calibri"/>
          <w:sz w:val="22"/>
          <w:szCs w:val="22"/>
          <w:lang w:val="es-PA"/>
        </w:rPr>
      </w:pPr>
    </w:p>
    <w:p w:rsidR="00C008F4" w:rsidRPr="009B2FBE" w:rsidRDefault="00C008F4">
      <w:pPr>
        <w:jc w:val="both"/>
        <w:rPr>
          <w:rFonts w:ascii="Roboto" w:eastAsia="Calibri" w:hAnsi="Roboto" w:cs="Calibri"/>
          <w:sz w:val="22"/>
          <w:szCs w:val="22"/>
          <w:lang w:val="es-PA"/>
        </w:rPr>
      </w:pPr>
    </w:p>
    <w:p w:rsidR="00C008F4" w:rsidRPr="009B2FBE" w:rsidRDefault="00C008F4">
      <w:pPr>
        <w:jc w:val="both"/>
        <w:rPr>
          <w:rFonts w:ascii="Roboto" w:eastAsia="Calibri" w:hAnsi="Roboto" w:cs="Calibri"/>
          <w:sz w:val="22"/>
          <w:szCs w:val="22"/>
          <w:lang w:val="es-PA"/>
        </w:rPr>
      </w:pPr>
    </w:p>
    <w:p w:rsidR="00C008F4" w:rsidRPr="009B2FBE" w:rsidRDefault="00C008F4">
      <w:pPr>
        <w:jc w:val="both"/>
        <w:rPr>
          <w:rFonts w:ascii="Roboto" w:eastAsia="Calibri" w:hAnsi="Roboto" w:cs="Calibri"/>
          <w:sz w:val="22"/>
          <w:szCs w:val="22"/>
          <w:lang w:val="es-PA"/>
        </w:rPr>
      </w:pPr>
    </w:p>
    <w:p w:rsidR="00C008F4" w:rsidRPr="009B2FBE" w:rsidRDefault="0035307C">
      <w:pPr>
        <w:jc w:val="center"/>
        <w:rPr>
          <w:rFonts w:ascii="Roboto" w:eastAsia="Calibri" w:hAnsi="Roboto" w:cs="Calibri"/>
          <w:b/>
          <w:sz w:val="36"/>
          <w:szCs w:val="36"/>
          <w:lang w:val="es-PA"/>
        </w:rPr>
      </w:pPr>
      <w:r w:rsidRPr="009B2FBE">
        <w:rPr>
          <w:rFonts w:ascii="Roboto" w:eastAsia="Calibri" w:hAnsi="Roboto" w:cs="Calibri"/>
          <w:b/>
          <w:sz w:val="36"/>
          <w:szCs w:val="36"/>
          <w:lang w:val="es-PA"/>
        </w:rPr>
        <w:t xml:space="preserve">Elementos para </w:t>
      </w:r>
      <w:r w:rsidR="004C4CA9" w:rsidRPr="009B2FBE">
        <w:rPr>
          <w:rFonts w:ascii="Roboto" w:eastAsia="Calibri" w:hAnsi="Roboto" w:cs="Calibri"/>
          <w:b/>
          <w:sz w:val="36"/>
          <w:szCs w:val="36"/>
          <w:lang w:val="es-PA"/>
        </w:rPr>
        <w:t>el Dialogo Ministerial</w:t>
      </w:r>
      <w:r w:rsidRPr="009B2FBE">
        <w:rPr>
          <w:rFonts w:ascii="Roboto" w:eastAsia="Calibri" w:hAnsi="Roboto" w:cs="Calibri"/>
          <w:b/>
          <w:sz w:val="36"/>
          <w:szCs w:val="36"/>
          <w:lang w:val="es-PA"/>
        </w:rPr>
        <w:t>:</w:t>
      </w:r>
    </w:p>
    <w:p w:rsidR="00C008F4" w:rsidRPr="009B2FBE" w:rsidRDefault="00C008F4">
      <w:pPr>
        <w:jc w:val="center"/>
        <w:rPr>
          <w:rFonts w:ascii="Roboto" w:eastAsia="Calibri" w:hAnsi="Roboto" w:cs="Calibri"/>
          <w:b/>
          <w:sz w:val="36"/>
          <w:szCs w:val="36"/>
          <w:lang w:val="es-PA"/>
        </w:rPr>
      </w:pPr>
    </w:p>
    <w:p w:rsidR="00C008F4" w:rsidRPr="009B2FBE" w:rsidRDefault="0035307C">
      <w:pPr>
        <w:jc w:val="center"/>
        <w:rPr>
          <w:rFonts w:ascii="Roboto" w:eastAsia="Calibri" w:hAnsi="Roboto" w:cs="Calibri"/>
          <w:sz w:val="36"/>
          <w:szCs w:val="36"/>
          <w:lang w:val="es-PA"/>
        </w:rPr>
      </w:pPr>
      <w:r w:rsidRPr="009B2FBE">
        <w:rPr>
          <w:rFonts w:ascii="Roboto" w:eastAsia="Calibri" w:hAnsi="Roboto" w:cs="Calibri"/>
          <w:sz w:val="36"/>
          <w:szCs w:val="36"/>
          <w:lang w:val="es-PA"/>
        </w:rPr>
        <w:t>Soluciones innovadoras para potenciar los beneficios de la biodiversidad y ecosistemas</w:t>
      </w:r>
    </w:p>
    <w:p w:rsidR="00C008F4" w:rsidRPr="009B2FBE" w:rsidRDefault="00C008F4">
      <w:pPr>
        <w:jc w:val="center"/>
        <w:rPr>
          <w:rFonts w:ascii="Roboto" w:eastAsia="Calibri" w:hAnsi="Roboto" w:cs="Calibri"/>
          <w:b/>
          <w:sz w:val="22"/>
          <w:szCs w:val="22"/>
          <w:lang w:val="es-PA"/>
        </w:rPr>
      </w:pPr>
    </w:p>
    <w:p w:rsidR="00C008F4" w:rsidRPr="009B2FBE" w:rsidRDefault="00C008F4">
      <w:pPr>
        <w:jc w:val="center"/>
        <w:rPr>
          <w:rFonts w:ascii="Roboto" w:eastAsia="Calibri" w:hAnsi="Roboto" w:cs="Calibri"/>
          <w:b/>
          <w:sz w:val="22"/>
          <w:szCs w:val="22"/>
          <w:lang w:val="es-PA"/>
        </w:rPr>
      </w:pPr>
    </w:p>
    <w:p w:rsidR="00C008F4" w:rsidRPr="009B2FBE" w:rsidRDefault="00C008F4">
      <w:pPr>
        <w:jc w:val="center"/>
        <w:rPr>
          <w:rFonts w:ascii="Roboto" w:eastAsia="Calibri" w:hAnsi="Roboto" w:cs="Calibri"/>
          <w:b/>
          <w:sz w:val="22"/>
          <w:szCs w:val="22"/>
          <w:lang w:val="es-PA"/>
        </w:rPr>
      </w:pPr>
    </w:p>
    <w:p w:rsidR="00C008F4" w:rsidRPr="009B2FBE" w:rsidRDefault="00C008F4">
      <w:pPr>
        <w:jc w:val="center"/>
        <w:rPr>
          <w:rFonts w:ascii="Roboto" w:eastAsia="Calibri" w:hAnsi="Roboto" w:cs="Calibri"/>
          <w:b/>
          <w:sz w:val="22"/>
          <w:szCs w:val="22"/>
          <w:lang w:val="es-PA"/>
        </w:rPr>
      </w:pPr>
    </w:p>
    <w:p w:rsidR="002A5D4A" w:rsidRPr="009B2FBE" w:rsidRDefault="002A5D4A">
      <w:pPr>
        <w:rPr>
          <w:rFonts w:ascii="Roboto" w:eastAsia="Calibri" w:hAnsi="Roboto" w:cs="Calibri"/>
          <w:b/>
          <w:sz w:val="22"/>
          <w:szCs w:val="22"/>
          <w:lang w:val="es-PA"/>
        </w:rPr>
      </w:pPr>
      <w:r w:rsidRPr="009B2FBE">
        <w:rPr>
          <w:rFonts w:ascii="Roboto" w:eastAsia="Calibri" w:hAnsi="Roboto" w:cs="Calibri"/>
          <w:sz w:val="22"/>
          <w:szCs w:val="22"/>
          <w:lang w:val="es-PA"/>
        </w:rPr>
        <w:br w:type="page"/>
      </w:r>
    </w:p>
    <w:p w:rsidR="00C008F4" w:rsidRPr="009B2FBE" w:rsidRDefault="00C008F4" w:rsidP="009B2FBE">
      <w:pPr>
        <w:pStyle w:val="Heading1"/>
      </w:pPr>
    </w:p>
    <w:p w:rsidR="00C008F4" w:rsidRPr="009B2FBE" w:rsidRDefault="00C008F4">
      <w:pPr>
        <w:jc w:val="both"/>
        <w:rPr>
          <w:rFonts w:ascii="Roboto" w:eastAsia="Calibri" w:hAnsi="Roboto" w:cs="Calibri"/>
          <w:sz w:val="22"/>
          <w:szCs w:val="22"/>
          <w:lang w:val="es-PA"/>
        </w:rPr>
      </w:pPr>
    </w:p>
    <w:bookmarkStart w:id="1" w:name="_gjdgxs" w:colFirst="0" w:colLast="0" w:displacedByCustomXml="next"/>
    <w:bookmarkEnd w:id="1" w:displacedByCustomXml="next"/>
    <w:sdt>
      <w:sdtPr>
        <w:rPr>
          <w:rFonts w:ascii="Times New Roman" w:eastAsia="Times New Roman" w:hAnsi="Times New Roman" w:cs="Times New Roman"/>
          <w:color w:val="auto"/>
          <w:sz w:val="24"/>
          <w:szCs w:val="24"/>
          <w:lang w:val="es-PA" w:eastAsia="es-PA"/>
        </w:rPr>
        <w:id w:val="1738900335"/>
        <w:docPartObj>
          <w:docPartGallery w:val="Table of Contents"/>
          <w:docPartUnique/>
        </w:docPartObj>
      </w:sdtPr>
      <w:sdtEndPr>
        <w:rPr>
          <w:rFonts w:ascii="Roboto" w:hAnsi="Roboto"/>
          <w:b/>
          <w:bCs/>
          <w:noProof/>
        </w:rPr>
      </w:sdtEndPr>
      <w:sdtContent>
        <w:p w:rsidR="00B7791F" w:rsidRPr="0022378B" w:rsidRDefault="00B7791F" w:rsidP="009B2FBE">
          <w:pPr>
            <w:pStyle w:val="TOCHeading"/>
            <w:jc w:val="center"/>
            <w:rPr>
              <w:rFonts w:ascii="Roboto" w:hAnsi="Roboto"/>
              <w:b/>
              <w:color w:val="auto"/>
              <w:sz w:val="26"/>
              <w:lang w:val="es-PA"/>
            </w:rPr>
          </w:pPr>
          <w:r w:rsidRPr="0022378B">
            <w:rPr>
              <w:rFonts w:ascii="Roboto" w:hAnsi="Roboto"/>
              <w:b/>
              <w:color w:val="auto"/>
              <w:sz w:val="26"/>
              <w:lang w:val="es-PA"/>
            </w:rPr>
            <w:t>Contenido</w:t>
          </w:r>
        </w:p>
        <w:p w:rsidR="00AA65E8" w:rsidRPr="0022378B" w:rsidRDefault="00B7791F">
          <w:pPr>
            <w:pStyle w:val="TOC1"/>
            <w:tabs>
              <w:tab w:val="right" w:leader="dot" w:pos="9062"/>
            </w:tabs>
            <w:rPr>
              <w:rFonts w:ascii="Roboto" w:eastAsiaTheme="minorEastAsia" w:hAnsi="Roboto" w:cstheme="minorBidi"/>
              <w:noProof/>
              <w:sz w:val="20"/>
              <w:szCs w:val="22"/>
              <w:lang w:val="es-PA"/>
            </w:rPr>
          </w:pPr>
          <w:r w:rsidRPr="0022378B">
            <w:rPr>
              <w:rFonts w:ascii="Roboto" w:hAnsi="Roboto"/>
              <w:b/>
              <w:bCs/>
              <w:noProof/>
              <w:sz w:val="22"/>
              <w:lang w:val="es-PA"/>
            </w:rPr>
            <w:fldChar w:fldCharType="begin"/>
          </w:r>
          <w:r w:rsidRPr="0022378B">
            <w:rPr>
              <w:rFonts w:ascii="Roboto" w:hAnsi="Roboto"/>
              <w:b/>
              <w:bCs/>
              <w:noProof/>
              <w:sz w:val="22"/>
              <w:lang w:val="es-PA"/>
            </w:rPr>
            <w:instrText xml:space="preserve"> TOC \o "1-3" \h \z \u </w:instrText>
          </w:r>
          <w:r w:rsidRPr="0022378B">
            <w:rPr>
              <w:rFonts w:ascii="Roboto" w:hAnsi="Roboto"/>
              <w:b/>
              <w:bCs/>
              <w:noProof/>
              <w:sz w:val="22"/>
              <w:lang w:val="es-PA"/>
            </w:rPr>
            <w:fldChar w:fldCharType="separate"/>
          </w:r>
          <w:hyperlink w:anchor="_Toc525825038" w:history="1">
            <w:r w:rsidR="00AA65E8" w:rsidRPr="0022378B">
              <w:rPr>
                <w:rStyle w:val="Hyperlink"/>
                <w:rFonts w:ascii="Roboto" w:hAnsi="Roboto"/>
                <w:noProof/>
                <w:sz w:val="22"/>
              </w:rPr>
              <w:t>I. Antecedentes: Importancia de la biodiversidad y ecosistemas</w:t>
            </w:r>
            <w:r w:rsidR="00AA65E8" w:rsidRPr="0022378B">
              <w:rPr>
                <w:rFonts w:ascii="Roboto" w:hAnsi="Roboto"/>
                <w:noProof/>
                <w:webHidden/>
                <w:sz w:val="22"/>
              </w:rPr>
              <w:tab/>
            </w:r>
            <w:r w:rsidR="00AA65E8" w:rsidRPr="0022378B">
              <w:rPr>
                <w:rFonts w:ascii="Roboto" w:hAnsi="Roboto"/>
                <w:noProof/>
                <w:webHidden/>
                <w:sz w:val="22"/>
              </w:rPr>
              <w:fldChar w:fldCharType="begin"/>
            </w:r>
            <w:r w:rsidR="00AA65E8" w:rsidRPr="0022378B">
              <w:rPr>
                <w:rFonts w:ascii="Roboto" w:hAnsi="Roboto"/>
                <w:noProof/>
                <w:webHidden/>
                <w:sz w:val="22"/>
              </w:rPr>
              <w:instrText xml:space="preserve"> PAGEREF _Toc525825038 \h </w:instrText>
            </w:r>
            <w:r w:rsidR="00AA65E8" w:rsidRPr="0022378B">
              <w:rPr>
                <w:rFonts w:ascii="Roboto" w:hAnsi="Roboto"/>
                <w:noProof/>
                <w:webHidden/>
                <w:sz w:val="22"/>
              </w:rPr>
            </w:r>
            <w:r w:rsidR="00AA65E8" w:rsidRPr="0022378B">
              <w:rPr>
                <w:rFonts w:ascii="Roboto" w:hAnsi="Roboto"/>
                <w:noProof/>
                <w:webHidden/>
                <w:sz w:val="22"/>
              </w:rPr>
              <w:fldChar w:fldCharType="separate"/>
            </w:r>
            <w:r w:rsidR="00AA65E8" w:rsidRPr="0022378B">
              <w:rPr>
                <w:rFonts w:ascii="Roboto" w:hAnsi="Roboto"/>
                <w:noProof/>
                <w:webHidden/>
                <w:sz w:val="22"/>
              </w:rPr>
              <w:t>3</w:t>
            </w:r>
            <w:r w:rsidR="00AA65E8" w:rsidRPr="0022378B">
              <w:rPr>
                <w:rFonts w:ascii="Roboto" w:hAnsi="Roboto"/>
                <w:noProof/>
                <w:webHidden/>
                <w:sz w:val="22"/>
              </w:rPr>
              <w:fldChar w:fldCharType="end"/>
            </w:r>
          </w:hyperlink>
        </w:p>
        <w:p w:rsidR="00AA65E8" w:rsidRPr="0022378B" w:rsidRDefault="00234676">
          <w:pPr>
            <w:pStyle w:val="TOC1"/>
            <w:tabs>
              <w:tab w:val="right" w:leader="dot" w:pos="9062"/>
            </w:tabs>
            <w:rPr>
              <w:rFonts w:ascii="Roboto" w:eastAsiaTheme="minorEastAsia" w:hAnsi="Roboto" w:cstheme="minorBidi"/>
              <w:noProof/>
              <w:sz w:val="20"/>
              <w:szCs w:val="22"/>
              <w:lang w:val="es-PA"/>
            </w:rPr>
          </w:pPr>
          <w:hyperlink w:anchor="_Toc525825039" w:history="1">
            <w:r w:rsidR="00AA65E8" w:rsidRPr="0022378B">
              <w:rPr>
                <w:rStyle w:val="Hyperlink"/>
                <w:rFonts w:ascii="Roboto" w:hAnsi="Roboto"/>
                <w:noProof/>
                <w:sz w:val="22"/>
              </w:rPr>
              <w:t>II. Implementación del Plan Estratégico para la Biodiversidad 2011-2020 y las Metas de Aichi para la Diversidad Biológica de la Convención sobre la Diversidad Biológica (CDB)</w:t>
            </w:r>
            <w:r w:rsidR="00AA65E8" w:rsidRPr="0022378B">
              <w:rPr>
                <w:rFonts w:ascii="Roboto" w:hAnsi="Roboto"/>
                <w:noProof/>
                <w:webHidden/>
                <w:sz w:val="22"/>
              </w:rPr>
              <w:tab/>
            </w:r>
            <w:r w:rsidR="00AA65E8" w:rsidRPr="0022378B">
              <w:rPr>
                <w:rFonts w:ascii="Roboto" w:hAnsi="Roboto"/>
                <w:noProof/>
                <w:webHidden/>
                <w:sz w:val="22"/>
              </w:rPr>
              <w:fldChar w:fldCharType="begin"/>
            </w:r>
            <w:r w:rsidR="00AA65E8" w:rsidRPr="0022378B">
              <w:rPr>
                <w:rFonts w:ascii="Roboto" w:hAnsi="Roboto"/>
                <w:noProof/>
                <w:webHidden/>
                <w:sz w:val="22"/>
              </w:rPr>
              <w:instrText xml:space="preserve"> PAGEREF _Toc525825039 \h </w:instrText>
            </w:r>
            <w:r w:rsidR="00AA65E8" w:rsidRPr="0022378B">
              <w:rPr>
                <w:rFonts w:ascii="Roboto" w:hAnsi="Roboto"/>
                <w:noProof/>
                <w:webHidden/>
                <w:sz w:val="22"/>
              </w:rPr>
            </w:r>
            <w:r w:rsidR="00AA65E8" w:rsidRPr="0022378B">
              <w:rPr>
                <w:rFonts w:ascii="Roboto" w:hAnsi="Roboto"/>
                <w:noProof/>
                <w:webHidden/>
                <w:sz w:val="22"/>
              </w:rPr>
              <w:fldChar w:fldCharType="separate"/>
            </w:r>
            <w:r w:rsidR="00AA65E8" w:rsidRPr="0022378B">
              <w:rPr>
                <w:rFonts w:ascii="Roboto" w:hAnsi="Roboto"/>
                <w:noProof/>
                <w:webHidden/>
                <w:sz w:val="22"/>
              </w:rPr>
              <w:t>3</w:t>
            </w:r>
            <w:r w:rsidR="00AA65E8" w:rsidRPr="0022378B">
              <w:rPr>
                <w:rFonts w:ascii="Roboto" w:hAnsi="Roboto"/>
                <w:noProof/>
                <w:webHidden/>
                <w:sz w:val="22"/>
              </w:rPr>
              <w:fldChar w:fldCharType="end"/>
            </w:r>
          </w:hyperlink>
        </w:p>
        <w:p w:rsidR="00AA65E8" w:rsidRPr="0022378B" w:rsidRDefault="00234676">
          <w:pPr>
            <w:pStyle w:val="TOC1"/>
            <w:tabs>
              <w:tab w:val="right" w:leader="dot" w:pos="9062"/>
            </w:tabs>
            <w:rPr>
              <w:rFonts w:ascii="Roboto" w:eastAsiaTheme="minorEastAsia" w:hAnsi="Roboto" w:cstheme="minorBidi"/>
              <w:noProof/>
              <w:sz w:val="20"/>
              <w:szCs w:val="22"/>
              <w:lang w:val="es-PA"/>
            </w:rPr>
          </w:pPr>
          <w:hyperlink w:anchor="_Toc525825040" w:history="1">
            <w:r w:rsidR="00AA65E8" w:rsidRPr="0022378B">
              <w:rPr>
                <w:rStyle w:val="Hyperlink"/>
                <w:rFonts w:ascii="Roboto" w:hAnsi="Roboto"/>
                <w:noProof/>
                <w:sz w:val="22"/>
              </w:rPr>
              <w:t>III. Restauración y gestión ambiental de ecosistemas</w:t>
            </w:r>
            <w:r w:rsidR="00AA65E8" w:rsidRPr="0022378B">
              <w:rPr>
                <w:rFonts w:ascii="Roboto" w:hAnsi="Roboto"/>
                <w:noProof/>
                <w:webHidden/>
                <w:sz w:val="22"/>
              </w:rPr>
              <w:tab/>
            </w:r>
            <w:r w:rsidR="00AA65E8" w:rsidRPr="0022378B">
              <w:rPr>
                <w:rFonts w:ascii="Roboto" w:hAnsi="Roboto"/>
                <w:noProof/>
                <w:webHidden/>
                <w:sz w:val="22"/>
              </w:rPr>
              <w:fldChar w:fldCharType="begin"/>
            </w:r>
            <w:r w:rsidR="00AA65E8" w:rsidRPr="0022378B">
              <w:rPr>
                <w:rFonts w:ascii="Roboto" w:hAnsi="Roboto"/>
                <w:noProof/>
                <w:webHidden/>
                <w:sz w:val="22"/>
              </w:rPr>
              <w:instrText xml:space="preserve"> PAGEREF _Toc525825040 \h </w:instrText>
            </w:r>
            <w:r w:rsidR="00AA65E8" w:rsidRPr="0022378B">
              <w:rPr>
                <w:rFonts w:ascii="Roboto" w:hAnsi="Roboto"/>
                <w:noProof/>
                <w:webHidden/>
                <w:sz w:val="22"/>
              </w:rPr>
            </w:r>
            <w:r w:rsidR="00AA65E8" w:rsidRPr="0022378B">
              <w:rPr>
                <w:rFonts w:ascii="Roboto" w:hAnsi="Roboto"/>
                <w:noProof/>
                <w:webHidden/>
                <w:sz w:val="22"/>
              </w:rPr>
              <w:fldChar w:fldCharType="separate"/>
            </w:r>
            <w:r w:rsidR="00AA65E8" w:rsidRPr="0022378B">
              <w:rPr>
                <w:rFonts w:ascii="Roboto" w:hAnsi="Roboto"/>
                <w:noProof/>
                <w:webHidden/>
                <w:sz w:val="22"/>
              </w:rPr>
              <w:t>5</w:t>
            </w:r>
            <w:r w:rsidR="00AA65E8" w:rsidRPr="0022378B">
              <w:rPr>
                <w:rFonts w:ascii="Roboto" w:hAnsi="Roboto"/>
                <w:noProof/>
                <w:webHidden/>
                <w:sz w:val="22"/>
              </w:rPr>
              <w:fldChar w:fldCharType="end"/>
            </w:r>
          </w:hyperlink>
        </w:p>
        <w:p w:rsidR="00AA65E8" w:rsidRPr="0022378B" w:rsidRDefault="00234676">
          <w:pPr>
            <w:pStyle w:val="TOC1"/>
            <w:tabs>
              <w:tab w:val="right" w:leader="dot" w:pos="9062"/>
            </w:tabs>
            <w:rPr>
              <w:rFonts w:ascii="Roboto" w:eastAsiaTheme="minorEastAsia" w:hAnsi="Roboto" w:cstheme="minorBidi"/>
              <w:noProof/>
              <w:sz w:val="20"/>
              <w:szCs w:val="22"/>
              <w:lang w:val="es-PA"/>
            </w:rPr>
          </w:pPr>
          <w:hyperlink w:anchor="_Toc525825041" w:history="1">
            <w:r w:rsidR="00AA65E8" w:rsidRPr="0022378B">
              <w:rPr>
                <w:rStyle w:val="Hyperlink"/>
                <w:rFonts w:ascii="Roboto" w:hAnsi="Roboto"/>
                <w:noProof/>
                <w:sz w:val="22"/>
              </w:rPr>
              <w:t>IV. Áreas protegidas</w:t>
            </w:r>
            <w:r w:rsidR="00AA65E8" w:rsidRPr="0022378B">
              <w:rPr>
                <w:rFonts w:ascii="Roboto" w:hAnsi="Roboto"/>
                <w:noProof/>
                <w:webHidden/>
                <w:sz w:val="22"/>
              </w:rPr>
              <w:tab/>
            </w:r>
            <w:r w:rsidR="00AA65E8" w:rsidRPr="0022378B">
              <w:rPr>
                <w:rFonts w:ascii="Roboto" w:hAnsi="Roboto"/>
                <w:noProof/>
                <w:webHidden/>
                <w:sz w:val="22"/>
              </w:rPr>
              <w:fldChar w:fldCharType="begin"/>
            </w:r>
            <w:r w:rsidR="00AA65E8" w:rsidRPr="0022378B">
              <w:rPr>
                <w:rFonts w:ascii="Roboto" w:hAnsi="Roboto"/>
                <w:noProof/>
                <w:webHidden/>
                <w:sz w:val="22"/>
              </w:rPr>
              <w:instrText xml:space="preserve"> PAGEREF _Toc525825041 \h </w:instrText>
            </w:r>
            <w:r w:rsidR="00AA65E8" w:rsidRPr="0022378B">
              <w:rPr>
                <w:rFonts w:ascii="Roboto" w:hAnsi="Roboto"/>
                <w:noProof/>
                <w:webHidden/>
                <w:sz w:val="22"/>
              </w:rPr>
            </w:r>
            <w:r w:rsidR="00AA65E8" w:rsidRPr="0022378B">
              <w:rPr>
                <w:rFonts w:ascii="Roboto" w:hAnsi="Roboto"/>
                <w:noProof/>
                <w:webHidden/>
                <w:sz w:val="22"/>
              </w:rPr>
              <w:fldChar w:fldCharType="separate"/>
            </w:r>
            <w:r w:rsidR="00AA65E8" w:rsidRPr="0022378B">
              <w:rPr>
                <w:rFonts w:ascii="Roboto" w:hAnsi="Roboto"/>
                <w:noProof/>
                <w:webHidden/>
                <w:sz w:val="22"/>
              </w:rPr>
              <w:t>6</w:t>
            </w:r>
            <w:r w:rsidR="00AA65E8" w:rsidRPr="0022378B">
              <w:rPr>
                <w:rFonts w:ascii="Roboto" w:hAnsi="Roboto"/>
                <w:noProof/>
                <w:webHidden/>
                <w:sz w:val="22"/>
              </w:rPr>
              <w:fldChar w:fldCharType="end"/>
            </w:r>
          </w:hyperlink>
        </w:p>
        <w:p w:rsidR="00AA65E8" w:rsidRPr="0022378B" w:rsidRDefault="00234676">
          <w:pPr>
            <w:pStyle w:val="TOC1"/>
            <w:tabs>
              <w:tab w:val="right" w:leader="dot" w:pos="9062"/>
            </w:tabs>
            <w:rPr>
              <w:rFonts w:ascii="Roboto" w:eastAsiaTheme="minorEastAsia" w:hAnsi="Roboto" w:cstheme="minorBidi"/>
              <w:noProof/>
              <w:sz w:val="20"/>
              <w:szCs w:val="22"/>
              <w:lang w:val="es-PA"/>
            </w:rPr>
          </w:pPr>
          <w:hyperlink w:anchor="_Toc525825042" w:history="1">
            <w:r w:rsidR="00AA65E8" w:rsidRPr="0022378B">
              <w:rPr>
                <w:rStyle w:val="Hyperlink"/>
                <w:rFonts w:ascii="Roboto" w:hAnsi="Roboto"/>
                <w:noProof/>
                <w:sz w:val="22"/>
              </w:rPr>
              <w:t>V. Uso Sostenible de la Biodiversidad</w:t>
            </w:r>
            <w:r w:rsidR="00AA65E8" w:rsidRPr="0022378B">
              <w:rPr>
                <w:rFonts w:ascii="Roboto" w:hAnsi="Roboto"/>
                <w:noProof/>
                <w:webHidden/>
                <w:sz w:val="22"/>
              </w:rPr>
              <w:tab/>
            </w:r>
            <w:r w:rsidR="00AA65E8" w:rsidRPr="0022378B">
              <w:rPr>
                <w:rFonts w:ascii="Roboto" w:hAnsi="Roboto"/>
                <w:noProof/>
                <w:webHidden/>
                <w:sz w:val="22"/>
              </w:rPr>
              <w:fldChar w:fldCharType="begin"/>
            </w:r>
            <w:r w:rsidR="00AA65E8" w:rsidRPr="0022378B">
              <w:rPr>
                <w:rFonts w:ascii="Roboto" w:hAnsi="Roboto"/>
                <w:noProof/>
                <w:webHidden/>
                <w:sz w:val="22"/>
              </w:rPr>
              <w:instrText xml:space="preserve"> PAGEREF _Toc525825042 \h </w:instrText>
            </w:r>
            <w:r w:rsidR="00AA65E8" w:rsidRPr="0022378B">
              <w:rPr>
                <w:rFonts w:ascii="Roboto" w:hAnsi="Roboto"/>
                <w:noProof/>
                <w:webHidden/>
                <w:sz w:val="22"/>
              </w:rPr>
            </w:r>
            <w:r w:rsidR="00AA65E8" w:rsidRPr="0022378B">
              <w:rPr>
                <w:rFonts w:ascii="Roboto" w:hAnsi="Roboto"/>
                <w:noProof/>
                <w:webHidden/>
                <w:sz w:val="22"/>
              </w:rPr>
              <w:fldChar w:fldCharType="separate"/>
            </w:r>
            <w:r w:rsidR="00AA65E8" w:rsidRPr="0022378B">
              <w:rPr>
                <w:rFonts w:ascii="Roboto" w:hAnsi="Roboto"/>
                <w:noProof/>
                <w:webHidden/>
                <w:sz w:val="22"/>
              </w:rPr>
              <w:t>7</w:t>
            </w:r>
            <w:r w:rsidR="00AA65E8" w:rsidRPr="0022378B">
              <w:rPr>
                <w:rFonts w:ascii="Roboto" w:hAnsi="Roboto"/>
                <w:noProof/>
                <w:webHidden/>
                <w:sz w:val="22"/>
              </w:rPr>
              <w:fldChar w:fldCharType="end"/>
            </w:r>
          </w:hyperlink>
        </w:p>
        <w:p w:rsidR="00AA65E8" w:rsidRPr="0022378B" w:rsidRDefault="00234676">
          <w:pPr>
            <w:pStyle w:val="TOC1"/>
            <w:tabs>
              <w:tab w:val="right" w:leader="dot" w:pos="9062"/>
            </w:tabs>
            <w:rPr>
              <w:rFonts w:ascii="Roboto" w:eastAsiaTheme="minorEastAsia" w:hAnsi="Roboto" w:cstheme="minorBidi"/>
              <w:noProof/>
              <w:sz w:val="20"/>
              <w:szCs w:val="22"/>
              <w:lang w:val="es-PA"/>
            </w:rPr>
          </w:pPr>
          <w:hyperlink w:anchor="_Toc525825043" w:history="1">
            <w:r w:rsidR="00AA65E8" w:rsidRPr="0022378B">
              <w:rPr>
                <w:rStyle w:val="Hyperlink"/>
                <w:rFonts w:ascii="Roboto" w:hAnsi="Roboto"/>
                <w:noProof/>
                <w:sz w:val="22"/>
              </w:rPr>
              <w:t>VI. Integrando la biodiversidad en todos los sectores</w:t>
            </w:r>
            <w:r w:rsidR="00AA65E8" w:rsidRPr="0022378B">
              <w:rPr>
                <w:rFonts w:ascii="Roboto" w:hAnsi="Roboto"/>
                <w:noProof/>
                <w:webHidden/>
                <w:sz w:val="22"/>
              </w:rPr>
              <w:tab/>
            </w:r>
            <w:r w:rsidR="00AA65E8" w:rsidRPr="0022378B">
              <w:rPr>
                <w:rFonts w:ascii="Roboto" w:hAnsi="Roboto"/>
                <w:noProof/>
                <w:webHidden/>
                <w:sz w:val="22"/>
              </w:rPr>
              <w:fldChar w:fldCharType="begin"/>
            </w:r>
            <w:r w:rsidR="00AA65E8" w:rsidRPr="0022378B">
              <w:rPr>
                <w:rFonts w:ascii="Roboto" w:hAnsi="Roboto"/>
                <w:noProof/>
                <w:webHidden/>
                <w:sz w:val="22"/>
              </w:rPr>
              <w:instrText xml:space="preserve"> PAGEREF _Toc525825043 \h </w:instrText>
            </w:r>
            <w:r w:rsidR="00AA65E8" w:rsidRPr="0022378B">
              <w:rPr>
                <w:rFonts w:ascii="Roboto" w:hAnsi="Roboto"/>
                <w:noProof/>
                <w:webHidden/>
                <w:sz w:val="22"/>
              </w:rPr>
            </w:r>
            <w:r w:rsidR="00AA65E8" w:rsidRPr="0022378B">
              <w:rPr>
                <w:rFonts w:ascii="Roboto" w:hAnsi="Roboto"/>
                <w:noProof/>
                <w:webHidden/>
                <w:sz w:val="22"/>
              </w:rPr>
              <w:fldChar w:fldCharType="separate"/>
            </w:r>
            <w:r w:rsidR="00AA65E8" w:rsidRPr="0022378B">
              <w:rPr>
                <w:rFonts w:ascii="Roboto" w:hAnsi="Roboto"/>
                <w:noProof/>
                <w:webHidden/>
                <w:sz w:val="22"/>
              </w:rPr>
              <w:t>7</w:t>
            </w:r>
            <w:r w:rsidR="00AA65E8" w:rsidRPr="0022378B">
              <w:rPr>
                <w:rFonts w:ascii="Roboto" w:hAnsi="Roboto"/>
                <w:noProof/>
                <w:webHidden/>
                <w:sz w:val="22"/>
              </w:rPr>
              <w:fldChar w:fldCharType="end"/>
            </w:r>
          </w:hyperlink>
        </w:p>
        <w:p w:rsidR="00AA65E8" w:rsidRPr="0022378B" w:rsidRDefault="00234676">
          <w:pPr>
            <w:pStyle w:val="TOC1"/>
            <w:tabs>
              <w:tab w:val="right" w:leader="dot" w:pos="9062"/>
            </w:tabs>
            <w:rPr>
              <w:rFonts w:ascii="Roboto" w:eastAsiaTheme="minorEastAsia" w:hAnsi="Roboto" w:cstheme="minorBidi"/>
              <w:noProof/>
              <w:sz w:val="20"/>
              <w:szCs w:val="22"/>
              <w:lang w:val="es-PA"/>
            </w:rPr>
          </w:pPr>
          <w:hyperlink w:anchor="_Toc525825044" w:history="1">
            <w:r w:rsidR="00AA65E8" w:rsidRPr="0022378B">
              <w:rPr>
                <w:rStyle w:val="Hyperlink"/>
                <w:rFonts w:ascii="Roboto" w:hAnsi="Roboto"/>
                <w:noProof/>
                <w:sz w:val="22"/>
              </w:rPr>
              <w:t>VII. Biodiversidad y Cambio Climático</w:t>
            </w:r>
            <w:r w:rsidR="00AA65E8" w:rsidRPr="0022378B">
              <w:rPr>
                <w:rFonts w:ascii="Roboto" w:hAnsi="Roboto"/>
                <w:noProof/>
                <w:webHidden/>
                <w:sz w:val="22"/>
              </w:rPr>
              <w:tab/>
            </w:r>
            <w:r w:rsidR="00AA65E8" w:rsidRPr="0022378B">
              <w:rPr>
                <w:rFonts w:ascii="Roboto" w:hAnsi="Roboto"/>
                <w:noProof/>
                <w:webHidden/>
                <w:sz w:val="22"/>
              </w:rPr>
              <w:fldChar w:fldCharType="begin"/>
            </w:r>
            <w:r w:rsidR="00AA65E8" w:rsidRPr="0022378B">
              <w:rPr>
                <w:rFonts w:ascii="Roboto" w:hAnsi="Roboto"/>
                <w:noProof/>
                <w:webHidden/>
                <w:sz w:val="22"/>
              </w:rPr>
              <w:instrText xml:space="preserve"> PAGEREF _Toc525825044 \h </w:instrText>
            </w:r>
            <w:r w:rsidR="00AA65E8" w:rsidRPr="0022378B">
              <w:rPr>
                <w:rFonts w:ascii="Roboto" w:hAnsi="Roboto"/>
                <w:noProof/>
                <w:webHidden/>
                <w:sz w:val="22"/>
              </w:rPr>
            </w:r>
            <w:r w:rsidR="00AA65E8" w:rsidRPr="0022378B">
              <w:rPr>
                <w:rFonts w:ascii="Roboto" w:hAnsi="Roboto"/>
                <w:noProof/>
                <w:webHidden/>
                <w:sz w:val="22"/>
              </w:rPr>
              <w:fldChar w:fldCharType="separate"/>
            </w:r>
            <w:r w:rsidR="00AA65E8" w:rsidRPr="0022378B">
              <w:rPr>
                <w:rFonts w:ascii="Roboto" w:hAnsi="Roboto"/>
                <w:noProof/>
                <w:webHidden/>
                <w:sz w:val="22"/>
              </w:rPr>
              <w:t>8</w:t>
            </w:r>
            <w:r w:rsidR="00AA65E8" w:rsidRPr="0022378B">
              <w:rPr>
                <w:rFonts w:ascii="Roboto" w:hAnsi="Roboto"/>
                <w:noProof/>
                <w:webHidden/>
                <w:sz w:val="22"/>
              </w:rPr>
              <w:fldChar w:fldCharType="end"/>
            </w:r>
          </w:hyperlink>
        </w:p>
        <w:p w:rsidR="00AA65E8" w:rsidRPr="0022378B" w:rsidRDefault="00234676">
          <w:pPr>
            <w:pStyle w:val="TOC1"/>
            <w:tabs>
              <w:tab w:val="right" w:leader="dot" w:pos="9062"/>
            </w:tabs>
            <w:rPr>
              <w:rFonts w:ascii="Roboto" w:eastAsiaTheme="minorEastAsia" w:hAnsi="Roboto" w:cstheme="minorBidi"/>
              <w:noProof/>
              <w:sz w:val="20"/>
              <w:szCs w:val="22"/>
              <w:lang w:val="es-PA"/>
            </w:rPr>
          </w:pPr>
          <w:hyperlink w:anchor="_Toc525825045" w:history="1">
            <w:r w:rsidR="00AA65E8" w:rsidRPr="0022378B">
              <w:rPr>
                <w:rStyle w:val="Hyperlink"/>
                <w:rFonts w:ascii="Roboto" w:hAnsi="Roboto"/>
                <w:noProof/>
                <w:sz w:val="22"/>
              </w:rPr>
              <w:t>VIII. La Agenda 2030 para el Desarrollo Sostenible y los Objetivos de Desarrollo Sostenible (ODS)</w:t>
            </w:r>
            <w:r w:rsidR="00AA65E8" w:rsidRPr="0022378B">
              <w:rPr>
                <w:rFonts w:ascii="Roboto" w:hAnsi="Roboto"/>
                <w:noProof/>
                <w:webHidden/>
                <w:sz w:val="22"/>
              </w:rPr>
              <w:tab/>
            </w:r>
            <w:r w:rsidR="00AA65E8" w:rsidRPr="0022378B">
              <w:rPr>
                <w:rFonts w:ascii="Roboto" w:hAnsi="Roboto"/>
                <w:noProof/>
                <w:webHidden/>
                <w:sz w:val="22"/>
              </w:rPr>
              <w:fldChar w:fldCharType="begin"/>
            </w:r>
            <w:r w:rsidR="00AA65E8" w:rsidRPr="0022378B">
              <w:rPr>
                <w:rFonts w:ascii="Roboto" w:hAnsi="Roboto"/>
                <w:noProof/>
                <w:webHidden/>
                <w:sz w:val="22"/>
              </w:rPr>
              <w:instrText xml:space="preserve"> PAGEREF _Toc525825045 \h </w:instrText>
            </w:r>
            <w:r w:rsidR="00AA65E8" w:rsidRPr="0022378B">
              <w:rPr>
                <w:rFonts w:ascii="Roboto" w:hAnsi="Roboto"/>
                <w:noProof/>
                <w:webHidden/>
                <w:sz w:val="22"/>
              </w:rPr>
            </w:r>
            <w:r w:rsidR="00AA65E8" w:rsidRPr="0022378B">
              <w:rPr>
                <w:rFonts w:ascii="Roboto" w:hAnsi="Roboto"/>
                <w:noProof/>
                <w:webHidden/>
                <w:sz w:val="22"/>
              </w:rPr>
              <w:fldChar w:fldCharType="separate"/>
            </w:r>
            <w:r w:rsidR="00AA65E8" w:rsidRPr="0022378B">
              <w:rPr>
                <w:rFonts w:ascii="Roboto" w:hAnsi="Roboto"/>
                <w:noProof/>
                <w:webHidden/>
                <w:sz w:val="22"/>
              </w:rPr>
              <w:t>9</w:t>
            </w:r>
            <w:r w:rsidR="00AA65E8" w:rsidRPr="0022378B">
              <w:rPr>
                <w:rFonts w:ascii="Roboto" w:hAnsi="Roboto"/>
                <w:noProof/>
                <w:webHidden/>
                <w:sz w:val="22"/>
              </w:rPr>
              <w:fldChar w:fldCharType="end"/>
            </w:r>
          </w:hyperlink>
        </w:p>
        <w:p w:rsidR="00AA65E8" w:rsidRPr="0022378B" w:rsidRDefault="00234676">
          <w:pPr>
            <w:pStyle w:val="TOC1"/>
            <w:tabs>
              <w:tab w:val="right" w:leader="dot" w:pos="9062"/>
            </w:tabs>
            <w:rPr>
              <w:rFonts w:ascii="Roboto" w:eastAsiaTheme="minorEastAsia" w:hAnsi="Roboto" w:cstheme="minorBidi"/>
              <w:noProof/>
              <w:sz w:val="20"/>
              <w:szCs w:val="22"/>
              <w:lang w:val="es-PA"/>
            </w:rPr>
          </w:pPr>
          <w:hyperlink w:anchor="_Toc525825046" w:history="1">
            <w:r w:rsidR="00AA65E8" w:rsidRPr="0022378B">
              <w:rPr>
                <w:rStyle w:val="Hyperlink"/>
                <w:rFonts w:ascii="Roboto" w:hAnsi="Roboto"/>
                <w:noProof/>
                <w:sz w:val="22"/>
              </w:rPr>
              <w:t>IX. Hacia un Programa de Cooperación Regional sobre Biodiversidad</w:t>
            </w:r>
            <w:r w:rsidR="00AA65E8" w:rsidRPr="0022378B">
              <w:rPr>
                <w:rFonts w:ascii="Roboto" w:hAnsi="Roboto"/>
                <w:noProof/>
                <w:webHidden/>
                <w:sz w:val="22"/>
              </w:rPr>
              <w:tab/>
            </w:r>
            <w:r w:rsidR="00AA65E8" w:rsidRPr="0022378B">
              <w:rPr>
                <w:rFonts w:ascii="Roboto" w:hAnsi="Roboto"/>
                <w:noProof/>
                <w:webHidden/>
                <w:sz w:val="22"/>
              </w:rPr>
              <w:fldChar w:fldCharType="begin"/>
            </w:r>
            <w:r w:rsidR="00AA65E8" w:rsidRPr="0022378B">
              <w:rPr>
                <w:rFonts w:ascii="Roboto" w:hAnsi="Roboto"/>
                <w:noProof/>
                <w:webHidden/>
                <w:sz w:val="22"/>
              </w:rPr>
              <w:instrText xml:space="preserve"> PAGEREF _Toc525825046 \h </w:instrText>
            </w:r>
            <w:r w:rsidR="00AA65E8" w:rsidRPr="0022378B">
              <w:rPr>
                <w:rFonts w:ascii="Roboto" w:hAnsi="Roboto"/>
                <w:noProof/>
                <w:webHidden/>
                <w:sz w:val="22"/>
              </w:rPr>
            </w:r>
            <w:r w:rsidR="00AA65E8" w:rsidRPr="0022378B">
              <w:rPr>
                <w:rFonts w:ascii="Roboto" w:hAnsi="Roboto"/>
                <w:noProof/>
                <w:webHidden/>
                <w:sz w:val="22"/>
              </w:rPr>
              <w:fldChar w:fldCharType="separate"/>
            </w:r>
            <w:r w:rsidR="00AA65E8" w:rsidRPr="0022378B">
              <w:rPr>
                <w:rFonts w:ascii="Roboto" w:hAnsi="Roboto"/>
                <w:noProof/>
                <w:webHidden/>
                <w:sz w:val="22"/>
              </w:rPr>
              <w:t>9</w:t>
            </w:r>
            <w:r w:rsidR="00AA65E8" w:rsidRPr="0022378B">
              <w:rPr>
                <w:rFonts w:ascii="Roboto" w:hAnsi="Roboto"/>
                <w:noProof/>
                <w:webHidden/>
                <w:sz w:val="22"/>
              </w:rPr>
              <w:fldChar w:fldCharType="end"/>
            </w:r>
          </w:hyperlink>
        </w:p>
        <w:p w:rsidR="00AA65E8" w:rsidRPr="0022378B" w:rsidRDefault="00234676">
          <w:pPr>
            <w:pStyle w:val="TOC1"/>
            <w:tabs>
              <w:tab w:val="right" w:leader="dot" w:pos="9062"/>
            </w:tabs>
            <w:rPr>
              <w:rFonts w:ascii="Roboto" w:eastAsiaTheme="minorEastAsia" w:hAnsi="Roboto" w:cstheme="minorBidi"/>
              <w:noProof/>
              <w:sz w:val="20"/>
              <w:szCs w:val="22"/>
              <w:lang w:val="es-PA"/>
            </w:rPr>
          </w:pPr>
          <w:hyperlink w:anchor="_Toc525825047" w:history="1">
            <w:r w:rsidR="00AA65E8" w:rsidRPr="0022378B">
              <w:rPr>
                <w:rStyle w:val="Hyperlink"/>
                <w:rFonts w:ascii="Roboto" w:hAnsi="Roboto"/>
                <w:noProof/>
                <w:sz w:val="22"/>
              </w:rPr>
              <w:t>X. Posibles acuerdos y puntos de discusión</w:t>
            </w:r>
            <w:r w:rsidR="00AA65E8" w:rsidRPr="0022378B">
              <w:rPr>
                <w:rFonts w:ascii="Roboto" w:hAnsi="Roboto"/>
                <w:noProof/>
                <w:webHidden/>
                <w:sz w:val="22"/>
              </w:rPr>
              <w:tab/>
            </w:r>
            <w:r w:rsidR="00AA65E8" w:rsidRPr="0022378B">
              <w:rPr>
                <w:rFonts w:ascii="Roboto" w:hAnsi="Roboto"/>
                <w:noProof/>
                <w:webHidden/>
                <w:sz w:val="22"/>
              </w:rPr>
              <w:fldChar w:fldCharType="begin"/>
            </w:r>
            <w:r w:rsidR="00AA65E8" w:rsidRPr="0022378B">
              <w:rPr>
                <w:rFonts w:ascii="Roboto" w:hAnsi="Roboto"/>
                <w:noProof/>
                <w:webHidden/>
                <w:sz w:val="22"/>
              </w:rPr>
              <w:instrText xml:space="preserve"> PAGEREF _Toc525825047 \h </w:instrText>
            </w:r>
            <w:r w:rsidR="00AA65E8" w:rsidRPr="0022378B">
              <w:rPr>
                <w:rFonts w:ascii="Roboto" w:hAnsi="Roboto"/>
                <w:noProof/>
                <w:webHidden/>
                <w:sz w:val="22"/>
              </w:rPr>
            </w:r>
            <w:r w:rsidR="00AA65E8" w:rsidRPr="0022378B">
              <w:rPr>
                <w:rFonts w:ascii="Roboto" w:hAnsi="Roboto"/>
                <w:noProof/>
                <w:webHidden/>
                <w:sz w:val="22"/>
              </w:rPr>
              <w:fldChar w:fldCharType="separate"/>
            </w:r>
            <w:r w:rsidR="00AA65E8" w:rsidRPr="0022378B">
              <w:rPr>
                <w:rFonts w:ascii="Roboto" w:hAnsi="Roboto"/>
                <w:noProof/>
                <w:webHidden/>
                <w:sz w:val="22"/>
              </w:rPr>
              <w:t>10</w:t>
            </w:r>
            <w:r w:rsidR="00AA65E8" w:rsidRPr="0022378B">
              <w:rPr>
                <w:rFonts w:ascii="Roboto" w:hAnsi="Roboto"/>
                <w:noProof/>
                <w:webHidden/>
                <w:sz w:val="22"/>
              </w:rPr>
              <w:fldChar w:fldCharType="end"/>
            </w:r>
          </w:hyperlink>
        </w:p>
        <w:p w:rsidR="00AA65E8" w:rsidRPr="0022378B" w:rsidRDefault="00234676">
          <w:pPr>
            <w:pStyle w:val="TOC1"/>
            <w:tabs>
              <w:tab w:val="right" w:leader="dot" w:pos="9062"/>
            </w:tabs>
            <w:rPr>
              <w:rFonts w:ascii="Roboto" w:eastAsiaTheme="minorEastAsia" w:hAnsi="Roboto" w:cstheme="minorBidi"/>
              <w:noProof/>
              <w:sz w:val="20"/>
              <w:szCs w:val="22"/>
              <w:lang w:val="es-PA"/>
            </w:rPr>
          </w:pPr>
          <w:hyperlink w:anchor="_Toc525825048" w:history="1">
            <w:r w:rsidR="00AA65E8" w:rsidRPr="0022378B">
              <w:rPr>
                <w:rStyle w:val="Hyperlink"/>
                <w:rFonts w:ascii="Roboto" w:hAnsi="Roboto"/>
                <w:noProof/>
                <w:sz w:val="22"/>
              </w:rPr>
              <w:t>XI. Discusión de panel</w:t>
            </w:r>
            <w:r w:rsidR="00AA65E8" w:rsidRPr="0022378B">
              <w:rPr>
                <w:rFonts w:ascii="Roboto" w:hAnsi="Roboto"/>
                <w:noProof/>
                <w:webHidden/>
                <w:sz w:val="22"/>
              </w:rPr>
              <w:tab/>
            </w:r>
            <w:r w:rsidR="00AA65E8" w:rsidRPr="0022378B">
              <w:rPr>
                <w:rFonts w:ascii="Roboto" w:hAnsi="Roboto"/>
                <w:noProof/>
                <w:webHidden/>
                <w:sz w:val="22"/>
              </w:rPr>
              <w:fldChar w:fldCharType="begin"/>
            </w:r>
            <w:r w:rsidR="00AA65E8" w:rsidRPr="0022378B">
              <w:rPr>
                <w:rFonts w:ascii="Roboto" w:hAnsi="Roboto"/>
                <w:noProof/>
                <w:webHidden/>
                <w:sz w:val="22"/>
              </w:rPr>
              <w:instrText xml:space="preserve"> PAGEREF _Toc525825048 \h </w:instrText>
            </w:r>
            <w:r w:rsidR="00AA65E8" w:rsidRPr="0022378B">
              <w:rPr>
                <w:rFonts w:ascii="Roboto" w:hAnsi="Roboto"/>
                <w:noProof/>
                <w:webHidden/>
                <w:sz w:val="22"/>
              </w:rPr>
            </w:r>
            <w:r w:rsidR="00AA65E8" w:rsidRPr="0022378B">
              <w:rPr>
                <w:rFonts w:ascii="Roboto" w:hAnsi="Roboto"/>
                <w:noProof/>
                <w:webHidden/>
                <w:sz w:val="22"/>
              </w:rPr>
              <w:fldChar w:fldCharType="separate"/>
            </w:r>
            <w:r w:rsidR="00AA65E8" w:rsidRPr="0022378B">
              <w:rPr>
                <w:rFonts w:ascii="Roboto" w:hAnsi="Roboto"/>
                <w:noProof/>
                <w:webHidden/>
                <w:sz w:val="22"/>
              </w:rPr>
              <w:t>10</w:t>
            </w:r>
            <w:r w:rsidR="00AA65E8" w:rsidRPr="0022378B">
              <w:rPr>
                <w:rFonts w:ascii="Roboto" w:hAnsi="Roboto"/>
                <w:noProof/>
                <w:webHidden/>
                <w:sz w:val="22"/>
              </w:rPr>
              <w:fldChar w:fldCharType="end"/>
            </w:r>
          </w:hyperlink>
        </w:p>
        <w:p w:rsidR="00B7791F" w:rsidRPr="009B2FBE" w:rsidRDefault="00B7791F">
          <w:pPr>
            <w:rPr>
              <w:rFonts w:ascii="Roboto" w:hAnsi="Roboto"/>
              <w:lang w:val="es-PA"/>
            </w:rPr>
          </w:pPr>
          <w:r w:rsidRPr="0022378B">
            <w:rPr>
              <w:rFonts w:ascii="Roboto" w:hAnsi="Roboto"/>
              <w:b/>
              <w:bCs/>
              <w:noProof/>
              <w:sz w:val="22"/>
              <w:lang w:val="es-PA"/>
            </w:rPr>
            <w:fldChar w:fldCharType="end"/>
          </w:r>
        </w:p>
      </w:sdtContent>
    </w:sdt>
    <w:p w:rsidR="00DF6FF5" w:rsidRPr="009B2FBE" w:rsidRDefault="00DF6FF5">
      <w:pPr>
        <w:jc w:val="center"/>
        <w:rPr>
          <w:rFonts w:ascii="Roboto" w:eastAsia="Calibri" w:hAnsi="Roboto" w:cs="Calibri"/>
          <w:b/>
          <w:sz w:val="22"/>
          <w:szCs w:val="22"/>
          <w:lang w:val="es-PA"/>
        </w:rPr>
      </w:pPr>
    </w:p>
    <w:p w:rsidR="00DF6FF5" w:rsidRPr="009B2FBE" w:rsidRDefault="00DF6FF5">
      <w:pPr>
        <w:jc w:val="center"/>
        <w:rPr>
          <w:rFonts w:ascii="Roboto" w:eastAsia="Calibri" w:hAnsi="Roboto" w:cs="Calibri"/>
          <w:b/>
          <w:sz w:val="22"/>
          <w:szCs w:val="22"/>
          <w:lang w:val="es-PA"/>
        </w:rPr>
      </w:pPr>
    </w:p>
    <w:p w:rsidR="00DF6FF5" w:rsidRPr="009B2FBE" w:rsidRDefault="00DF6FF5">
      <w:pPr>
        <w:jc w:val="center"/>
        <w:rPr>
          <w:rFonts w:ascii="Roboto" w:eastAsia="Calibri" w:hAnsi="Roboto" w:cs="Calibri"/>
          <w:b/>
          <w:sz w:val="22"/>
          <w:szCs w:val="22"/>
          <w:lang w:val="es-PA"/>
        </w:rPr>
      </w:pPr>
    </w:p>
    <w:p w:rsidR="00DF6FF5" w:rsidRPr="009B2FBE" w:rsidRDefault="00DF6FF5">
      <w:pPr>
        <w:jc w:val="center"/>
        <w:rPr>
          <w:rFonts w:ascii="Roboto" w:eastAsia="Calibri" w:hAnsi="Roboto" w:cs="Calibri"/>
          <w:b/>
          <w:sz w:val="22"/>
          <w:szCs w:val="22"/>
          <w:lang w:val="es-PA"/>
        </w:rPr>
      </w:pPr>
    </w:p>
    <w:p w:rsidR="00DF6FF5" w:rsidRPr="009B2FBE" w:rsidRDefault="00DF6FF5">
      <w:pPr>
        <w:jc w:val="center"/>
        <w:rPr>
          <w:rFonts w:ascii="Roboto" w:eastAsia="Calibri" w:hAnsi="Roboto" w:cs="Calibri"/>
          <w:b/>
          <w:sz w:val="22"/>
          <w:szCs w:val="22"/>
          <w:lang w:val="es-PA"/>
        </w:rPr>
      </w:pPr>
    </w:p>
    <w:p w:rsidR="00DF6FF5" w:rsidRPr="009B2FBE" w:rsidRDefault="00DF6FF5">
      <w:pPr>
        <w:jc w:val="center"/>
        <w:rPr>
          <w:rFonts w:ascii="Roboto" w:eastAsia="Calibri" w:hAnsi="Roboto" w:cs="Calibri"/>
          <w:b/>
          <w:sz w:val="22"/>
          <w:szCs w:val="22"/>
          <w:lang w:val="es-PA"/>
        </w:rPr>
      </w:pPr>
    </w:p>
    <w:p w:rsidR="00DF6FF5" w:rsidRPr="009B2FBE" w:rsidRDefault="00DF6FF5">
      <w:pPr>
        <w:rPr>
          <w:rFonts w:ascii="Roboto" w:eastAsia="Calibri" w:hAnsi="Roboto" w:cs="Calibri"/>
          <w:b/>
          <w:sz w:val="22"/>
          <w:szCs w:val="22"/>
          <w:lang w:val="es-PA"/>
        </w:rPr>
      </w:pPr>
      <w:r w:rsidRPr="009B2FBE">
        <w:rPr>
          <w:rFonts w:ascii="Roboto" w:eastAsia="Calibri" w:hAnsi="Roboto" w:cs="Calibri"/>
          <w:b/>
          <w:sz w:val="22"/>
          <w:szCs w:val="22"/>
          <w:lang w:val="es-PA"/>
        </w:rPr>
        <w:br w:type="page"/>
      </w:r>
    </w:p>
    <w:p w:rsidR="002A5D4A" w:rsidRPr="009B2FBE" w:rsidRDefault="002A5D4A">
      <w:pPr>
        <w:jc w:val="center"/>
        <w:rPr>
          <w:rFonts w:ascii="Roboto" w:eastAsia="Calibri" w:hAnsi="Roboto" w:cs="Calibri"/>
          <w:b/>
          <w:sz w:val="22"/>
          <w:szCs w:val="22"/>
          <w:lang w:val="es-PA"/>
        </w:rPr>
      </w:pPr>
    </w:p>
    <w:p w:rsidR="002A5D4A" w:rsidRPr="009B2FBE" w:rsidRDefault="002A5D4A">
      <w:pPr>
        <w:jc w:val="center"/>
        <w:rPr>
          <w:rFonts w:ascii="Roboto" w:eastAsia="Calibri" w:hAnsi="Roboto" w:cs="Calibri"/>
          <w:b/>
          <w:sz w:val="22"/>
          <w:szCs w:val="22"/>
          <w:lang w:val="es-PA"/>
        </w:rPr>
      </w:pPr>
    </w:p>
    <w:p w:rsidR="00C008F4" w:rsidRPr="009B2FBE" w:rsidRDefault="0035307C" w:rsidP="009B2FBE">
      <w:pPr>
        <w:pStyle w:val="Heading1"/>
      </w:pPr>
      <w:bookmarkStart w:id="2" w:name="_Toc525825038"/>
      <w:r w:rsidRPr="009B2FBE">
        <w:t>I. Antecedentes: Importancia de la biodiversidad y ecosistemas</w:t>
      </w:r>
      <w:bookmarkEnd w:id="2"/>
    </w:p>
    <w:p w:rsidR="00C008F4" w:rsidRPr="009B2FBE" w:rsidRDefault="00C008F4">
      <w:pPr>
        <w:jc w:val="both"/>
        <w:rPr>
          <w:rFonts w:ascii="Roboto" w:eastAsia="Calibri" w:hAnsi="Roboto" w:cs="Calibri"/>
          <w:sz w:val="22"/>
          <w:szCs w:val="22"/>
          <w:lang w:val="es-PA"/>
        </w:rPr>
      </w:pPr>
    </w:p>
    <w:p w:rsidR="00C1039B" w:rsidRPr="009B2FBE" w:rsidRDefault="00C1039B" w:rsidP="00C1039B">
      <w:pPr>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América Latina y el Caribe es una región biodiversa, abarcando 50% de la biodiversidad del mundo. A través de los ecosistemas diversos, en áreas únicas como bosques de tierras bajas, arrecifes de coral, manglares y humedales, entre otros, la región cuenta con una riqueza de recursos naturales y servicios. Alrededor de un cuarto de los bosques tropicales del mundo se encuentran en América Latina y el Caribe, lo cual provee un elemento crítico del sistema de regulación climática del mundo.  </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En este tema, los esfuerzos hechos por la Plataforma Intergubernamental Científico-Normativa sobre Diversidad Biológica y Servicios de los Ecosistemas (IPBES, por sus siglas en inglés), la cual provee conocimiento relevante de políticas de biodiversidad y servicios ecosistémicos para la toma decisiones informadas por parte de los gobiernos, la academia y otras organizaciones internacionales, promoviendo sinergias y complementariedad, son notables. Los reportes de evaluación de IPBES, exhaustivamente revisado por pares, se enfocan en proveer respuestas a preguntas claves para cada una de las cuatro regiones, incluyendo las Américas, y especialmente para América Latina y el Caribe. Tomando eso en consideración, se necesitarán más esfuerzos de los países y de IPBES para poder darle a plataforma un reporte que sea aún más representativo de la situación por la cual pasa América Latina y el Caribe.</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Adicionalmente, la región tiene algunos de los países</w:t>
      </w:r>
      <w:r w:rsidR="00982132">
        <w:rPr>
          <w:rFonts w:ascii="Roboto" w:eastAsia="Calibri" w:hAnsi="Roboto" w:cs="Calibri"/>
          <w:sz w:val="22"/>
          <w:szCs w:val="22"/>
          <w:lang w:val="es-PA"/>
        </w:rPr>
        <w:t xml:space="preserve"> </w:t>
      </w:r>
      <w:r w:rsidRPr="009B2FBE">
        <w:rPr>
          <w:rFonts w:ascii="Roboto" w:eastAsia="Calibri" w:hAnsi="Roboto" w:cs="Calibri"/>
          <w:sz w:val="22"/>
          <w:szCs w:val="22"/>
          <w:lang w:val="es-PA"/>
        </w:rPr>
        <w:t>megadiversos, los cuales son de importancia global significativa en términos de servicios ecosistémicos, como secuestro de carbono y regulación del clima, así como también por valores culturales indígenas, locales y regionales, y los recreacionales y de ecoturismo. Muchos de estos servicios son relevantes a una escala global.</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En una región con una población aproximada de 595 millones de habitantes, es entendible ver los retos que se enfrentan con balancear la promoción del desarrollo humano a la par de asegurar el uso sostenible de recursos naturales y la provisión de servicios ecosistémicos.</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b/>
          <w:sz w:val="22"/>
          <w:szCs w:val="22"/>
          <w:lang w:val="es-PA"/>
        </w:rPr>
      </w:pPr>
    </w:p>
    <w:p w:rsidR="009B2FBE" w:rsidRPr="009B2FBE" w:rsidRDefault="009B2FBE" w:rsidP="009B2FBE">
      <w:pPr>
        <w:pStyle w:val="Heading1"/>
      </w:pPr>
      <w:bookmarkStart w:id="3" w:name="_Toc525825039"/>
      <w:r w:rsidRPr="009B2FBE">
        <w:t>II. Implementación del Plan Estratégico para la Biodiversidad 2011-2020 y las Metas de Aichi para la Diversidad Biológica de la Convención sobre la Diversidad Biológica (CDB)</w:t>
      </w:r>
      <w:bookmarkEnd w:id="3"/>
    </w:p>
    <w:p w:rsidR="009B2FBE" w:rsidRPr="009B2FBE" w:rsidRDefault="009B2FBE" w:rsidP="009B2FBE">
      <w:pPr>
        <w:rPr>
          <w:rFonts w:eastAsia="Calibri"/>
          <w:lang w:val="es-PA"/>
        </w:rPr>
      </w:pP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La región de América Latina y el Caribe está haciendo esfuerzos significativos para implementar políticas y legislaciones nacionales que promuevan planes y acciones en terreno para alcanzar las 20 Metas de Aichi para la Diversidad Biológica. Particularmente, se hace un reconocimiento a los esfuerzos regionales y nacionales para alcanzar la meta 11 de incrementar áreas protegidas al 2020 a 17% en zonas terrestres y aguas continentales, y 10% de áreas marino-costeras.</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Si bien hay diferencias entre los países en la región en relación con el cumplimiento de la Meta 11 de Aichi sobre Áreas Protegidas, como región, América Latina y el Caribe actualmente cuenta con 23% de cobertura terrestre y aguas continentales, y 17% para áreas marino-costeras.</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lastRenderedPageBreak/>
        <w:t>Se hace una mención especial a los esfuerzos hechos por los países de América Latina y el Caribe para alcanzar las Metas 9 y 12 a través de estrategias que controlan o erradican especies invasoras, a la vez prevenir la extinción de especies en peligro de extinción que han sido identificadas, especialmente para esas especies con una población en declive.</w:t>
      </w:r>
    </w:p>
    <w:p w:rsidR="009B2FBE" w:rsidRPr="009B2FBE" w:rsidRDefault="009B2FBE" w:rsidP="009B2FBE">
      <w:pPr>
        <w:pBdr>
          <w:top w:val="nil"/>
          <w:left w:val="nil"/>
          <w:bottom w:val="nil"/>
          <w:right w:val="nil"/>
          <w:between w:val="nil"/>
        </w:pBdr>
        <w:ind w:left="720" w:hanging="720"/>
        <w:jc w:val="both"/>
        <w:rPr>
          <w:rFonts w:ascii="Roboto" w:eastAsia="Calibri" w:hAnsi="Roboto" w:cs="Calibri"/>
          <w:color w:val="000000"/>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Similarmente, la región de América Latina y el Caribe ha avanzado en alcanzar la Meta 16 sobre la operacionalización del Protocolo de Nagoya sobre Acceso a Recursos Genéticos; y la Meta 17 sobre la implementación de un efectivo, participativo y actualizado Plan de Acción y Estrategia Nacional de Biodiversidad (NBSAP). En este tema, se necesitan mayores esfuerzos para garantizar el acceso y participación justa y equitativa a los beneficios de los recursos genéticos, a través de herramientas de gestión transparentes, para así alcanzar el tercer objetivo de la CDB de manera eficiente.</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Además, el progreso hecho por la región de América Latina y el Caribe hacia alcanzar el uso sostenible de la biodiversidad, a través de buenas prácticas que apuntan hacia la conservación, y el avance hacia alcanzar el Plan Estratégico para la Diversidad Biológica 2011-2020, es notable.</w:t>
      </w:r>
    </w:p>
    <w:p w:rsidR="009B2FBE" w:rsidRPr="009B2FBE" w:rsidRDefault="009B2FBE" w:rsidP="009B2FBE">
      <w:pPr>
        <w:pBdr>
          <w:top w:val="nil"/>
          <w:left w:val="nil"/>
          <w:bottom w:val="nil"/>
          <w:right w:val="nil"/>
          <w:between w:val="nil"/>
        </w:pBdr>
        <w:ind w:left="720" w:hanging="720"/>
        <w:jc w:val="both"/>
        <w:rPr>
          <w:rFonts w:ascii="Roboto" w:eastAsia="Calibri" w:hAnsi="Roboto" w:cs="Calibri"/>
          <w:color w:val="000000"/>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En general, se deben avanzar más y tomar pasos adicionales para alcanzar las Metas de Aichi para la Diversidad Biológica y el Plan de Acción para Diversidad Biológica 2020, de acuerdo con la cuarta edición de la Perspectiva Global de Diversidad Biológica (GBO 4). En este sentido, la Perspectiva Regional de Diversidad Biológica para América Latina y el Caribe resaltó que las tasas de pérdida de hábitat en la región ha bajado de años anteriores, pero se mantiene alta; el rápido crecimiento económico y la desigualdad social han creado presiones en los recursos naturales de la región; la expansión de la frontera agrícola y la intensificación para incrementar la producción de ganado e insumos agrícolas continúa; la región está pasando por el desarrollo de grandes represas y carreteras; los impactos en la biodiversidad a raíz de altas concentraciones de población en áreas urbanas son particularmente significativos en la región; la extracción de recursos para minerales e hidrocarburos ha llevado a impactos locales directos e indirectos devastadores como la remoción de vegetación, y la contaminación de agua y suelos. En este contexto, está clara la necesidad de invertir activamente en el desarrollo sostenible, para así abordar las necesidades sociales, económicas y ambientales para alcanzar las metas de los ODS, incluyendo las metas ambientales en políticas sectoriales (energía, pesca, agricultura, turismo, etc.).</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La 14va Conferencia de las Partes de la Convención para la Diversidad Biológica (CDB) tendrá lugar en Egipto el 14 a 29 de noviembre de 2018. Representa una oportunidad para la región de contribuir a la discusión post Plan Estratégico para la Diversidad Biológica 2011-2020 y el desarrollo de Metas de Diversidad Biológica adicionales, así como el cumplimiento de la Agenda 2030 para el Desarrollo Sostenible.</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Durante la 14va COP, las Partes a la CDB presentarán sus Sextos Informes Nacionales. El Sexto Informe Nacional (6IN) mejorará los procesos nacionales de toma de decisión para la implementación de las Estrategias Nacionales de Biodiversidad y Planes de Acción (NBSAPs) e informará sobre la implementación de la 5ta Perspectiva Mundial sobre la Diversidad Biológica (GBO-5), al igual que la Estrategia Global de Biodiversidad 2021-2030. El 6IN proveerá un reflejo acertado y actualizado de los procesos nacionales y globales para abordar el cumplimiento de las Metas de Aichi, al igual que la evaluación del progreso en abordar aspectos de otros compromisos internacionales, incluyendo las metas de desarrollo global 2030 (ODS). Los resultados proveerán un pantallazo simultaneo y comparable de cómo los países están implementando las obligaciones de la CDB, y el resultado de estas estrategias y planes de acción. Los países de la región podrán expresar su interés en presentar estos 6IN juntos, como ALC, en la 14va COP.</w:t>
      </w:r>
    </w:p>
    <w:p w:rsidR="009B2FBE" w:rsidRPr="009B2FBE" w:rsidRDefault="009B2FBE" w:rsidP="009B2FBE">
      <w:pPr>
        <w:jc w:val="both"/>
        <w:rPr>
          <w:rFonts w:ascii="Roboto" w:eastAsia="Calibri" w:hAnsi="Roboto" w:cs="Calibri"/>
          <w:sz w:val="22"/>
          <w:szCs w:val="22"/>
          <w:lang w:val="es-PA"/>
        </w:rPr>
      </w:pPr>
    </w:p>
    <w:p w:rsidR="009B2FBE" w:rsidRDefault="009B2FBE" w:rsidP="009B2FBE">
      <w:pPr>
        <w:jc w:val="both"/>
        <w:rPr>
          <w:rFonts w:ascii="Roboto" w:eastAsia="Calibri" w:hAnsi="Roboto" w:cs="Calibri"/>
          <w:sz w:val="22"/>
          <w:szCs w:val="22"/>
          <w:lang w:val="es-PA"/>
        </w:rPr>
      </w:pPr>
    </w:p>
    <w:p w:rsidR="0022378B" w:rsidRDefault="0022378B" w:rsidP="009B2FBE">
      <w:pPr>
        <w:jc w:val="both"/>
        <w:rPr>
          <w:rFonts w:ascii="Roboto" w:eastAsia="Calibri" w:hAnsi="Roboto" w:cs="Calibri"/>
          <w:sz w:val="22"/>
          <w:szCs w:val="22"/>
          <w:lang w:val="es-PA"/>
        </w:rPr>
      </w:pPr>
    </w:p>
    <w:p w:rsidR="0022378B" w:rsidRPr="009B2FBE" w:rsidRDefault="0022378B" w:rsidP="009B2FBE">
      <w:pPr>
        <w:jc w:val="both"/>
        <w:rPr>
          <w:rFonts w:ascii="Roboto" w:eastAsia="Calibri" w:hAnsi="Roboto" w:cs="Calibri"/>
          <w:sz w:val="22"/>
          <w:szCs w:val="22"/>
          <w:lang w:val="es-PA"/>
        </w:rPr>
      </w:pPr>
    </w:p>
    <w:p w:rsidR="009B2FBE" w:rsidRPr="009B2FBE" w:rsidRDefault="009B2FBE" w:rsidP="009B2FBE">
      <w:pPr>
        <w:pStyle w:val="Heading1"/>
      </w:pPr>
      <w:bookmarkStart w:id="4" w:name="_Toc525825040"/>
      <w:r w:rsidRPr="009B2FBE">
        <w:t>III. Restauración y gestión ambiental de ecosistemas</w:t>
      </w:r>
      <w:bookmarkEnd w:id="4"/>
      <w:r w:rsidRPr="009B2FBE">
        <w:t xml:space="preserve"> </w:t>
      </w:r>
    </w:p>
    <w:p w:rsidR="009B2FBE" w:rsidRPr="009B2FBE" w:rsidRDefault="009B2FBE" w:rsidP="009B2FBE">
      <w:pPr>
        <w:jc w:val="both"/>
        <w:rPr>
          <w:rFonts w:ascii="Roboto" w:eastAsia="Calibri" w:hAnsi="Roboto" w:cs="Calibri"/>
          <w:b/>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De acuerdo con el Instituto de Recursos Mundiales (WRI, 2016) las tierras degradadas -- tierras que han perdido alguna parte de su productividad a raíz de actividad humana -- cuentan por más de 20% de las tierras agrícolas y forestales en América Latina y el Caribe. Alrededor de 300 millones de hectáreas de los bosques de la región son considerados degradados, y cerca de 350 millones de hectáreas son clasificadas como deforestadas.</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Las exportaciones de bosques y agrícolas de América Latina representan alrededor de 13% del comercio mundial de alimentos y fibras y representan la mayoría del empleo fuera de grandes áreas urbanas -- números que se espera que crezcan a medida que América Latina es llamada a alcanzar una demanda global por alimentos que sigue incrementando. Sin embargo, desde el comienzo del siglo, alrededor de 37 millones de hectáreas de bosques naturales, sabanas y humedales han sido transformados para expandir la frontera agrícola. Prácticas de uso de suelo no sostenibles acumulativas han llevado a la degradación de alrededor de 300 millones de hectáreas, resultando en una reducción en rendimiento y calidad de la producción, y en pérdidas de contenido de biomasa, calidad de suelo, hidrología de aguas superficiales, y biodiversidad. </w:t>
      </w:r>
    </w:p>
    <w:p w:rsidR="009B2FBE" w:rsidRPr="009B2FBE" w:rsidRDefault="009B2FBE" w:rsidP="009B2FBE">
      <w:pPr>
        <w:pBdr>
          <w:top w:val="nil"/>
          <w:left w:val="nil"/>
          <w:bottom w:val="nil"/>
          <w:right w:val="nil"/>
          <w:between w:val="nil"/>
        </w:pBdr>
        <w:ind w:left="720" w:hanging="720"/>
        <w:rPr>
          <w:rFonts w:ascii="Roboto" w:eastAsia="Calibri" w:hAnsi="Roboto" w:cs="Calibri"/>
          <w:color w:val="000000"/>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La deforestación, cambio de uso de suelo, y actividades agrícolas no sostenibles son actualmente los más grandes impulsores del cambio climático en la región, representando 56% de todas las emisiones de gases de efecto invernadero. Hoy en día, a pesar de que se ha logrado progreso, la tasa de deforestación sigue alta, alrededor de 3.4 millones de hectáreas por año.</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La restauración de paisaje, técnicas de manejo de paisaje, y la agricultura sostenible baja en carbono, ofrecen oportunidades para revertir algunas de estas pérdidas. La restauración de tierras y ecosistemas tiene el potencial de contribuir a mejores rendimientos agrícolas en tierras degradadas, frenar la pérdida de biodiversidad, y contribuir a incrementos en reservas de carbono, al igual que asegurar incrementos en disponibilidad y calidad de agua y suelos.</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Como ejemplo, la Iniciativa 20x20, una iniciativa regional liderada por los países busca restaurar 20 millones de hectáreas de tierras degradadas en América Latina y el Caribe al 2020. Los beneficios anticipados de estas actividades incluyen los beneficios de mejoras en productos agrícolas como resultado de prácticas de manejo sostenible de tierras, los productos madereros y no madereros de las actividades forestales sostenibles, al igual que co-beneficios relacionados tales como el ecoturismo y las reducciones en costos de seguridad alimentaria.</w:t>
      </w:r>
      <w:r w:rsidRPr="009B2FBE">
        <w:rPr>
          <w:rFonts w:ascii="Roboto" w:eastAsia="Calibri" w:hAnsi="Roboto" w:cs="Calibri"/>
          <w:sz w:val="22"/>
          <w:szCs w:val="22"/>
          <w:vertAlign w:val="superscript"/>
          <w:lang w:val="es-PA"/>
        </w:rPr>
        <w:footnoteReference w:id="1"/>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En el marco de la Convención de las Naciones Unidas para la Lucha contra la Desertificación (CNULD), la cual busca revertir y prevenir la desertificación y degradación de tierras, al igual que mitigar los efectos de las sequías en áreas afectadas, existe una necesidad para acciones de restauración de ecosistemas que estén enfocadas en áreas afectadas por la desertificación. Al detener la deforestación y haciendo la transición al uso sostenible de los suelos, la desertificación puede ser frenada y permitir que el ecosistema pase a un estado más productivo.</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Restaurar tierras degradadas en América Latina y el Caribe podría resultar en beneficios económicos netos de USD 23 mil millones en los próximos 50 años.</w:t>
      </w:r>
      <w:r w:rsidRPr="009B2FBE">
        <w:rPr>
          <w:rFonts w:ascii="Roboto" w:eastAsia="Calibri" w:hAnsi="Roboto" w:cs="Calibri"/>
          <w:sz w:val="22"/>
          <w:szCs w:val="22"/>
          <w:vertAlign w:val="superscript"/>
          <w:lang w:val="es-PA"/>
        </w:rPr>
        <w:footnoteReference w:id="2"/>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En general, los países de América Latina y el Caribe están dándose cuenta de que es crítico actuar ahora para revertir las tendencias actuales.</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Los países de América Latina y el Caribe tienen conocimiento tradicional que puede inspirar soluciones basadas en la naturaleza e infraestructura verde para enfrentar los retos actuales en restauración y gestión ambiental.</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pStyle w:val="Heading1"/>
      </w:pPr>
      <w:bookmarkStart w:id="5" w:name="_Toc525825041"/>
      <w:r w:rsidRPr="009B2FBE">
        <w:t>IV. Áreas protegidas</w:t>
      </w:r>
      <w:bookmarkEnd w:id="5"/>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pBdr>
          <w:top w:val="nil"/>
          <w:left w:val="nil"/>
          <w:bottom w:val="nil"/>
          <w:right w:val="nil"/>
          <w:between w:val="nil"/>
        </w:pBdr>
        <w:jc w:val="both"/>
        <w:rPr>
          <w:rFonts w:ascii="Roboto" w:hAnsi="Roboto"/>
          <w:color w:val="000000"/>
          <w:sz w:val="22"/>
          <w:szCs w:val="22"/>
          <w:lang w:val="es-PA"/>
        </w:rPr>
      </w:pPr>
      <w:r w:rsidRPr="009B2FBE">
        <w:rPr>
          <w:rFonts w:ascii="Roboto" w:eastAsia="Calibri" w:hAnsi="Roboto" w:cs="Calibri"/>
          <w:sz w:val="22"/>
          <w:szCs w:val="22"/>
          <w:lang w:val="es-PA"/>
        </w:rPr>
        <w:t>A 2018, América Latina y el Caribe tiene 23% de su territorio terrestre declarado como áreas protegidas, y 17% de sus aguas territoriales declaradas como áreas protegidas marinas.</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pBdr>
          <w:top w:val="nil"/>
          <w:left w:val="nil"/>
          <w:bottom w:val="nil"/>
          <w:right w:val="nil"/>
          <w:between w:val="nil"/>
        </w:pBdr>
        <w:jc w:val="both"/>
        <w:rPr>
          <w:rFonts w:ascii="Roboto" w:hAnsi="Roboto"/>
          <w:color w:val="000000"/>
          <w:sz w:val="22"/>
          <w:szCs w:val="22"/>
          <w:lang w:val="es-PA"/>
        </w:rPr>
      </w:pPr>
      <w:r w:rsidRPr="009B2FBE">
        <w:rPr>
          <w:rFonts w:ascii="Roboto" w:eastAsia="Calibri" w:hAnsi="Roboto" w:cs="Calibri"/>
          <w:sz w:val="22"/>
          <w:szCs w:val="22"/>
          <w:lang w:val="es-PA"/>
        </w:rPr>
        <w:t>Las áreas protegidas terrestres son un componente clave en la lucha contra el cambio climático y la pérdida de biodiversidad, ya que su creación y conservación en áreas de alta biodiversidad puede incrementar la tasa de secuestro de carbono al igual que proveer la conectividad necesaria para la supervivencia de las especies.</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pBdr>
          <w:top w:val="nil"/>
          <w:left w:val="nil"/>
          <w:bottom w:val="nil"/>
          <w:right w:val="nil"/>
          <w:between w:val="nil"/>
        </w:pBdr>
        <w:jc w:val="both"/>
        <w:rPr>
          <w:rFonts w:ascii="Roboto" w:hAnsi="Roboto"/>
          <w:color w:val="000000"/>
          <w:sz w:val="22"/>
          <w:szCs w:val="22"/>
          <w:lang w:val="es-PA"/>
        </w:rPr>
      </w:pPr>
      <w:r w:rsidRPr="009B2FBE">
        <w:rPr>
          <w:rFonts w:ascii="Roboto" w:eastAsia="Calibri" w:hAnsi="Roboto" w:cs="Calibri"/>
          <w:sz w:val="22"/>
          <w:szCs w:val="22"/>
          <w:lang w:val="es-PA"/>
        </w:rPr>
        <w:t>Un estudio de 2016 por la Universidad de Sussex, el Museo de Historia Nacional y el Centro Mundial de Monitoreo de Conservación de ONU Medio Ambiente, concluyó que hay 15% más plantas y animales y 11% más especies en áreas protegidas, demostrando que la biodiversidad es más grande dentro de estas áreas que fuera.</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pBdr>
          <w:top w:val="nil"/>
          <w:left w:val="nil"/>
          <w:bottom w:val="nil"/>
          <w:right w:val="nil"/>
          <w:between w:val="nil"/>
        </w:pBdr>
        <w:jc w:val="both"/>
        <w:rPr>
          <w:rFonts w:ascii="Roboto" w:hAnsi="Roboto"/>
          <w:color w:val="000000"/>
          <w:sz w:val="22"/>
          <w:szCs w:val="22"/>
          <w:lang w:val="es-PA"/>
        </w:rPr>
      </w:pPr>
      <w:r w:rsidRPr="009B2FBE">
        <w:rPr>
          <w:rFonts w:ascii="Roboto" w:eastAsia="Calibri" w:hAnsi="Roboto" w:cs="Calibri"/>
          <w:sz w:val="22"/>
          <w:szCs w:val="22"/>
          <w:lang w:val="es-PA"/>
        </w:rPr>
        <w:t>Las áreas protegidas proveen una variedad de servicios ecosistémicos que son esenciales para la creación de medios de vida en comunidades que directa en indirectamente depende de estos servicios, al igual que para mantener un sistema socio-económico saludable. Entre estos servicios se encuentran la regulación de inundaciones, polinización de cultivos, al igual que los culturales, de recreación y turismo.</w:t>
      </w:r>
      <w:r w:rsidRPr="009B2FBE">
        <w:rPr>
          <w:rFonts w:ascii="Roboto" w:eastAsia="Calibri" w:hAnsi="Roboto" w:cs="Calibri"/>
          <w:color w:val="000000"/>
          <w:sz w:val="22"/>
          <w:szCs w:val="22"/>
          <w:lang w:val="es-PA"/>
        </w:rPr>
        <w:t xml:space="preserve"> </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pBdr>
          <w:top w:val="nil"/>
          <w:left w:val="nil"/>
          <w:bottom w:val="nil"/>
          <w:right w:val="nil"/>
          <w:between w:val="nil"/>
        </w:pBdr>
        <w:jc w:val="both"/>
        <w:rPr>
          <w:rFonts w:ascii="Roboto" w:hAnsi="Roboto"/>
          <w:color w:val="000000"/>
          <w:sz w:val="22"/>
          <w:szCs w:val="22"/>
          <w:lang w:val="es-PA"/>
        </w:rPr>
      </w:pPr>
      <w:r w:rsidRPr="009B2FBE">
        <w:rPr>
          <w:rFonts w:ascii="Roboto" w:eastAsia="Calibri" w:hAnsi="Roboto" w:cs="Calibri"/>
          <w:sz w:val="22"/>
          <w:szCs w:val="22"/>
          <w:lang w:val="es-PA"/>
        </w:rPr>
        <w:t>Un ejemplo de una iniciativa coherente de áreas protegidas en la región es el Proyecto de Integración de Áreas Protegidas Amazónicas (IAPA) - Visión Amazónica, el cual ha trabajado para incrementar la resiliencia de una de las regiones más importantes y biodiversas del mundo, con consideraciones de cambio climático y buscando beneficiar a las comunidades y economías locales. Este proyecto cuenta con acciones regionales para la integración de gestión de áreas protegidas, sin embargo también enfoca sus acciones en dos paisajes: las áreas protegidas fronterizas entre Colombia, Ecuador y Perú (Paisaje Norte), y las áreas protegidas fronterizas entre Bolivia, Perú y Brasil (Paisaje Sur).</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pBdr>
          <w:top w:val="nil"/>
          <w:left w:val="nil"/>
          <w:bottom w:val="nil"/>
          <w:right w:val="nil"/>
          <w:between w:val="nil"/>
        </w:pBdr>
        <w:jc w:val="both"/>
        <w:rPr>
          <w:rFonts w:ascii="Roboto" w:hAnsi="Roboto"/>
          <w:color w:val="000000"/>
          <w:sz w:val="22"/>
          <w:szCs w:val="22"/>
          <w:lang w:val="es-PA"/>
        </w:rPr>
      </w:pPr>
      <w:r w:rsidRPr="009B2FBE">
        <w:rPr>
          <w:rFonts w:ascii="Roboto" w:eastAsia="Calibri" w:hAnsi="Roboto" w:cs="Calibri"/>
          <w:sz w:val="22"/>
          <w:szCs w:val="22"/>
          <w:lang w:val="es-PA"/>
        </w:rPr>
        <w:t>Las áreas protegidas marinas son importantes para la provisión de alimento, protección de biodiversidad y los medios de vida de las comunidades locales. En el actual contexto global, los ecosistemas marinos se encuentran entre los que más peligro corren, amenazados por temperaturas cambiantes, contaminación y sobrepesca.</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pBdr>
          <w:top w:val="nil"/>
          <w:left w:val="nil"/>
          <w:bottom w:val="nil"/>
          <w:right w:val="nil"/>
          <w:between w:val="nil"/>
        </w:pBdr>
        <w:jc w:val="both"/>
        <w:rPr>
          <w:rFonts w:ascii="Roboto" w:eastAsia="Calibri" w:hAnsi="Roboto" w:cs="Calibri"/>
          <w:sz w:val="22"/>
          <w:szCs w:val="22"/>
          <w:lang w:val="es-PA"/>
        </w:rPr>
      </w:pPr>
      <w:r w:rsidRPr="009B2FBE">
        <w:rPr>
          <w:rFonts w:ascii="Roboto" w:eastAsia="Calibri" w:hAnsi="Roboto" w:cs="Calibri"/>
          <w:sz w:val="22"/>
          <w:szCs w:val="22"/>
          <w:lang w:val="es-PA"/>
        </w:rPr>
        <w:t>Los países en la región continúan apoyando la creación de nuevas áreas protegidas marinas las cuales promueven la conservación de ecosistemas marinos, y a la vez reabastecen poblaciones de peces y provean mayor sostenibilidad para economías locales.</w:t>
      </w:r>
    </w:p>
    <w:p w:rsidR="009B2FBE" w:rsidRPr="009B2FBE" w:rsidRDefault="009B2FBE" w:rsidP="009B2FBE">
      <w:pPr>
        <w:pBdr>
          <w:top w:val="nil"/>
          <w:left w:val="nil"/>
          <w:bottom w:val="nil"/>
          <w:right w:val="nil"/>
          <w:between w:val="nil"/>
        </w:pBdr>
        <w:jc w:val="both"/>
        <w:rPr>
          <w:rFonts w:ascii="Roboto" w:hAnsi="Roboto"/>
          <w:color w:val="000000"/>
          <w:sz w:val="22"/>
          <w:szCs w:val="22"/>
          <w:lang w:val="es-PA"/>
        </w:rPr>
      </w:pP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pStyle w:val="Heading1"/>
      </w:pPr>
      <w:bookmarkStart w:id="6" w:name="_Toc525825042"/>
      <w:r w:rsidRPr="009B2FBE">
        <w:t>V. Uso Sostenible de la Biodiversidad</w:t>
      </w:r>
      <w:bookmarkEnd w:id="6"/>
    </w:p>
    <w:p w:rsidR="009B2FBE" w:rsidRPr="009B2FBE" w:rsidRDefault="009B2FBE" w:rsidP="009B2FBE">
      <w:pPr>
        <w:jc w:val="both"/>
        <w:rPr>
          <w:rFonts w:ascii="Roboto" w:eastAsia="Calibri" w:hAnsi="Roboto" w:cs="Calibri"/>
          <w:b/>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El Biocomercio se refiere a aquellas actividades de recoger, producción, transformación y comercialización de bienes y servicios derivados de la biodiversidad nativa bajo los criterios de sostenibilidad ambiental, social y económica.</w:t>
      </w:r>
      <w:r w:rsidR="007629B0">
        <w:rPr>
          <w:rStyle w:val="FootnoteReference"/>
          <w:rFonts w:ascii="Roboto" w:eastAsia="Calibri" w:hAnsi="Roboto" w:cs="Calibri"/>
          <w:sz w:val="22"/>
          <w:szCs w:val="22"/>
          <w:lang w:val="es-PA"/>
        </w:rPr>
        <w:footnoteReference w:id="3"/>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La biodiversidad en América Latina y el Caribe es un elemento clave para el desarrollo de poblaciones rurales, al proveer no solo alimentación e ingreso para las comunidades, sino también una fuente de recursos para sectores y empresas pequeñas y medianas (PyME) basadas en la biodiversidad de manera sostenible en las industrias de cuidado personal, alimentos, moda, flora y fauna ornamental, artesanías, fibras naturales y turismo sostenible, al igual que actividades forestales de créditos de carbono.</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Los países de América Latina y el Caribe expresan la necesidad de crear un ambiente de políticas propicio para el uso sostenible de la biodiversidad y aumentar las capacidades y habilidades de las pequeñas y medianas empresas de abordar abastecimiento sostenible, acceso y participación en los beneficios, además de comercio de productos y servicios con valor agregado. </w:t>
      </w:r>
    </w:p>
    <w:p w:rsidR="009B2FBE" w:rsidRPr="009B2FBE" w:rsidRDefault="009B2FBE" w:rsidP="009B2FBE">
      <w:pPr>
        <w:ind w:left="720"/>
        <w:jc w:val="both"/>
        <w:rPr>
          <w:rFonts w:ascii="Roboto" w:eastAsia="Calibri" w:hAnsi="Roboto" w:cs="Calibri"/>
          <w:sz w:val="22"/>
          <w:szCs w:val="22"/>
          <w:lang w:val="es-PA"/>
        </w:rPr>
      </w:pPr>
    </w:p>
    <w:p w:rsid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El uso sostenible de la biodiversidad tiene enorme potencial para crecimiento considerando las tendencias positivas de mercado para productos y servicios que respetan los criterios sociales y ambientales. Las exportaciones de selectos bienes basados en biodiversidad en los sectores de alimentos, cuidado personal y fitofármacos en la región representaron USD 54 mil millones en el 2016, lo cual representa 13% de las exportaciones mundiales de estos sectores. Han crecido a una tasa anual de 8% entre 2006 y 2016. </w:t>
      </w:r>
    </w:p>
    <w:p w:rsidR="00845D9A" w:rsidRDefault="00845D9A" w:rsidP="009B2FBE">
      <w:pPr>
        <w:jc w:val="both"/>
        <w:rPr>
          <w:rFonts w:ascii="Roboto" w:eastAsia="Calibri" w:hAnsi="Roboto" w:cs="Calibri"/>
          <w:sz w:val="22"/>
          <w:szCs w:val="22"/>
          <w:lang w:val="es-PA"/>
        </w:rPr>
      </w:pPr>
    </w:p>
    <w:p w:rsidR="00845D9A" w:rsidRPr="009B2FBE" w:rsidRDefault="00845D9A" w:rsidP="009B2FBE">
      <w:pPr>
        <w:jc w:val="both"/>
        <w:rPr>
          <w:rFonts w:ascii="Roboto" w:eastAsia="Calibri" w:hAnsi="Roboto" w:cs="Calibri"/>
          <w:sz w:val="22"/>
          <w:szCs w:val="22"/>
          <w:lang w:val="es-PA"/>
        </w:rPr>
      </w:pP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pStyle w:val="Heading1"/>
      </w:pPr>
      <w:bookmarkStart w:id="7" w:name="_Toc525825043"/>
      <w:r w:rsidRPr="009B2FBE">
        <w:t xml:space="preserve">VI. </w:t>
      </w:r>
      <w:r w:rsidR="00F44308">
        <w:t>Integrando</w:t>
      </w:r>
      <w:r w:rsidRPr="009B2FBE">
        <w:t xml:space="preserve"> la biodiversidad en </w:t>
      </w:r>
      <w:r w:rsidR="00F44308">
        <w:t>todos los</w:t>
      </w:r>
      <w:r w:rsidRPr="009B2FBE">
        <w:t xml:space="preserve"> sectores</w:t>
      </w:r>
      <w:bookmarkEnd w:id="7"/>
    </w:p>
    <w:p w:rsidR="009B2FBE" w:rsidRPr="009B2FBE" w:rsidRDefault="009B2FBE" w:rsidP="009B2FBE">
      <w:pPr>
        <w:jc w:val="both"/>
        <w:rPr>
          <w:rFonts w:ascii="Roboto" w:eastAsia="Calibri" w:hAnsi="Roboto" w:cs="Calibri"/>
          <w:b/>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El crecimiento de población y las actividades humanas son fuentes de presión </w:t>
      </w:r>
      <w:r w:rsidR="00F44308">
        <w:rPr>
          <w:rFonts w:ascii="Roboto" w:eastAsia="Calibri" w:hAnsi="Roboto" w:cs="Calibri"/>
          <w:sz w:val="22"/>
          <w:szCs w:val="22"/>
          <w:lang w:val="es-PA"/>
        </w:rPr>
        <w:t>sobre</w:t>
      </w:r>
      <w:r w:rsidRPr="009B2FBE">
        <w:rPr>
          <w:rFonts w:ascii="Roboto" w:eastAsia="Calibri" w:hAnsi="Roboto" w:cs="Calibri"/>
          <w:sz w:val="22"/>
          <w:szCs w:val="22"/>
          <w:lang w:val="es-PA"/>
        </w:rPr>
        <w:t xml:space="preserve"> los recursos de aire, suelo y agua, y especialmente </w:t>
      </w:r>
      <w:r w:rsidR="00F44308">
        <w:rPr>
          <w:rFonts w:ascii="Roboto" w:eastAsia="Calibri" w:hAnsi="Roboto" w:cs="Calibri"/>
          <w:sz w:val="22"/>
          <w:szCs w:val="22"/>
          <w:lang w:val="es-PA"/>
        </w:rPr>
        <w:t>sobre</w:t>
      </w:r>
      <w:r w:rsidRPr="009B2FBE">
        <w:rPr>
          <w:rFonts w:ascii="Roboto" w:eastAsia="Calibri" w:hAnsi="Roboto" w:cs="Calibri"/>
          <w:sz w:val="22"/>
          <w:szCs w:val="22"/>
          <w:lang w:val="es-PA"/>
        </w:rPr>
        <w:t xml:space="preserve"> la diversidad biológica. La respuesta a estas presiones siempre ha consistido en acciones para reducir los impactos o remediar el daño causado.</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La biodiversidad provee bienes y servicios que apoyan a las economías mundiales, y por ende, los negocios del sector privado. En este sentido, la productividad de los negocios depende </w:t>
      </w:r>
      <w:r w:rsidR="00F44308">
        <w:rPr>
          <w:rFonts w:ascii="Roboto" w:eastAsia="Calibri" w:hAnsi="Roboto" w:cs="Calibri"/>
          <w:sz w:val="22"/>
          <w:szCs w:val="22"/>
          <w:lang w:val="es-PA"/>
        </w:rPr>
        <w:t>de</w:t>
      </w:r>
      <w:r w:rsidRPr="009B2FBE">
        <w:rPr>
          <w:rFonts w:ascii="Roboto" w:eastAsia="Calibri" w:hAnsi="Roboto" w:cs="Calibri"/>
          <w:sz w:val="22"/>
          <w:szCs w:val="22"/>
          <w:lang w:val="es-PA"/>
        </w:rPr>
        <w:t xml:space="preserve"> su habilidad de obtener materia prima y energía, directa o indirectamente de la biodiversidad – y sus componentes - y los ecosistemas, para distribuir al mercado los productos generados.</w:t>
      </w:r>
    </w:p>
    <w:p w:rsidR="009B2FBE" w:rsidRPr="009B2FBE" w:rsidRDefault="009B2FBE" w:rsidP="009B2FBE">
      <w:pPr>
        <w:pBdr>
          <w:top w:val="nil"/>
          <w:left w:val="nil"/>
          <w:bottom w:val="nil"/>
          <w:right w:val="nil"/>
          <w:between w:val="nil"/>
        </w:pBdr>
        <w:ind w:left="720" w:hanging="720"/>
        <w:rPr>
          <w:rFonts w:ascii="Roboto" w:eastAsia="Calibri" w:hAnsi="Roboto" w:cs="Calibri"/>
          <w:color w:val="000000"/>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Por ende, los gobiernos de la región de América Latina y el Caribe reconocen la importancia de </w:t>
      </w:r>
      <w:r w:rsidR="00BA6F9E">
        <w:rPr>
          <w:rFonts w:ascii="Roboto" w:eastAsia="Calibri" w:hAnsi="Roboto" w:cs="Calibri"/>
          <w:sz w:val="22"/>
          <w:szCs w:val="22"/>
          <w:lang w:val="es-PA"/>
        </w:rPr>
        <w:t>integrar</w:t>
      </w:r>
      <w:r w:rsidRPr="009B2FBE">
        <w:rPr>
          <w:rFonts w:ascii="Roboto" w:eastAsia="Calibri" w:hAnsi="Roboto" w:cs="Calibri"/>
          <w:sz w:val="22"/>
          <w:szCs w:val="22"/>
          <w:lang w:val="es-PA"/>
        </w:rPr>
        <w:t xml:space="preserve"> la biodiversidad y los</w:t>
      </w:r>
      <w:r w:rsidR="00BA6F9E">
        <w:rPr>
          <w:rFonts w:ascii="Roboto" w:eastAsia="Calibri" w:hAnsi="Roboto" w:cs="Calibri"/>
          <w:sz w:val="22"/>
          <w:szCs w:val="22"/>
          <w:lang w:val="es-PA"/>
        </w:rPr>
        <w:t xml:space="preserve"> servicios de los</w:t>
      </w:r>
      <w:r w:rsidRPr="009B2FBE">
        <w:rPr>
          <w:rFonts w:ascii="Roboto" w:eastAsia="Calibri" w:hAnsi="Roboto" w:cs="Calibri"/>
          <w:sz w:val="22"/>
          <w:szCs w:val="22"/>
          <w:lang w:val="es-PA"/>
        </w:rPr>
        <w:t xml:space="preserve"> ecosistemas en </w:t>
      </w:r>
      <w:r w:rsidR="00BA6F9E">
        <w:rPr>
          <w:rFonts w:ascii="Roboto" w:eastAsia="Calibri" w:hAnsi="Roboto" w:cs="Calibri"/>
          <w:sz w:val="22"/>
          <w:szCs w:val="22"/>
          <w:lang w:val="es-PA"/>
        </w:rPr>
        <w:t xml:space="preserve">todos </w:t>
      </w:r>
      <w:r w:rsidRPr="009B2FBE">
        <w:rPr>
          <w:rFonts w:ascii="Roboto" w:eastAsia="Calibri" w:hAnsi="Roboto" w:cs="Calibri"/>
          <w:sz w:val="22"/>
          <w:szCs w:val="22"/>
          <w:lang w:val="es-PA"/>
        </w:rPr>
        <w:t xml:space="preserve">los sectores, </w:t>
      </w:r>
      <w:r w:rsidR="00BA6F9E">
        <w:rPr>
          <w:rFonts w:ascii="Roboto" w:eastAsia="Calibri" w:hAnsi="Roboto" w:cs="Calibri"/>
          <w:sz w:val="22"/>
          <w:szCs w:val="22"/>
          <w:lang w:val="es-PA"/>
        </w:rPr>
        <w:t xml:space="preserve">especialmente aquellos que dependen de la biodiversidad, </w:t>
      </w:r>
      <w:r w:rsidRPr="009B2FBE">
        <w:rPr>
          <w:rFonts w:ascii="Roboto" w:eastAsia="Calibri" w:hAnsi="Roboto" w:cs="Calibri"/>
          <w:sz w:val="22"/>
          <w:szCs w:val="22"/>
          <w:lang w:val="es-PA"/>
        </w:rPr>
        <w:t xml:space="preserve">incluyendo los sectores de infraestructura, agua y gestión de saneamiento, ya que </w:t>
      </w:r>
      <w:r w:rsidR="00BA6F9E">
        <w:rPr>
          <w:rFonts w:ascii="Roboto" w:eastAsia="Calibri" w:hAnsi="Roboto" w:cs="Calibri"/>
          <w:sz w:val="22"/>
          <w:szCs w:val="22"/>
          <w:lang w:val="es-PA"/>
        </w:rPr>
        <w:t>é</w:t>
      </w:r>
      <w:r w:rsidRPr="009B2FBE">
        <w:rPr>
          <w:rFonts w:ascii="Roboto" w:eastAsia="Calibri" w:hAnsi="Roboto" w:cs="Calibri"/>
          <w:sz w:val="22"/>
          <w:szCs w:val="22"/>
          <w:lang w:val="es-PA"/>
        </w:rPr>
        <w:t>stos son los proveedores de servicios esenciales para la producción, y contribuyen a toda la cadena de valor.</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Existen iniciativas como la Alianza Mesoamericana por la Biodiversidad (BPM) la cual reúne organizaciones y compañías pioneras que reconocen el valor </w:t>
      </w:r>
      <w:r w:rsidR="00C23985">
        <w:rPr>
          <w:rFonts w:ascii="Roboto" w:eastAsia="Calibri" w:hAnsi="Roboto" w:cs="Calibri"/>
          <w:sz w:val="22"/>
          <w:szCs w:val="22"/>
          <w:lang w:val="es-PA"/>
        </w:rPr>
        <w:t>de los recursos naturales</w:t>
      </w:r>
      <w:r w:rsidRPr="009B2FBE">
        <w:rPr>
          <w:rFonts w:ascii="Roboto" w:eastAsia="Calibri" w:hAnsi="Roboto" w:cs="Calibri"/>
          <w:sz w:val="22"/>
          <w:szCs w:val="22"/>
          <w:lang w:val="es-PA"/>
        </w:rPr>
        <w:t xml:space="preserve"> para </w:t>
      </w:r>
      <w:r w:rsidRPr="009B2FBE">
        <w:rPr>
          <w:rFonts w:ascii="Roboto" w:eastAsia="Calibri" w:hAnsi="Roboto" w:cs="Calibri"/>
          <w:sz w:val="22"/>
          <w:szCs w:val="22"/>
          <w:lang w:val="es-PA"/>
        </w:rPr>
        <w:lastRenderedPageBreak/>
        <w:t>la sostenibilidad de sus negocios para desarrollar iniciativas innovadoras para la conservación y</w:t>
      </w:r>
      <w:r w:rsidR="00C23985">
        <w:rPr>
          <w:rFonts w:ascii="Roboto" w:eastAsia="Calibri" w:hAnsi="Roboto" w:cs="Calibri"/>
          <w:sz w:val="22"/>
          <w:szCs w:val="22"/>
          <w:lang w:val="es-PA"/>
        </w:rPr>
        <w:t xml:space="preserve"> el</w:t>
      </w:r>
      <w:r w:rsidRPr="009B2FBE">
        <w:rPr>
          <w:rFonts w:ascii="Roboto" w:eastAsia="Calibri" w:hAnsi="Roboto" w:cs="Calibri"/>
          <w:sz w:val="22"/>
          <w:szCs w:val="22"/>
          <w:lang w:val="es-PA"/>
        </w:rPr>
        <w:t xml:space="preserve"> uso sostenible de la biodiversidad en la región.</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pBdr>
          <w:top w:val="nil"/>
          <w:left w:val="nil"/>
          <w:bottom w:val="nil"/>
          <w:right w:val="nil"/>
          <w:between w:val="nil"/>
        </w:pBdr>
        <w:jc w:val="both"/>
        <w:rPr>
          <w:rFonts w:ascii="Roboto" w:eastAsia="Calibri" w:hAnsi="Roboto" w:cs="Calibri"/>
          <w:sz w:val="22"/>
          <w:szCs w:val="22"/>
          <w:lang w:val="es-PA"/>
        </w:rPr>
      </w:pPr>
      <w:r w:rsidRPr="009B2FBE">
        <w:rPr>
          <w:rFonts w:ascii="Roboto" w:eastAsia="Calibri" w:hAnsi="Roboto" w:cs="Calibri"/>
          <w:sz w:val="22"/>
          <w:szCs w:val="22"/>
          <w:lang w:val="es-PA"/>
        </w:rPr>
        <w:t>En abril, el Diálogo Intersectorial del Bioma Amazónico se llevó a cabo en el contexto del Proyecto de Integración de Áreas Protegidas Amazónicas (IAPA) - Visión Amazónica, invitando a los sectores productivos de los países Amazónicos a avanzar hacia la transversalización de la biodiversidad en su trabajo, demostrando el valor que las áreas protegidas y sus servicios ecosistémicos proveen a estos sectores.</w:t>
      </w:r>
    </w:p>
    <w:p w:rsidR="009B2FBE" w:rsidRDefault="009B2FBE" w:rsidP="009B2FBE">
      <w:pPr>
        <w:pBdr>
          <w:top w:val="nil"/>
          <w:left w:val="nil"/>
          <w:bottom w:val="nil"/>
          <w:right w:val="nil"/>
          <w:between w:val="nil"/>
        </w:pBdr>
        <w:ind w:left="720"/>
        <w:jc w:val="both"/>
        <w:rPr>
          <w:rFonts w:ascii="Roboto" w:hAnsi="Roboto"/>
          <w:color w:val="000000"/>
          <w:sz w:val="22"/>
          <w:szCs w:val="22"/>
          <w:lang w:val="es-PA"/>
        </w:rPr>
      </w:pPr>
    </w:p>
    <w:p w:rsidR="00845D9A" w:rsidRPr="009B2FBE" w:rsidRDefault="00845D9A" w:rsidP="009B2FBE">
      <w:pPr>
        <w:pBdr>
          <w:top w:val="nil"/>
          <w:left w:val="nil"/>
          <w:bottom w:val="nil"/>
          <w:right w:val="nil"/>
          <w:between w:val="nil"/>
        </w:pBdr>
        <w:ind w:left="720"/>
        <w:jc w:val="both"/>
        <w:rPr>
          <w:rFonts w:ascii="Roboto" w:eastAsia="Calibri" w:hAnsi="Roboto" w:cs="Calibri"/>
          <w:sz w:val="22"/>
          <w:szCs w:val="22"/>
          <w:lang w:val="es-PA"/>
        </w:rPr>
      </w:pPr>
    </w:p>
    <w:p w:rsidR="009B2FBE" w:rsidRPr="009B2FBE" w:rsidRDefault="009B2FBE" w:rsidP="009B2FBE">
      <w:pPr>
        <w:pStyle w:val="Heading1"/>
      </w:pPr>
      <w:bookmarkStart w:id="8" w:name="_Toc525825044"/>
      <w:r w:rsidRPr="009B2FBE">
        <w:t>VII. Biodiversidad y Cambio Climático</w:t>
      </w:r>
      <w:bookmarkEnd w:id="8"/>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El cambio climático y la biodiversidad son parte de un mismo ciclo en el cual las alteraciones de uno afectan al otro - el cambio climático es un impulsor de la pérdida de biodiversidad, y la pérdida de biodiversidad y ecosistemas contribuyen al cambio climático. </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Ecosistemas únicos y la biodiversidad que albergan están siendo afectados por el aumento en temperaturas, disminución de lluvias, y en áreas marino-costeras por el incremento en el nivel del mar y la acidificación de los océanos. Se estima que el 25% de todas las especies terrestres pueden estar en peligro de extinción al 2050 debido al cambio climático, lo cual representaría la más grande amenaza para la biodiversidad, aún más que la pérdida de hábitat por actividad humana, que de momento es el principal impulsor.</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La consecuencia de la pérdida de biodiversidad y las interrupciones en la provisión de servicios ecosistémicos están afectando a una gran cantidad de comunidades alrededor del mundo, en donde la provisión de bienes y servicios se ha visto en fuerte descenso, particularmente en los países más vulnerables. En ciertas regiones estamos viendo amenazas a la seguridad alimentaria en ambientes terrestres y marinos en donde el descenso sin precedentes de pesquerías está alarmando a la comunidad científica y más recientemente a los responsables de políticas públicas. </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En un escenario en donde el cambio climático incrementará la pérdida de biodiversidad y ecosistemas de manera exponencial, será crítico entender los impactos que estos cambios tendrán en el bienestar del ser humano, y promover la innovación en soluciones basadas en la naturaleza, para abordar el reto de adaptación al cambio climático.</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pStyle w:val="Heading1"/>
      </w:pPr>
      <w:bookmarkStart w:id="9" w:name="_Toc525825045"/>
      <w:r w:rsidRPr="009B2FBE">
        <w:t>VIII. La Agenda 2030 para el Desarrollo Sostenible y los Objetivos de Desarrollo Sostenible (ODS)</w:t>
      </w:r>
      <w:bookmarkEnd w:id="9"/>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La Agenda 2030 para el Desarrollo Sostenible y los Objetivos de Desarrollo Sostenible (ODS), reconocen la biodiversidad como uno de los elementos fundamentales para asegurar el bienestar humano. En este sentido, la biodiversidad está representada directamente en los ODS 14 y 15: el ODS 14 es sobre vida submarina y hace un llamado a la conservación y uso sostenible de los océanos, mares y recursos marinos; y el ODS 15 es sobre vida terrestre y hace un llamado por el manejo sostenible de los bosques, combatir la desertificación, y frenar y revertir la degradación de suelos al igual que la pérdida de biodiversidad.</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Mientras que los ODS 14 y 15 proveen elementos críticos que resaltan la importancia de la conservación y uso sostenible de la biodiversidad, el enfoque holístico en el contexto de la más amplia Agenda 2030 para el Desarrollo Sostenible y los ODS es el que merece reconocimiento del rol de la biodiversidad en el marco del desarrollo sostenible.</w:t>
      </w:r>
    </w:p>
    <w:p w:rsidR="009B2FBE" w:rsidRPr="009B2FBE" w:rsidRDefault="009B2FBE" w:rsidP="009B2FBE">
      <w:pPr>
        <w:ind w:left="720"/>
        <w:jc w:val="both"/>
        <w:rPr>
          <w:rFonts w:ascii="Roboto" w:eastAsia="Calibri" w:hAnsi="Roboto" w:cs="Calibri"/>
          <w:sz w:val="22"/>
          <w:szCs w:val="22"/>
          <w:lang w:val="es-PA"/>
        </w:rPr>
      </w:pPr>
    </w:p>
    <w:p w:rsid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Por ejemplo, es innegable que los ODS 14 y 15 impactan directa o indirectamente el cumplimiento de otros ODS como la seguridad alimentaria (ODS 2: “Poner fin al hambre, lograr la seguridad alimentaria y la mejora de la nutrición y promover la agricultura sostenible”), agua (ODS 6: “Garantizar la disponibilidad de agua y su gestión sostenible y el saneamiento para todos”), crecimiento económico (ODS 8: “Promover el crecimiento económico sostenido, inclusivo y sostenible, el empleo pleno y productivo y el trabajo decente para todos”), y clima (ODS 13: “Adoptar medidas urgentes para combatir el cambio climático y sus efectos”). Este entendimiento implica que los esfuerzos para escalar la adaptación y mitigación al cambio climático, al igual que la provisión de agua y la gobernanza de los océanos, dependen en gran medida de cómo la comunidad internacional responde a los retos de alteración física y destrucción de hábitats, y a la pérdida sin precedentes de biodiversidad y servicios ecosistémicos.</w:t>
      </w:r>
    </w:p>
    <w:p w:rsidR="00845D9A" w:rsidRPr="009B2FBE" w:rsidRDefault="00845D9A" w:rsidP="009B2FBE">
      <w:pPr>
        <w:jc w:val="both"/>
        <w:rPr>
          <w:rFonts w:ascii="Roboto" w:eastAsia="Calibri" w:hAnsi="Roboto" w:cs="Calibri"/>
          <w:sz w:val="22"/>
          <w:szCs w:val="22"/>
          <w:lang w:val="es-PA"/>
        </w:rPr>
      </w:pP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pStyle w:val="Heading1"/>
      </w:pPr>
      <w:bookmarkStart w:id="10" w:name="_30j0zll" w:colFirst="0" w:colLast="0"/>
      <w:bookmarkStart w:id="11" w:name="_Toc525825046"/>
      <w:bookmarkEnd w:id="10"/>
      <w:r w:rsidRPr="009B2FBE">
        <w:t>IX. Hacia un Programa de Cooperación Regional sobre Biodiversidad</w:t>
      </w:r>
      <w:bookmarkEnd w:id="11"/>
    </w:p>
    <w:p w:rsidR="009B2FBE" w:rsidRPr="009B2FBE" w:rsidRDefault="009B2FBE" w:rsidP="009B2FBE">
      <w:pPr>
        <w:pStyle w:val="Heading1"/>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En </w:t>
      </w:r>
      <w:r w:rsidR="00723C38">
        <w:rPr>
          <w:rFonts w:ascii="Roboto" w:eastAsia="Calibri" w:hAnsi="Roboto" w:cs="Calibri"/>
          <w:sz w:val="22"/>
          <w:szCs w:val="22"/>
          <w:lang w:val="es-PA"/>
        </w:rPr>
        <w:t>la</w:t>
      </w:r>
      <w:r w:rsidRPr="009B2FBE">
        <w:rPr>
          <w:rFonts w:ascii="Roboto" w:eastAsia="Calibri" w:hAnsi="Roboto" w:cs="Calibri"/>
          <w:sz w:val="22"/>
          <w:szCs w:val="22"/>
          <w:lang w:val="es-PA"/>
        </w:rPr>
        <w:t xml:space="preserve"> XX </w:t>
      </w:r>
      <w:r w:rsidR="00723C38">
        <w:rPr>
          <w:rFonts w:ascii="Roboto" w:eastAsia="Calibri" w:hAnsi="Roboto" w:cs="Calibri"/>
          <w:sz w:val="22"/>
          <w:szCs w:val="22"/>
          <w:lang w:val="es-PA"/>
        </w:rPr>
        <w:t xml:space="preserve">Reunión del </w:t>
      </w:r>
      <w:r w:rsidRPr="009B2FBE">
        <w:rPr>
          <w:rFonts w:ascii="Roboto" w:eastAsia="Calibri" w:hAnsi="Roboto" w:cs="Calibri"/>
          <w:sz w:val="22"/>
          <w:szCs w:val="22"/>
          <w:lang w:val="es-PA"/>
        </w:rPr>
        <w:t xml:space="preserve">Foro de Ministros de Ambiente de América Latina y el Caribe, el cual tuvo lugar en Cartagena, Colombia, los representantes de </w:t>
      </w:r>
      <w:r w:rsidR="00723C38">
        <w:rPr>
          <w:rFonts w:ascii="Roboto" w:eastAsia="Calibri" w:hAnsi="Roboto" w:cs="Calibri"/>
          <w:sz w:val="22"/>
          <w:szCs w:val="22"/>
          <w:lang w:val="es-PA"/>
        </w:rPr>
        <w:t xml:space="preserve">los </w:t>
      </w:r>
      <w:r w:rsidRPr="009B2FBE">
        <w:rPr>
          <w:rFonts w:ascii="Roboto" w:eastAsia="Calibri" w:hAnsi="Roboto" w:cs="Calibri"/>
          <w:sz w:val="22"/>
          <w:szCs w:val="22"/>
          <w:lang w:val="es-PA"/>
        </w:rPr>
        <w:t>países adoptaron la Decisión 10 (Integración de la Biodiversidad para el Desarrollo Sostenible en Armonía con la Naturaleza). El párrafo 4 de esta Decisión menciona la necesidad de “Concertar un programa de Cooperación Regional sobre Diversidad Biológica para apoyar a la creación de capacidades nacionales, con el fin de dar apoyo a la implementación de la Agenda 2030 y promover la integración de la conservación y el uso sostenible de la biodiversidad en los sectores agropecuarios, bosques, minería, explotación de hidrocarburos, energético, pesquero y turístico, que contribuirá, entre otros, a poner fin a la pobreza, hambre cero, desarrollo sostenible e integral, la mejora de las condiciones de vida y el disfrute de un medio ambiente sano.”</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Similarmente, el párrafo 7 de esta Decisión habla de la necesidad de “Promover, en el marco de este Foro, el reforzamiento de los marcos legales e institucionales para la integración de la conservación y uso sostenible de la biodiversidad en los distintos sectores, según corresponda y la identificación e intercambio de buenas prácticas para la integración de la biodiversidad y el desarrollo sostenible e integral.”</w:t>
      </w:r>
    </w:p>
    <w:p w:rsidR="009B2FBE" w:rsidRPr="009B2FBE" w:rsidRDefault="009B2FBE" w:rsidP="009B2FBE">
      <w:pPr>
        <w:ind w:left="720"/>
        <w:jc w:val="both"/>
        <w:rPr>
          <w:rFonts w:ascii="Roboto" w:eastAsia="Calibri" w:hAnsi="Roboto" w:cs="Calibri"/>
          <w:sz w:val="22"/>
          <w:szCs w:val="22"/>
          <w:lang w:val="es-PA"/>
        </w:rPr>
      </w:pPr>
    </w:p>
    <w:p w:rsid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Como resultado de estos mandatos, el Programa de las Naciones Unidas para el Medio Ambiente ha tomado la iniciativa de promover el desarrollo de un Programa Regional de Cooperación sobre Biodiversidad con los países de la región, con el propósito de fortalecer las capacidades institucionales de las autoridades y oficiales sectoriales y los puntos focales de biodiversidad en los países de América Latina y el Caribe.</w:t>
      </w:r>
    </w:p>
    <w:p w:rsidR="00845D9A" w:rsidRPr="009B2FBE" w:rsidRDefault="00845D9A" w:rsidP="009B2FBE">
      <w:pPr>
        <w:jc w:val="both"/>
        <w:rPr>
          <w:rFonts w:ascii="Roboto" w:eastAsia="Calibri" w:hAnsi="Roboto" w:cs="Calibri"/>
          <w:sz w:val="22"/>
          <w:szCs w:val="22"/>
          <w:lang w:val="es-PA"/>
        </w:rPr>
      </w:pPr>
    </w:p>
    <w:p w:rsidR="009B2FBE" w:rsidRPr="009B2FBE" w:rsidRDefault="009B2FBE" w:rsidP="009B2FBE">
      <w:pPr>
        <w:rPr>
          <w:rFonts w:ascii="Roboto" w:hAnsi="Roboto"/>
          <w:lang w:val="es-PA"/>
        </w:rPr>
      </w:pPr>
    </w:p>
    <w:p w:rsidR="009B2FBE" w:rsidRPr="009B2FBE" w:rsidRDefault="009B2FBE" w:rsidP="009B2FBE">
      <w:pPr>
        <w:pStyle w:val="Heading1"/>
      </w:pPr>
      <w:bookmarkStart w:id="12" w:name="_Toc525825047"/>
      <w:r w:rsidRPr="009B2FBE">
        <w:t>X. Posibles acuerdos y puntos de discusión</w:t>
      </w:r>
      <w:bookmarkEnd w:id="12"/>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El Foro de Ministros de Ambiente de América Latina y el Caribe podría lograr visiones conjuntas y acuerdos orientados a la acción en una serie de elementos concretos, tales como:</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numPr>
          <w:ilvl w:val="1"/>
          <w:numId w:val="6"/>
        </w:num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Apoyo de los países en la región para la designación propuesta de la </w:t>
      </w:r>
      <w:r w:rsidRPr="009B2FBE">
        <w:rPr>
          <w:rFonts w:ascii="Roboto" w:eastAsia="Calibri" w:hAnsi="Roboto" w:cs="Calibri"/>
          <w:b/>
          <w:sz w:val="22"/>
          <w:szCs w:val="22"/>
          <w:lang w:val="es-PA"/>
        </w:rPr>
        <w:t>Década de la Restauración de Ecosistemas 2021-2030 de la ONU</w:t>
      </w:r>
      <w:r w:rsidRPr="009B2FBE">
        <w:rPr>
          <w:rFonts w:ascii="Roboto" w:eastAsia="Calibri" w:hAnsi="Roboto" w:cs="Calibri"/>
          <w:sz w:val="22"/>
          <w:szCs w:val="22"/>
          <w:lang w:val="es-PA"/>
        </w:rPr>
        <w:t>, bajo los auspicios de la Asamblea General de las Naciones Unidas.</w:t>
      </w:r>
    </w:p>
    <w:p w:rsidR="009B2FBE" w:rsidRPr="009B2FBE" w:rsidRDefault="009B2FBE" w:rsidP="009B2FBE">
      <w:pPr>
        <w:numPr>
          <w:ilvl w:val="1"/>
          <w:numId w:val="6"/>
        </w:numPr>
        <w:jc w:val="both"/>
        <w:rPr>
          <w:rFonts w:ascii="Roboto" w:eastAsia="Calibri" w:hAnsi="Roboto" w:cs="Calibri"/>
          <w:sz w:val="22"/>
          <w:szCs w:val="22"/>
          <w:lang w:val="es-PA"/>
        </w:rPr>
      </w:pPr>
      <w:r w:rsidRPr="009B2FBE">
        <w:rPr>
          <w:rFonts w:ascii="Roboto" w:eastAsia="Calibri" w:hAnsi="Roboto" w:cs="Calibri"/>
          <w:b/>
          <w:sz w:val="22"/>
          <w:szCs w:val="22"/>
          <w:lang w:val="es-PA"/>
        </w:rPr>
        <w:t xml:space="preserve">Apoyo para el desarrollo de un Programa de Cooperación Regional para la Biodiversidad, </w:t>
      </w:r>
      <w:r w:rsidRPr="009B2FBE">
        <w:rPr>
          <w:rFonts w:ascii="Roboto" w:eastAsia="Calibri" w:hAnsi="Roboto" w:cs="Calibri"/>
          <w:sz w:val="22"/>
          <w:szCs w:val="22"/>
          <w:lang w:val="es-PA"/>
        </w:rPr>
        <w:t xml:space="preserve">promoviendo la coordinación y el intercambio de información, para </w:t>
      </w:r>
      <w:r w:rsidRPr="009B2FBE">
        <w:rPr>
          <w:rFonts w:ascii="Roboto" w:eastAsia="Calibri" w:hAnsi="Roboto" w:cs="Calibri"/>
          <w:sz w:val="22"/>
          <w:szCs w:val="22"/>
          <w:lang w:val="es-PA"/>
        </w:rPr>
        <w:lastRenderedPageBreak/>
        <w:t>desarrollar estrategias específicas y planes que puedan llevar a cabo acciones que apunten hacia la transversalización de la biodiversidad en los distintos sectores productivos de los países, incluyendo los de pesca, agricultura, energía, bosques, turismo y otros priorizados de acuerdo con las peculiaridades nacionales. Este Foro puede considerar la constitución de un grupo de trabajo o coalición voluntaria entre gobiernos y otras agencias relevantes, en coordinación con otras iniciativas, para desarrollar una ruta de trabajo para la adopción de un Programa de Cooperación Regional para la Biodiversidad en la próxima sesión del XXII Foro de Ministros de Ambiente de América Latina y el Caribe.</w:t>
      </w:r>
    </w:p>
    <w:p w:rsidR="009B2FBE" w:rsidRDefault="009B2FBE" w:rsidP="009B2FBE">
      <w:pPr>
        <w:ind w:left="927"/>
        <w:jc w:val="both"/>
        <w:rPr>
          <w:rFonts w:ascii="Roboto" w:eastAsia="Calibri" w:hAnsi="Roboto" w:cs="Calibri"/>
          <w:sz w:val="22"/>
          <w:szCs w:val="22"/>
          <w:lang w:val="es-PA"/>
        </w:rPr>
      </w:pPr>
    </w:p>
    <w:p w:rsidR="0022378B" w:rsidRDefault="0022378B" w:rsidP="009B2FBE">
      <w:pPr>
        <w:ind w:left="927"/>
        <w:jc w:val="both"/>
        <w:rPr>
          <w:rFonts w:ascii="Roboto" w:eastAsia="Calibri" w:hAnsi="Roboto" w:cs="Calibri"/>
          <w:sz w:val="22"/>
          <w:szCs w:val="22"/>
          <w:lang w:val="es-PA"/>
        </w:rPr>
      </w:pPr>
    </w:p>
    <w:p w:rsidR="0022378B" w:rsidRDefault="0022378B" w:rsidP="009B2FBE">
      <w:pPr>
        <w:ind w:left="927"/>
        <w:jc w:val="both"/>
        <w:rPr>
          <w:rFonts w:ascii="Roboto" w:eastAsia="Calibri" w:hAnsi="Roboto" w:cs="Calibri"/>
          <w:sz w:val="22"/>
          <w:szCs w:val="22"/>
          <w:lang w:val="es-PA"/>
        </w:rPr>
      </w:pPr>
    </w:p>
    <w:p w:rsidR="0022378B" w:rsidRDefault="0022378B" w:rsidP="009B2FBE">
      <w:pPr>
        <w:ind w:left="927"/>
        <w:jc w:val="both"/>
        <w:rPr>
          <w:rFonts w:ascii="Roboto" w:eastAsia="Calibri" w:hAnsi="Roboto" w:cs="Calibri"/>
          <w:sz w:val="22"/>
          <w:szCs w:val="22"/>
          <w:lang w:val="es-PA"/>
        </w:rPr>
      </w:pPr>
    </w:p>
    <w:p w:rsidR="0022378B" w:rsidRPr="009B2FBE" w:rsidRDefault="0022378B" w:rsidP="009B2FBE">
      <w:pPr>
        <w:ind w:left="927"/>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b/>
          <w:sz w:val="22"/>
          <w:szCs w:val="22"/>
          <w:lang w:val="es-PA"/>
        </w:rPr>
      </w:pPr>
    </w:p>
    <w:p w:rsidR="009B2FBE" w:rsidRPr="009B2FBE" w:rsidRDefault="009B2FBE" w:rsidP="009B2FBE">
      <w:pPr>
        <w:pStyle w:val="Heading1"/>
      </w:pPr>
      <w:bookmarkStart w:id="13" w:name="_Toc525825048"/>
      <w:r w:rsidRPr="009B2FBE">
        <w:t>XI. Discusión de panel</w:t>
      </w:r>
      <w:bookmarkEnd w:id="13"/>
    </w:p>
    <w:p w:rsidR="009B2FBE" w:rsidRPr="009B2FBE" w:rsidRDefault="009B2FBE" w:rsidP="009B2FBE">
      <w:pPr>
        <w:jc w:val="both"/>
        <w:rPr>
          <w:rFonts w:ascii="Roboto" w:eastAsia="Calibri" w:hAnsi="Roboto" w:cs="Calibri"/>
          <w:b/>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El panel tendrá preguntas orientadoras para que el moderador </w:t>
      </w:r>
      <w:r w:rsidR="00723C38">
        <w:rPr>
          <w:rFonts w:ascii="Roboto" w:eastAsia="Calibri" w:hAnsi="Roboto" w:cs="Calibri"/>
          <w:sz w:val="22"/>
          <w:szCs w:val="22"/>
          <w:lang w:val="es-PA"/>
        </w:rPr>
        <w:t>promueva</w:t>
      </w:r>
      <w:r w:rsidRPr="009B2FBE">
        <w:rPr>
          <w:rFonts w:ascii="Roboto" w:eastAsia="Calibri" w:hAnsi="Roboto" w:cs="Calibri"/>
          <w:sz w:val="22"/>
          <w:szCs w:val="22"/>
          <w:lang w:val="es-PA"/>
        </w:rPr>
        <w:t xml:space="preserve"> la discusión. No todas las preguntas deben ser </w:t>
      </w:r>
      <w:r w:rsidR="00723C38">
        <w:rPr>
          <w:rFonts w:ascii="Roboto" w:eastAsia="Calibri" w:hAnsi="Roboto" w:cs="Calibri"/>
          <w:sz w:val="22"/>
          <w:szCs w:val="22"/>
          <w:lang w:val="es-PA"/>
        </w:rPr>
        <w:t>dirigidas</w:t>
      </w:r>
      <w:r w:rsidRPr="009B2FBE">
        <w:rPr>
          <w:rFonts w:ascii="Roboto" w:eastAsia="Calibri" w:hAnsi="Roboto" w:cs="Calibri"/>
          <w:sz w:val="22"/>
          <w:szCs w:val="22"/>
          <w:lang w:val="es-PA"/>
        </w:rPr>
        <w:t xml:space="preserve"> a cada participante, de manera que el panel pueda ser más dinámico y resulte en preguntas adicionales a raíz de las respuestas de los panelistas.</w:t>
      </w:r>
    </w:p>
    <w:p w:rsidR="009B2FBE" w:rsidRPr="009B2FBE" w:rsidRDefault="009B2FBE" w:rsidP="009B2FBE">
      <w:pPr>
        <w:jc w:val="both"/>
        <w:rPr>
          <w:rFonts w:ascii="Roboto" w:eastAsia="Calibri" w:hAnsi="Roboto" w:cs="Calibri"/>
          <w:sz w:val="22"/>
          <w:szCs w:val="22"/>
          <w:lang w:val="es-PA"/>
        </w:rPr>
      </w:pP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jc w:val="both"/>
        <w:rPr>
          <w:rFonts w:ascii="Roboto" w:eastAsia="Calibri" w:hAnsi="Roboto" w:cs="Calibri"/>
          <w:sz w:val="22"/>
          <w:szCs w:val="22"/>
          <w:lang w:val="es-PA"/>
        </w:rPr>
      </w:pPr>
      <w:r w:rsidRPr="009B2FBE">
        <w:rPr>
          <w:rFonts w:ascii="Roboto" w:eastAsia="Calibri" w:hAnsi="Roboto" w:cs="Calibri"/>
          <w:sz w:val="22"/>
          <w:szCs w:val="22"/>
          <w:lang w:val="es-PA"/>
        </w:rPr>
        <w:t>Preguntas para el panel:</w:t>
      </w:r>
    </w:p>
    <w:p w:rsidR="009B2FBE" w:rsidRPr="009B2FBE" w:rsidRDefault="009B2FBE" w:rsidP="009B2FBE">
      <w:pPr>
        <w:ind w:left="720"/>
        <w:jc w:val="both"/>
        <w:rPr>
          <w:rFonts w:ascii="Roboto" w:eastAsia="Calibri" w:hAnsi="Roboto" w:cs="Calibri"/>
          <w:sz w:val="22"/>
          <w:szCs w:val="22"/>
          <w:lang w:val="es-PA"/>
        </w:rPr>
      </w:pPr>
    </w:p>
    <w:p w:rsidR="009B2FBE" w:rsidRPr="009B2FBE" w:rsidRDefault="009B2FBE" w:rsidP="009B2FBE">
      <w:pPr>
        <w:numPr>
          <w:ilvl w:val="1"/>
          <w:numId w:val="6"/>
        </w:numPr>
        <w:jc w:val="both"/>
        <w:rPr>
          <w:rFonts w:ascii="Roboto" w:eastAsia="Calibri" w:hAnsi="Roboto" w:cs="Calibri"/>
          <w:sz w:val="22"/>
          <w:szCs w:val="22"/>
          <w:lang w:val="es-PA"/>
        </w:rPr>
      </w:pPr>
      <w:r w:rsidRPr="009B2FBE">
        <w:rPr>
          <w:rFonts w:ascii="Roboto" w:eastAsia="Calibri" w:hAnsi="Roboto" w:cs="Calibri"/>
          <w:sz w:val="22"/>
          <w:szCs w:val="22"/>
          <w:lang w:val="es-PA"/>
        </w:rPr>
        <w:t>¿Cómo puede la restauración de ecosistemas apoyar en el desarrollo sostenible de los países en la región? ¿Puede generar nuevos trabajos y ganancias socioeconómicas?</w:t>
      </w:r>
    </w:p>
    <w:p w:rsidR="009B2FBE" w:rsidRPr="009B2FBE" w:rsidRDefault="009B2FBE" w:rsidP="009B2FBE">
      <w:pPr>
        <w:numPr>
          <w:ilvl w:val="1"/>
          <w:numId w:val="6"/>
        </w:numPr>
        <w:jc w:val="both"/>
        <w:rPr>
          <w:rFonts w:ascii="Roboto" w:eastAsia="Calibri" w:hAnsi="Roboto" w:cs="Calibri"/>
          <w:sz w:val="22"/>
          <w:szCs w:val="22"/>
          <w:lang w:val="es-PA"/>
        </w:rPr>
      </w:pPr>
      <w:r w:rsidRPr="009B2FBE">
        <w:rPr>
          <w:rFonts w:ascii="Roboto" w:eastAsia="Calibri" w:hAnsi="Roboto" w:cs="Calibri"/>
          <w:sz w:val="22"/>
          <w:szCs w:val="22"/>
          <w:lang w:val="es-PA"/>
        </w:rPr>
        <w:t>¿Cuáles son los beneficios de las áreas protegidas para la región? ¿Cuáles son las mejores prácticas en gobernanza y efectividad de la región? ¿Cómo requieren las áreas marinas protegidas herramientas innovadoras de gestión y arreglos institucionales?</w:t>
      </w:r>
    </w:p>
    <w:p w:rsidR="009B2FBE" w:rsidRPr="009B2FBE" w:rsidRDefault="009B2FBE" w:rsidP="009B2FBE">
      <w:pPr>
        <w:numPr>
          <w:ilvl w:val="1"/>
          <w:numId w:val="6"/>
        </w:numPr>
        <w:jc w:val="both"/>
        <w:rPr>
          <w:rFonts w:ascii="Roboto" w:eastAsia="Calibri" w:hAnsi="Roboto" w:cs="Calibri"/>
          <w:sz w:val="22"/>
          <w:szCs w:val="22"/>
          <w:lang w:val="es-PA"/>
        </w:rPr>
      </w:pPr>
      <w:r w:rsidRPr="009B2FBE">
        <w:rPr>
          <w:rFonts w:ascii="Roboto" w:eastAsia="Calibri" w:hAnsi="Roboto" w:cs="Calibri"/>
          <w:sz w:val="22"/>
          <w:szCs w:val="22"/>
          <w:lang w:val="es-PA"/>
        </w:rPr>
        <w:t>¿Cómo pueden las contribuciones hechas por la biodiversidad y ecosistemas hacia el cumplimiento de los Objetivos de Desarrollo Sostenible y planes nacionales de desarrollo ser reconocidas y evidenciadas?</w:t>
      </w:r>
    </w:p>
    <w:p w:rsidR="009B2FBE" w:rsidRPr="009B2FBE" w:rsidRDefault="009B2FBE" w:rsidP="009B2FBE">
      <w:pPr>
        <w:numPr>
          <w:ilvl w:val="1"/>
          <w:numId w:val="6"/>
        </w:numPr>
        <w:jc w:val="both"/>
        <w:rPr>
          <w:rFonts w:ascii="Roboto" w:eastAsia="Calibri" w:hAnsi="Roboto" w:cs="Calibri"/>
          <w:sz w:val="22"/>
          <w:szCs w:val="22"/>
          <w:lang w:val="es-PA"/>
        </w:rPr>
      </w:pPr>
      <w:r w:rsidRPr="009B2FBE">
        <w:rPr>
          <w:rFonts w:ascii="Roboto" w:eastAsia="Calibri" w:hAnsi="Roboto" w:cs="Calibri"/>
          <w:sz w:val="22"/>
          <w:szCs w:val="22"/>
          <w:lang w:val="es-PA"/>
        </w:rPr>
        <w:t xml:space="preserve">¿Cuáles son las mejores prácticas en la </w:t>
      </w:r>
      <w:r w:rsidR="004740BD">
        <w:rPr>
          <w:rFonts w:ascii="Roboto" w:eastAsia="Calibri" w:hAnsi="Roboto" w:cs="Calibri"/>
          <w:sz w:val="22"/>
          <w:szCs w:val="22"/>
          <w:lang w:val="es-PA"/>
        </w:rPr>
        <w:t>integración</w:t>
      </w:r>
      <w:r w:rsidRPr="009B2FBE">
        <w:rPr>
          <w:rFonts w:ascii="Roboto" w:eastAsia="Calibri" w:hAnsi="Roboto" w:cs="Calibri"/>
          <w:sz w:val="22"/>
          <w:szCs w:val="22"/>
          <w:lang w:val="es-PA"/>
        </w:rPr>
        <w:t xml:space="preserve"> de la biodiversidad en</w:t>
      </w:r>
      <w:r w:rsidR="004740BD">
        <w:rPr>
          <w:rFonts w:ascii="Roboto" w:eastAsia="Calibri" w:hAnsi="Roboto" w:cs="Calibri"/>
          <w:sz w:val="22"/>
          <w:szCs w:val="22"/>
          <w:lang w:val="es-PA"/>
        </w:rPr>
        <w:t xml:space="preserve"> todos</w:t>
      </w:r>
      <w:r w:rsidRPr="009B2FBE">
        <w:rPr>
          <w:rFonts w:ascii="Roboto" w:eastAsia="Calibri" w:hAnsi="Roboto" w:cs="Calibri"/>
          <w:sz w:val="22"/>
          <w:szCs w:val="22"/>
          <w:lang w:val="es-PA"/>
        </w:rPr>
        <w:t xml:space="preserve"> los sectore</w:t>
      </w:r>
      <w:r w:rsidR="004740BD">
        <w:rPr>
          <w:rFonts w:ascii="Roboto" w:eastAsia="Calibri" w:hAnsi="Roboto" w:cs="Calibri"/>
          <w:sz w:val="22"/>
          <w:szCs w:val="22"/>
          <w:lang w:val="es-PA"/>
        </w:rPr>
        <w:t>s, especialmente aquellos que dependen de la biodiversidad</w:t>
      </w:r>
      <w:r w:rsidRPr="009B2FBE">
        <w:rPr>
          <w:rFonts w:ascii="Roboto" w:eastAsia="Calibri" w:hAnsi="Roboto" w:cs="Calibri"/>
          <w:sz w:val="22"/>
          <w:szCs w:val="22"/>
          <w:lang w:val="es-PA"/>
        </w:rPr>
        <w:t>?</w:t>
      </w:r>
    </w:p>
    <w:p w:rsidR="009B2FBE" w:rsidRPr="009B2FBE" w:rsidRDefault="009B2FBE" w:rsidP="009B2FBE">
      <w:pPr>
        <w:numPr>
          <w:ilvl w:val="1"/>
          <w:numId w:val="6"/>
        </w:numPr>
        <w:jc w:val="both"/>
        <w:rPr>
          <w:rFonts w:ascii="Roboto" w:eastAsia="Calibri" w:hAnsi="Roboto" w:cs="Calibri"/>
          <w:sz w:val="22"/>
          <w:szCs w:val="22"/>
          <w:lang w:val="es-PA"/>
        </w:rPr>
      </w:pPr>
      <w:bookmarkStart w:id="14" w:name="_1fob9te" w:colFirst="0" w:colLast="0"/>
      <w:bookmarkEnd w:id="14"/>
      <w:r w:rsidRPr="009B2FBE">
        <w:rPr>
          <w:rFonts w:ascii="Roboto" w:eastAsia="Calibri" w:hAnsi="Roboto" w:cs="Calibri"/>
          <w:sz w:val="22"/>
          <w:szCs w:val="22"/>
          <w:lang w:val="es-PA"/>
        </w:rPr>
        <w:t xml:space="preserve">¿Cómo está el sector privado abordando el reto de </w:t>
      </w:r>
      <w:r w:rsidR="004740BD">
        <w:rPr>
          <w:rFonts w:ascii="Roboto" w:eastAsia="Calibri" w:hAnsi="Roboto" w:cs="Calibri"/>
          <w:sz w:val="22"/>
          <w:szCs w:val="22"/>
          <w:lang w:val="es-PA"/>
        </w:rPr>
        <w:t>integrar</w:t>
      </w:r>
      <w:r w:rsidRPr="009B2FBE">
        <w:rPr>
          <w:rFonts w:ascii="Roboto" w:eastAsia="Calibri" w:hAnsi="Roboto" w:cs="Calibri"/>
          <w:sz w:val="22"/>
          <w:szCs w:val="22"/>
          <w:lang w:val="es-PA"/>
        </w:rPr>
        <w:t xml:space="preserve"> la biodiversidad y los ecosistemas en sus cadenas de valor y sus procesos? ¿Cuál es el rol del estado?</w:t>
      </w:r>
    </w:p>
    <w:p w:rsidR="009B2FBE" w:rsidRPr="009B2FBE" w:rsidRDefault="009B2FBE" w:rsidP="009B2FBE">
      <w:pPr>
        <w:numPr>
          <w:ilvl w:val="1"/>
          <w:numId w:val="6"/>
        </w:numPr>
        <w:jc w:val="both"/>
        <w:rPr>
          <w:rFonts w:ascii="Roboto" w:eastAsia="Calibri" w:hAnsi="Roboto" w:cs="Calibri"/>
          <w:sz w:val="22"/>
          <w:szCs w:val="22"/>
          <w:lang w:val="es-PA"/>
        </w:rPr>
      </w:pPr>
      <w:r w:rsidRPr="009B2FBE">
        <w:rPr>
          <w:rFonts w:ascii="Roboto" w:eastAsia="Calibri" w:hAnsi="Roboto" w:cs="Calibri"/>
          <w:sz w:val="22"/>
          <w:szCs w:val="22"/>
          <w:lang w:val="es-PA"/>
        </w:rPr>
        <w:t>¿Cómo puede el manejo de ecosistemas ser integrado más dentro de planes y procesos de desarrollo nacional, considerando sus contribuciones a metas globales como los Objetivos de Desarrollo Sostenible?</w:t>
      </w:r>
    </w:p>
    <w:p w:rsidR="009B2FBE" w:rsidRPr="009B2FBE" w:rsidRDefault="009B2FBE" w:rsidP="009B2FBE">
      <w:pPr>
        <w:ind w:left="720"/>
        <w:jc w:val="both"/>
        <w:rPr>
          <w:rFonts w:ascii="Roboto" w:eastAsia="Calibri" w:hAnsi="Roboto" w:cs="Calibri"/>
          <w:sz w:val="22"/>
          <w:szCs w:val="22"/>
          <w:lang w:val="es-PA"/>
        </w:rPr>
      </w:pPr>
    </w:p>
    <w:p w:rsidR="00C008F4" w:rsidRPr="009B2FBE" w:rsidRDefault="00C008F4" w:rsidP="009B2FBE">
      <w:pPr>
        <w:jc w:val="both"/>
        <w:rPr>
          <w:rFonts w:ascii="Roboto" w:eastAsia="Calibri" w:hAnsi="Roboto" w:cs="Calibri"/>
          <w:color w:val="C00000"/>
          <w:sz w:val="22"/>
          <w:szCs w:val="22"/>
          <w:lang w:val="es-PA"/>
        </w:rPr>
      </w:pPr>
    </w:p>
    <w:sectPr w:rsidR="00C008F4" w:rsidRPr="009B2FB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676" w:rsidRDefault="00234676">
      <w:r>
        <w:separator/>
      </w:r>
    </w:p>
  </w:endnote>
  <w:endnote w:type="continuationSeparator" w:id="0">
    <w:p w:rsidR="00234676" w:rsidRDefault="00234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Roboto">
    <w:altName w:val="Arial"/>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ED7" w:rsidRDefault="00D32E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8F4" w:rsidRDefault="0035307C">
    <w:pPr>
      <w:pBdr>
        <w:top w:val="nil"/>
        <w:left w:val="nil"/>
        <w:bottom w:val="nil"/>
        <w:right w:val="nil"/>
        <w:between w:val="nil"/>
      </w:pBdr>
      <w:tabs>
        <w:tab w:val="center" w:pos="4320"/>
        <w:tab w:val="right" w:pos="8640"/>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0D1E8F">
      <w:rPr>
        <w:noProof/>
        <w:color w:val="000000"/>
        <w:sz w:val="20"/>
        <w:szCs w:val="20"/>
      </w:rPr>
      <w:t>2</w:t>
    </w:r>
    <w:r>
      <w:rPr>
        <w:color w:val="000000"/>
        <w:sz w:val="20"/>
        <w:szCs w:val="20"/>
      </w:rPr>
      <w:fldChar w:fldCharType="end"/>
    </w:r>
  </w:p>
  <w:p w:rsidR="00C008F4" w:rsidRDefault="00C008F4">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8F4" w:rsidRDefault="00C008F4">
    <w:pPr>
      <w:pBdr>
        <w:top w:val="nil"/>
        <w:left w:val="nil"/>
        <w:bottom w:val="nil"/>
        <w:right w:val="nil"/>
        <w:between w:val="nil"/>
      </w:pBdr>
      <w:tabs>
        <w:tab w:val="center" w:pos="4320"/>
        <w:tab w:val="right" w:pos="8640"/>
      </w:tabs>
      <w:jc w:val="center"/>
      <w:rPr>
        <w:color w:val="000000"/>
      </w:rPr>
    </w:pPr>
  </w:p>
  <w:p w:rsidR="00C008F4" w:rsidRDefault="00C008F4">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676" w:rsidRDefault="00234676">
      <w:r>
        <w:separator/>
      </w:r>
    </w:p>
  </w:footnote>
  <w:footnote w:type="continuationSeparator" w:id="0">
    <w:p w:rsidR="00234676" w:rsidRDefault="00234676">
      <w:r>
        <w:continuationSeparator/>
      </w:r>
    </w:p>
  </w:footnote>
  <w:footnote w:id="1">
    <w:p w:rsidR="009B2FBE" w:rsidRDefault="009B2FBE" w:rsidP="009B2FBE">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The Economic Case for Landscape Restoration in Latin America, WRI, 2016</w:t>
      </w:r>
    </w:p>
  </w:footnote>
  <w:footnote w:id="2">
    <w:p w:rsidR="009B2FBE" w:rsidRPr="0022378B" w:rsidRDefault="009B2FBE" w:rsidP="009B2FBE">
      <w:pPr>
        <w:pBdr>
          <w:top w:val="nil"/>
          <w:left w:val="nil"/>
          <w:bottom w:val="nil"/>
          <w:right w:val="nil"/>
          <w:between w:val="nil"/>
        </w:pBdr>
        <w:rPr>
          <w:color w:val="000000"/>
          <w:sz w:val="20"/>
          <w:szCs w:val="20"/>
          <w:lang w:val="es-PA"/>
        </w:rPr>
      </w:pPr>
      <w:r>
        <w:rPr>
          <w:vertAlign w:val="superscript"/>
        </w:rPr>
        <w:footnoteRef/>
      </w:r>
      <w:r w:rsidRPr="0022378B">
        <w:rPr>
          <w:color w:val="000000"/>
          <w:sz w:val="16"/>
          <w:szCs w:val="16"/>
          <w:lang w:val="es-PA"/>
        </w:rPr>
        <w:t xml:space="preserve"> 20x20 Initiative, https://initiative20x20.org</w:t>
      </w:r>
    </w:p>
  </w:footnote>
  <w:footnote w:id="3">
    <w:p w:rsidR="007629B0" w:rsidRPr="007629B0" w:rsidRDefault="007629B0">
      <w:pPr>
        <w:pStyle w:val="FootnoteText"/>
        <w:rPr>
          <w:lang w:val="es-ES"/>
        </w:rPr>
      </w:pPr>
      <w:r>
        <w:rPr>
          <w:rStyle w:val="FootnoteReference"/>
        </w:rPr>
        <w:footnoteRef/>
      </w:r>
      <w:r w:rsidRPr="007629B0">
        <w:rPr>
          <w:lang w:val="es-PA"/>
        </w:rPr>
        <w:t xml:space="preserve"> </w:t>
      </w:r>
      <w:r>
        <w:rPr>
          <w:lang w:val="es-MX"/>
        </w:rPr>
        <w:t xml:space="preserve">Definición de la </w:t>
      </w:r>
      <w:r w:rsidRPr="007629B0">
        <w:rPr>
          <w:lang w:val="es-MX"/>
        </w:rPr>
        <w:t>Conferencia de las Naciones Unidas sobre Comercio y Desarrollo</w:t>
      </w:r>
      <w:r>
        <w:rPr>
          <w:lang w:val="es-MX"/>
        </w:rPr>
        <w:t xml:space="preserve"> (UNCTAD)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8F4" w:rsidRDefault="0035307C">
    <w:pPr>
      <w:pBdr>
        <w:top w:val="nil"/>
        <w:left w:val="nil"/>
        <w:bottom w:val="nil"/>
        <w:right w:val="nil"/>
        <w:between w:val="nil"/>
      </w:pBdr>
      <w:tabs>
        <w:tab w:val="center" w:pos="4320"/>
        <w:tab w:val="right" w:pos="8640"/>
      </w:tabs>
      <w:jc w:val="right"/>
      <w:rPr>
        <w:color w:val="000000"/>
      </w:rPr>
    </w:pPr>
    <w:r>
      <w:rPr>
        <w:rFonts w:ascii="Verdana" w:eastAsia="Verdana" w:hAnsi="Verdana" w:cs="Verdana"/>
        <w:b/>
        <w:color w:val="000000"/>
        <w:sz w:val="18"/>
        <w:szCs w:val="18"/>
      </w:rPr>
      <w:t>UNEP/LAC-IG.XX/4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8F4" w:rsidRPr="00D32ED7" w:rsidRDefault="00DF6FF5" w:rsidP="00DF6FF5">
    <w:pPr>
      <w:pBdr>
        <w:top w:val="nil"/>
        <w:left w:val="nil"/>
        <w:bottom w:val="nil"/>
        <w:right w:val="nil"/>
        <w:between w:val="nil"/>
      </w:pBdr>
      <w:tabs>
        <w:tab w:val="center" w:pos="4320"/>
        <w:tab w:val="right" w:pos="8640"/>
      </w:tabs>
      <w:jc w:val="right"/>
      <w:rPr>
        <w:color w:val="000000"/>
        <w:lang w:val="en-GB"/>
      </w:rPr>
    </w:pPr>
    <w:r w:rsidRPr="00D32ED7">
      <w:rPr>
        <w:rFonts w:ascii="Verdana" w:hAnsi="Verdana"/>
        <w:b/>
        <w:bCs/>
        <w:sz w:val="18"/>
        <w:szCs w:val="18"/>
        <w:lang w:val="en-GB" w:eastAsia="es-ES"/>
      </w:rPr>
      <w:t>UNEP/LAC-IG.XXI/7</w:t>
    </w:r>
    <w:r w:rsidR="00D32ED7">
      <w:rPr>
        <w:rFonts w:ascii="Verdana" w:hAnsi="Verdana"/>
        <w:b/>
        <w:bCs/>
        <w:sz w:val="18"/>
        <w:szCs w:val="18"/>
        <w:lang w:val="en-GB" w:eastAsia="es-ES"/>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8F4" w:rsidRDefault="00C008F4">
    <w:pPr>
      <w:widowControl w:val="0"/>
      <w:pBdr>
        <w:top w:val="nil"/>
        <w:left w:val="nil"/>
        <w:bottom w:val="nil"/>
        <w:right w:val="nil"/>
        <w:between w:val="nil"/>
      </w:pBdr>
      <w:spacing w:line="276" w:lineRule="auto"/>
      <w:rPr>
        <w:color w:val="000000"/>
      </w:rPr>
    </w:pPr>
  </w:p>
  <w:tbl>
    <w:tblPr>
      <w:tblW w:w="10893" w:type="dxa"/>
      <w:tblInd w:w="-885" w:type="dxa"/>
      <w:tblLayout w:type="fixed"/>
      <w:tblLook w:val="0000" w:firstRow="0" w:lastRow="0" w:firstColumn="0" w:lastColumn="0" w:noHBand="0" w:noVBand="0"/>
    </w:tblPr>
    <w:tblGrid>
      <w:gridCol w:w="2610"/>
      <w:gridCol w:w="4503"/>
      <w:gridCol w:w="59"/>
      <w:gridCol w:w="3631"/>
      <w:gridCol w:w="90"/>
    </w:tblGrid>
    <w:tr w:rsidR="00DF6FF5" w:rsidRPr="00857980" w:rsidTr="002C46AE">
      <w:trPr>
        <w:cantSplit/>
      </w:trPr>
      <w:tc>
        <w:tcPr>
          <w:tcW w:w="2610" w:type="dxa"/>
          <w:tcBorders>
            <w:bottom w:val="thinThickSmallGap" w:sz="24" w:space="0" w:color="auto"/>
          </w:tcBorders>
        </w:tcPr>
        <w:p w:rsidR="00DF6FF5" w:rsidRPr="00857980" w:rsidRDefault="00DF6FF5" w:rsidP="00DF6FF5">
          <w:pPr>
            <w:pStyle w:val="Header"/>
          </w:pPr>
          <w:r>
            <w:rPr>
              <w:noProof/>
              <w:lang w:val="en-US"/>
            </w:rPr>
            <w:drawing>
              <wp:anchor distT="0" distB="0" distL="114300" distR="114300" simplePos="0" relativeHeight="251659264" behindDoc="1" locked="0" layoutInCell="1" allowOverlap="1" wp14:anchorId="522AC426" wp14:editId="4DB3B90D">
                <wp:simplePos x="0" y="0"/>
                <wp:positionH relativeFrom="page">
                  <wp:posOffset>68580</wp:posOffset>
                </wp:positionH>
                <wp:positionV relativeFrom="page">
                  <wp:posOffset>4445</wp:posOffset>
                </wp:positionV>
                <wp:extent cx="725424" cy="621792"/>
                <wp:effectExtent l="0" t="0" r="1143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_logo-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5424" cy="621792"/>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a:ext>
                        </a:extLst>
                      </pic:spPr>
                    </pic:pic>
                  </a:graphicData>
                </a:graphic>
                <wp14:sizeRelH relativeFrom="page">
                  <wp14:pctWidth>0</wp14:pctWidth>
                </wp14:sizeRelH>
                <wp14:sizeRelV relativeFrom="page">
                  <wp14:pctHeight>0</wp14:pctHeight>
                </wp14:sizeRelV>
              </wp:anchor>
            </w:drawing>
          </w:r>
        </w:p>
      </w:tc>
      <w:tc>
        <w:tcPr>
          <w:tcW w:w="8283" w:type="dxa"/>
          <w:gridSpan w:val="4"/>
          <w:tcBorders>
            <w:bottom w:val="thinThickSmallGap" w:sz="24" w:space="0" w:color="auto"/>
          </w:tcBorders>
        </w:tcPr>
        <w:p w:rsidR="00DF6FF5" w:rsidRDefault="00DF6FF5" w:rsidP="00DF6FF5">
          <w:pPr>
            <w:pStyle w:val="Header"/>
            <w:tabs>
              <w:tab w:val="center" w:pos="4033"/>
              <w:tab w:val="right" w:pos="8067"/>
            </w:tabs>
            <w:spacing w:after="120"/>
            <w:jc w:val="right"/>
            <w:rPr>
              <w:lang w:val="fr-FR"/>
            </w:rPr>
          </w:pPr>
          <w:r>
            <w:rPr>
              <w:noProof/>
              <w:lang w:val="en-US"/>
            </w:rPr>
            <w:drawing>
              <wp:anchor distT="0" distB="0" distL="114300" distR="114300" simplePos="0" relativeHeight="251660288" behindDoc="1" locked="0" layoutInCell="1" allowOverlap="1" wp14:anchorId="02CF1100" wp14:editId="5CCBE857">
                <wp:simplePos x="0" y="0"/>
                <wp:positionH relativeFrom="margin">
                  <wp:posOffset>2800350</wp:posOffset>
                </wp:positionH>
                <wp:positionV relativeFrom="page">
                  <wp:posOffset>-147955</wp:posOffset>
                </wp:positionV>
                <wp:extent cx="1801368" cy="1228344"/>
                <wp:effectExtent l="0" t="0" r="889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nvironment_Logo_Spanish_Full_colou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01368" cy="1228344"/>
                        </a:xfrm>
                        <a:prstGeom prst="rect">
                          <a:avLst/>
                        </a:prstGeom>
                      </pic:spPr>
                    </pic:pic>
                  </a:graphicData>
                </a:graphic>
              </wp:anchor>
            </w:drawing>
          </w:r>
        </w:p>
        <w:p w:rsidR="00DF6FF5" w:rsidRDefault="00DF6FF5" w:rsidP="00DF6FF5">
          <w:pPr>
            <w:pStyle w:val="Header"/>
            <w:tabs>
              <w:tab w:val="center" w:pos="4033"/>
              <w:tab w:val="right" w:pos="8067"/>
            </w:tabs>
            <w:spacing w:after="120"/>
            <w:jc w:val="right"/>
            <w:rPr>
              <w:lang w:val="fr-FR"/>
            </w:rPr>
          </w:pPr>
        </w:p>
        <w:p w:rsidR="00DF6FF5" w:rsidRDefault="00DF6FF5" w:rsidP="00DF6FF5">
          <w:pPr>
            <w:pStyle w:val="Header"/>
            <w:tabs>
              <w:tab w:val="center" w:pos="4033"/>
              <w:tab w:val="right" w:pos="8067"/>
            </w:tabs>
            <w:spacing w:after="120"/>
            <w:jc w:val="right"/>
            <w:rPr>
              <w:lang w:val="fr-FR"/>
            </w:rPr>
          </w:pPr>
        </w:p>
        <w:p w:rsidR="00DF6FF5" w:rsidRDefault="00DF6FF5" w:rsidP="00DF6FF5">
          <w:pPr>
            <w:pStyle w:val="Header"/>
            <w:tabs>
              <w:tab w:val="center" w:pos="4033"/>
              <w:tab w:val="right" w:pos="8067"/>
            </w:tabs>
            <w:spacing w:after="120"/>
            <w:jc w:val="right"/>
            <w:rPr>
              <w:lang w:val="fr-FR"/>
            </w:rPr>
          </w:pPr>
        </w:p>
        <w:p w:rsidR="00DF6FF5" w:rsidRPr="00857980" w:rsidRDefault="00DF6FF5" w:rsidP="00DF6FF5">
          <w:pPr>
            <w:pStyle w:val="Header"/>
            <w:tabs>
              <w:tab w:val="center" w:pos="4033"/>
              <w:tab w:val="right" w:pos="8067"/>
            </w:tabs>
            <w:spacing w:after="120"/>
            <w:jc w:val="right"/>
            <w:rPr>
              <w:lang w:val="fr-FR"/>
            </w:rPr>
          </w:pPr>
          <w:r>
            <w:rPr>
              <w:lang w:val="fr-FR"/>
            </w:rPr>
            <w:tab/>
          </w:r>
        </w:p>
      </w:tc>
    </w:tr>
    <w:tr w:rsidR="00DF6FF5" w:rsidRPr="00857980" w:rsidTr="002C46AE">
      <w:trPr>
        <w:gridAfter w:val="1"/>
        <w:wAfter w:w="90" w:type="dxa"/>
      </w:trPr>
      <w:tc>
        <w:tcPr>
          <w:tcW w:w="7113" w:type="dxa"/>
          <w:gridSpan w:val="2"/>
        </w:tcPr>
        <w:p w:rsidR="00DF6FF5" w:rsidRPr="00857980" w:rsidRDefault="00DF6FF5" w:rsidP="00DF6FF5">
          <w:pPr>
            <w:spacing w:line="120" w:lineRule="exact"/>
            <w:rPr>
              <w:b/>
              <w:lang w:val="fr-FR"/>
            </w:rPr>
          </w:pPr>
        </w:p>
      </w:tc>
      <w:tc>
        <w:tcPr>
          <w:tcW w:w="3690" w:type="dxa"/>
          <w:gridSpan w:val="2"/>
        </w:tcPr>
        <w:p w:rsidR="00DF6FF5" w:rsidRPr="00857980" w:rsidRDefault="00DF6FF5" w:rsidP="00DF6FF5">
          <w:pPr>
            <w:spacing w:line="120" w:lineRule="exact"/>
            <w:ind w:firstLine="708"/>
            <w:rPr>
              <w:b/>
              <w:sz w:val="18"/>
              <w:lang w:val="fr-FR"/>
            </w:rPr>
          </w:pPr>
        </w:p>
      </w:tc>
    </w:tr>
    <w:tr w:rsidR="00DF6FF5" w:rsidRPr="00982132" w:rsidTr="002C46AE">
      <w:trPr>
        <w:trHeight w:val="80"/>
      </w:trPr>
      <w:tc>
        <w:tcPr>
          <w:tcW w:w="7172" w:type="dxa"/>
          <w:gridSpan w:val="3"/>
        </w:tcPr>
        <w:p w:rsidR="00DF6FF5" w:rsidRPr="00DF6FF5" w:rsidRDefault="00DF6FF5" w:rsidP="00DF6FF5">
          <w:pPr>
            <w:rPr>
              <w:rFonts w:ascii="Verdana" w:hAnsi="Verdana"/>
              <w:b/>
              <w:sz w:val="18"/>
              <w:szCs w:val="18"/>
              <w:lang w:val="es-PA" w:eastAsia="es-ES"/>
            </w:rPr>
          </w:pPr>
          <w:r w:rsidRPr="00DF6FF5">
            <w:rPr>
              <w:rFonts w:ascii="Verdana" w:hAnsi="Verdana"/>
              <w:b/>
              <w:sz w:val="18"/>
              <w:szCs w:val="18"/>
              <w:lang w:val="es-PA" w:eastAsia="es-ES"/>
            </w:rPr>
            <w:t xml:space="preserve">XXI Reunión del Foro de Ministros de </w:t>
          </w:r>
        </w:p>
        <w:p w:rsidR="00DF6FF5" w:rsidRPr="00DF6FF5" w:rsidRDefault="00DF6FF5" w:rsidP="00DF6FF5">
          <w:pPr>
            <w:rPr>
              <w:rFonts w:ascii="Verdana" w:hAnsi="Verdana"/>
              <w:b/>
              <w:sz w:val="18"/>
              <w:szCs w:val="18"/>
              <w:lang w:val="es-PA" w:eastAsia="es-ES"/>
            </w:rPr>
          </w:pPr>
          <w:r w:rsidRPr="00DF6FF5">
            <w:rPr>
              <w:rFonts w:ascii="Verdana" w:hAnsi="Verdana"/>
              <w:b/>
              <w:sz w:val="18"/>
              <w:szCs w:val="18"/>
              <w:lang w:val="es-PA" w:eastAsia="es-ES"/>
            </w:rPr>
            <w:t>Medio Ambiente de América Latina y el Caribe</w:t>
          </w:r>
        </w:p>
        <w:p w:rsidR="00DF6FF5" w:rsidRPr="00DF6FF5" w:rsidRDefault="00DF6FF5" w:rsidP="00DF6FF5">
          <w:pPr>
            <w:rPr>
              <w:rFonts w:ascii="Verdana" w:hAnsi="Verdana"/>
              <w:sz w:val="18"/>
              <w:szCs w:val="18"/>
              <w:lang w:val="es-PA" w:eastAsia="es-ES"/>
            </w:rPr>
          </w:pPr>
          <w:r w:rsidRPr="00DF6FF5">
            <w:rPr>
              <w:rFonts w:ascii="Verdana" w:hAnsi="Verdana"/>
              <w:sz w:val="18"/>
              <w:szCs w:val="18"/>
              <w:lang w:val="es-PA" w:eastAsia="es-ES"/>
            </w:rPr>
            <w:t>Buenos Aires, Argentina</w:t>
          </w:r>
        </w:p>
        <w:p w:rsidR="00DF6FF5" w:rsidRPr="00DF6FF5" w:rsidRDefault="00DF6FF5" w:rsidP="00DF6FF5">
          <w:pPr>
            <w:rPr>
              <w:rFonts w:ascii="Verdana" w:hAnsi="Verdana"/>
              <w:sz w:val="18"/>
              <w:szCs w:val="18"/>
              <w:lang w:val="es-PA" w:eastAsia="es-ES"/>
            </w:rPr>
          </w:pPr>
        </w:p>
        <w:p w:rsidR="00DF6FF5" w:rsidRPr="00DF6FF5" w:rsidRDefault="00DF6FF5" w:rsidP="00DF6FF5">
          <w:pPr>
            <w:rPr>
              <w:rFonts w:ascii="Verdana" w:hAnsi="Verdana"/>
              <w:b/>
              <w:sz w:val="18"/>
              <w:szCs w:val="18"/>
              <w:lang w:val="es-PA" w:eastAsia="es-ES"/>
            </w:rPr>
          </w:pPr>
          <w:r w:rsidRPr="00DF6FF5">
            <w:rPr>
              <w:rFonts w:ascii="Verdana" w:hAnsi="Verdana"/>
              <w:sz w:val="18"/>
              <w:szCs w:val="18"/>
              <w:lang w:val="es-PA" w:eastAsia="es-ES"/>
            </w:rPr>
            <w:t>B. Segmento Ministerial</w:t>
          </w:r>
          <w:r w:rsidRPr="00DF6FF5">
            <w:rPr>
              <w:rFonts w:ascii="Verdana" w:hAnsi="Verdana"/>
              <w:sz w:val="18"/>
              <w:szCs w:val="18"/>
              <w:lang w:val="es-PA" w:eastAsia="es-ES"/>
            </w:rPr>
            <w:br/>
            <w:t>11 - 12 de octubre de 2018</w:t>
          </w:r>
        </w:p>
      </w:tc>
      <w:tc>
        <w:tcPr>
          <w:tcW w:w="3721" w:type="dxa"/>
          <w:gridSpan w:val="2"/>
          <w:shd w:val="clear" w:color="auto" w:fill="FFFFFF" w:themeFill="background1"/>
        </w:tcPr>
        <w:p w:rsidR="00DF6FF5" w:rsidRPr="00DF6FF5" w:rsidRDefault="00DF6FF5" w:rsidP="00DF6FF5">
          <w:pPr>
            <w:rPr>
              <w:rFonts w:ascii="Verdana" w:hAnsi="Verdana"/>
              <w:b/>
              <w:bCs/>
              <w:sz w:val="18"/>
              <w:szCs w:val="18"/>
              <w:lang w:val="es-PA" w:eastAsia="es-ES"/>
            </w:rPr>
          </w:pPr>
          <w:r w:rsidRPr="00DF6FF5">
            <w:rPr>
              <w:rFonts w:ascii="Verdana" w:hAnsi="Verdana"/>
              <w:b/>
              <w:bCs/>
              <w:sz w:val="18"/>
              <w:szCs w:val="18"/>
              <w:lang w:val="es-PA" w:eastAsia="es-ES"/>
            </w:rPr>
            <w:t>Distribución:</w:t>
          </w:r>
          <w:r w:rsidRPr="00DF6FF5">
            <w:rPr>
              <w:rFonts w:ascii="Verdana" w:hAnsi="Verdana"/>
              <w:b/>
              <w:bCs/>
              <w:sz w:val="18"/>
              <w:szCs w:val="18"/>
              <w:lang w:val="es-PA" w:eastAsia="es-ES"/>
            </w:rPr>
            <w:br/>
          </w:r>
          <w:r w:rsidRPr="00DF6FF5">
            <w:rPr>
              <w:rFonts w:ascii="Verdana" w:hAnsi="Verdana"/>
              <w:sz w:val="18"/>
              <w:szCs w:val="18"/>
              <w:lang w:val="es-PA" w:eastAsia="es-ES"/>
            </w:rPr>
            <w:t>Limitada</w:t>
          </w:r>
          <w:r w:rsidRPr="00DF6FF5">
            <w:rPr>
              <w:rFonts w:ascii="Verdana" w:hAnsi="Verdana"/>
              <w:sz w:val="18"/>
              <w:szCs w:val="18"/>
              <w:lang w:val="es-PA" w:eastAsia="es-ES"/>
            </w:rPr>
            <w:br/>
          </w:r>
        </w:p>
        <w:p w:rsidR="00DF6FF5" w:rsidRPr="00D32ED7" w:rsidRDefault="00DF6FF5" w:rsidP="00DF6FF5">
          <w:pPr>
            <w:rPr>
              <w:rFonts w:ascii="Verdana" w:hAnsi="Verdana"/>
              <w:sz w:val="18"/>
              <w:szCs w:val="18"/>
              <w:lang w:val="en-GB" w:eastAsia="es-ES"/>
            </w:rPr>
          </w:pPr>
          <w:r w:rsidRPr="00D32ED7">
            <w:rPr>
              <w:rFonts w:ascii="Verdana" w:hAnsi="Verdana"/>
              <w:b/>
              <w:bCs/>
              <w:sz w:val="18"/>
              <w:szCs w:val="18"/>
              <w:lang w:val="en-GB" w:eastAsia="es-ES"/>
            </w:rPr>
            <w:t>UNEP/LAC-IG.XXI/7</w:t>
          </w:r>
          <w:r w:rsidR="00D32ED7" w:rsidRPr="00D32ED7">
            <w:rPr>
              <w:rFonts w:ascii="Verdana" w:hAnsi="Verdana"/>
              <w:b/>
              <w:bCs/>
              <w:sz w:val="18"/>
              <w:szCs w:val="18"/>
              <w:lang w:val="en-GB" w:eastAsia="es-ES"/>
            </w:rPr>
            <w:t>.Rev.</w:t>
          </w:r>
          <w:r w:rsidR="00D32ED7">
            <w:rPr>
              <w:rFonts w:ascii="Verdana" w:hAnsi="Verdana"/>
              <w:b/>
              <w:bCs/>
              <w:sz w:val="18"/>
              <w:szCs w:val="18"/>
              <w:lang w:val="en-GB" w:eastAsia="es-ES"/>
            </w:rPr>
            <w:t>1</w:t>
          </w:r>
          <w:r w:rsidRPr="00D32ED7">
            <w:rPr>
              <w:rFonts w:ascii="Verdana" w:hAnsi="Verdana"/>
              <w:b/>
              <w:bCs/>
              <w:sz w:val="18"/>
              <w:szCs w:val="18"/>
              <w:lang w:val="en-GB" w:eastAsia="es-ES"/>
            </w:rPr>
            <w:br/>
          </w:r>
        </w:p>
        <w:p w:rsidR="00DF6FF5" w:rsidRPr="00DF6FF5" w:rsidRDefault="00DF6FF5" w:rsidP="00DF6FF5">
          <w:pPr>
            <w:rPr>
              <w:rFonts w:ascii="Verdana" w:hAnsi="Verdana"/>
              <w:sz w:val="18"/>
              <w:szCs w:val="18"/>
              <w:lang w:val="es-PA" w:eastAsia="es-ES"/>
            </w:rPr>
          </w:pPr>
          <w:r>
            <w:rPr>
              <w:rFonts w:ascii="Verdana" w:hAnsi="Verdana"/>
              <w:sz w:val="18"/>
              <w:szCs w:val="18"/>
              <w:lang w:val="es-PA" w:eastAsia="es-ES"/>
            </w:rPr>
            <w:t>13 de septiembre</w:t>
          </w:r>
          <w:r w:rsidRPr="00DF6FF5">
            <w:rPr>
              <w:rFonts w:ascii="Verdana" w:hAnsi="Verdana"/>
              <w:sz w:val="18"/>
              <w:szCs w:val="18"/>
              <w:lang w:val="es-PA" w:eastAsia="es-ES"/>
            </w:rPr>
            <w:t xml:space="preserve"> de 2018</w:t>
          </w:r>
        </w:p>
        <w:p w:rsidR="00DF6FF5" w:rsidRPr="00DF6FF5" w:rsidRDefault="00DF6FF5" w:rsidP="00DF6FF5">
          <w:pPr>
            <w:rPr>
              <w:rFonts w:ascii="Verdana" w:hAnsi="Verdana"/>
              <w:sz w:val="18"/>
              <w:szCs w:val="18"/>
              <w:lang w:val="es-PA" w:eastAsia="es-ES"/>
            </w:rPr>
          </w:pPr>
          <w:r w:rsidRPr="00DF6FF5">
            <w:rPr>
              <w:rFonts w:ascii="Verdana" w:hAnsi="Verdana"/>
              <w:b/>
              <w:bCs/>
              <w:sz w:val="18"/>
              <w:szCs w:val="18"/>
              <w:lang w:val="es-PA" w:eastAsia="es-ES"/>
            </w:rPr>
            <w:t>Original:</w:t>
          </w:r>
          <w:r w:rsidRPr="00DF6FF5">
            <w:rPr>
              <w:rFonts w:ascii="Verdana" w:hAnsi="Verdana"/>
              <w:sz w:val="18"/>
              <w:szCs w:val="18"/>
              <w:lang w:val="es-PA" w:eastAsia="es-ES"/>
            </w:rPr>
            <w:t xml:space="preserve"> Español</w:t>
          </w:r>
        </w:p>
      </w:tc>
    </w:tr>
  </w:tbl>
  <w:p w:rsidR="00C008F4" w:rsidRPr="004177EA" w:rsidRDefault="00C008F4">
    <w:pPr>
      <w:pBdr>
        <w:top w:val="nil"/>
        <w:left w:val="nil"/>
        <w:bottom w:val="nil"/>
        <w:right w:val="nil"/>
        <w:between w:val="nil"/>
      </w:pBdr>
      <w:tabs>
        <w:tab w:val="center" w:pos="4320"/>
        <w:tab w:val="right" w:pos="8640"/>
      </w:tabs>
      <w:rPr>
        <w:color w:val="000000"/>
        <w:lang w:val="es-P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7474E"/>
    <w:multiLevelType w:val="multilevel"/>
    <w:tmpl w:val="7D9E75AA"/>
    <w:lvl w:ilvl="0">
      <w:start w:val="1"/>
      <w:numFmt w:val="decimal"/>
      <w:lvlText w:val="%1."/>
      <w:lvlJc w:val="left"/>
      <w:pPr>
        <w:ind w:left="121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14C725E"/>
    <w:multiLevelType w:val="multilevel"/>
    <w:tmpl w:val="BAC0C73A"/>
    <w:lvl w:ilvl="0">
      <w:start w:val="1"/>
      <w:numFmt w:val="decimal"/>
      <w:lvlText w:val="%1."/>
      <w:lvlJc w:val="left"/>
      <w:pPr>
        <w:ind w:left="720" w:hanging="360"/>
      </w:pPr>
    </w:lvl>
    <w:lvl w:ilvl="1">
      <w:start w:val="1"/>
      <w:numFmt w:val="lowerLetter"/>
      <w:lvlText w:val="%2."/>
      <w:lvlJc w:val="left"/>
      <w:pPr>
        <w:ind w:left="927"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78F3A36"/>
    <w:multiLevelType w:val="hybridMultilevel"/>
    <w:tmpl w:val="C0144D14"/>
    <w:lvl w:ilvl="0" w:tplc="180A0019">
      <w:start w:val="1"/>
      <w:numFmt w:val="lowerLetter"/>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 w15:restartNumberingAfterBreak="0">
    <w:nsid w:val="3FD87247"/>
    <w:multiLevelType w:val="hybridMultilevel"/>
    <w:tmpl w:val="A93CDA10"/>
    <w:lvl w:ilvl="0" w:tplc="180A0019">
      <w:start w:val="1"/>
      <w:numFmt w:val="lowerLetter"/>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4" w15:restartNumberingAfterBreak="0">
    <w:nsid w:val="4E7D6A3F"/>
    <w:multiLevelType w:val="multilevel"/>
    <w:tmpl w:val="701A23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4DA49B0"/>
    <w:multiLevelType w:val="multilevel"/>
    <w:tmpl w:val="701A23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8F4"/>
    <w:rsid w:val="00040797"/>
    <w:rsid w:val="00060191"/>
    <w:rsid w:val="000C4303"/>
    <w:rsid w:val="000D1E8F"/>
    <w:rsid w:val="00103E7B"/>
    <w:rsid w:val="002220A8"/>
    <w:rsid w:val="0022378B"/>
    <w:rsid w:val="0022732D"/>
    <w:rsid w:val="00234676"/>
    <w:rsid w:val="002A5D4A"/>
    <w:rsid w:val="0035307C"/>
    <w:rsid w:val="003E73A2"/>
    <w:rsid w:val="004177EA"/>
    <w:rsid w:val="004740BD"/>
    <w:rsid w:val="004C4CA9"/>
    <w:rsid w:val="004F016B"/>
    <w:rsid w:val="004F5150"/>
    <w:rsid w:val="006C7773"/>
    <w:rsid w:val="00723C38"/>
    <w:rsid w:val="007629B0"/>
    <w:rsid w:val="007C3A03"/>
    <w:rsid w:val="00845D9A"/>
    <w:rsid w:val="00982132"/>
    <w:rsid w:val="009A3E6D"/>
    <w:rsid w:val="009B2FBE"/>
    <w:rsid w:val="00AA65E8"/>
    <w:rsid w:val="00B7791F"/>
    <w:rsid w:val="00BA6F9E"/>
    <w:rsid w:val="00C008F4"/>
    <w:rsid w:val="00C1039B"/>
    <w:rsid w:val="00C23985"/>
    <w:rsid w:val="00C81AAB"/>
    <w:rsid w:val="00CA1890"/>
    <w:rsid w:val="00D32ED7"/>
    <w:rsid w:val="00DD0682"/>
    <w:rsid w:val="00DF6FF5"/>
    <w:rsid w:val="00EB04A4"/>
    <w:rsid w:val="00EC5C5D"/>
    <w:rsid w:val="00F44308"/>
  </w:rsids>
  <m:mathPr>
    <m:mathFont m:val="Cambria Math"/>
    <m:brkBin m:val="before"/>
    <m:brkBinSub m:val="--"/>
    <m:smallFrac m:val="0"/>
    <m:dispDef/>
    <m:lMargin m:val="0"/>
    <m:rMargin m:val="0"/>
    <m:defJc m:val="centerGroup"/>
    <m:wrapIndent m:val="1440"/>
    <m:intLim m:val="subSup"/>
    <m:naryLim m:val="undOvr"/>
  </m:mathPr>
  <w:themeFontLang w:val="es-P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95811A-449F-4DFC-91FC-3A565774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s-PA"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uiPriority w:val="9"/>
    <w:qFormat/>
    <w:rsid w:val="009B2FBE"/>
    <w:pPr>
      <w:keepNext/>
      <w:jc w:val="both"/>
      <w:outlineLvl w:val="0"/>
    </w:pPr>
    <w:rPr>
      <w:rFonts w:ascii="Roboto" w:eastAsia="Calibri" w:hAnsi="Roboto" w:cs="Calibri"/>
      <w:b/>
      <w:color w:val="4F81BD" w:themeColor="accent1"/>
      <w:szCs w:val="22"/>
      <w:lang w:val="es-PA"/>
    </w:rPr>
  </w:style>
  <w:style w:type="paragraph" w:styleId="Heading2">
    <w:name w:val="heading 2"/>
    <w:basedOn w:val="Normal"/>
    <w:next w:val="Normal"/>
    <w:uiPriority w:val="9"/>
    <w:semiHidden/>
    <w:unhideWhenUsed/>
    <w:qFormat/>
    <w:pPr>
      <w:keepNext/>
      <w:outlineLvl w:val="1"/>
    </w:pPr>
    <w:rPr>
      <w:b/>
      <w:sz w:val="28"/>
      <w:szCs w:val="28"/>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000000"/>
      <w:sz w:val="28"/>
      <w:szCs w:val="28"/>
    </w:rPr>
  </w:style>
  <w:style w:type="paragraph" w:styleId="Heading4">
    <w:name w:val="heading 4"/>
    <w:basedOn w:val="Normal"/>
    <w:next w:val="Normal"/>
    <w:uiPriority w:val="9"/>
    <w:semiHidden/>
    <w:unhideWhenUsed/>
    <w:qFormat/>
    <w:pPr>
      <w:keepNext/>
      <w:outlineLvl w:val="3"/>
    </w:pPr>
  </w:style>
  <w:style w:type="paragraph" w:styleId="Heading5">
    <w:name w:val="heading 5"/>
    <w:basedOn w:val="Normal"/>
    <w:next w:val="Normal"/>
    <w:uiPriority w:val="9"/>
    <w:semiHidden/>
    <w:unhideWhenUsed/>
    <w:qFormat/>
    <w:pPr>
      <w:keepNext/>
      <w:spacing w:before="120"/>
      <w:outlineLvl w:val="4"/>
    </w:pPr>
    <w:rPr>
      <w:b/>
      <w:sz w:val="22"/>
      <w:szCs w:val="22"/>
    </w:rPr>
  </w:style>
  <w:style w:type="paragraph" w:styleId="Heading6">
    <w:name w:val="heading 6"/>
    <w:basedOn w:val="Normal"/>
    <w:next w:val="Normal"/>
    <w:uiPriority w:val="9"/>
    <w:semiHidden/>
    <w:unhideWhenUsed/>
    <w:qFormat/>
    <w:pPr>
      <w:keepNext/>
      <w:jc w:val="center"/>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Footer">
    <w:name w:val="footer"/>
    <w:basedOn w:val="Normal"/>
    <w:link w:val="FooterChar"/>
    <w:uiPriority w:val="99"/>
    <w:unhideWhenUsed/>
    <w:rsid w:val="004C4CA9"/>
    <w:pPr>
      <w:tabs>
        <w:tab w:val="center" w:pos="4419"/>
        <w:tab w:val="right" w:pos="8838"/>
      </w:tabs>
    </w:pPr>
  </w:style>
  <w:style w:type="character" w:customStyle="1" w:styleId="FooterChar">
    <w:name w:val="Footer Char"/>
    <w:basedOn w:val="DefaultParagraphFont"/>
    <w:link w:val="Footer"/>
    <w:uiPriority w:val="99"/>
    <w:rsid w:val="004C4CA9"/>
  </w:style>
  <w:style w:type="paragraph" w:styleId="Header">
    <w:name w:val="header"/>
    <w:basedOn w:val="Normal"/>
    <w:link w:val="HeaderChar"/>
    <w:uiPriority w:val="99"/>
    <w:unhideWhenUsed/>
    <w:rsid w:val="00DF6FF5"/>
    <w:pPr>
      <w:tabs>
        <w:tab w:val="center" w:pos="4419"/>
        <w:tab w:val="right" w:pos="8838"/>
      </w:tabs>
    </w:pPr>
    <w:rPr>
      <w:rFonts w:asciiTheme="minorHAnsi" w:eastAsiaTheme="minorHAnsi" w:hAnsiTheme="minorHAnsi" w:cstheme="minorBidi"/>
      <w:sz w:val="22"/>
      <w:szCs w:val="22"/>
      <w:lang w:val="es-CO" w:eastAsia="en-US"/>
    </w:rPr>
  </w:style>
  <w:style w:type="character" w:customStyle="1" w:styleId="HeaderChar">
    <w:name w:val="Header Char"/>
    <w:basedOn w:val="DefaultParagraphFont"/>
    <w:link w:val="Header"/>
    <w:uiPriority w:val="99"/>
    <w:rsid w:val="00DF6FF5"/>
    <w:rPr>
      <w:rFonts w:asciiTheme="minorHAnsi" w:eastAsiaTheme="minorHAnsi" w:hAnsiTheme="minorHAnsi" w:cstheme="minorBidi"/>
      <w:sz w:val="22"/>
      <w:szCs w:val="22"/>
      <w:lang w:val="es-CO" w:eastAsia="en-US"/>
    </w:rPr>
  </w:style>
  <w:style w:type="paragraph" w:styleId="TOCHeading">
    <w:name w:val="TOC Heading"/>
    <w:basedOn w:val="Heading1"/>
    <w:next w:val="Normal"/>
    <w:uiPriority w:val="39"/>
    <w:unhideWhenUsed/>
    <w:qFormat/>
    <w:rsid w:val="00B7791F"/>
    <w:pPr>
      <w:keepLines/>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B7791F"/>
    <w:pPr>
      <w:spacing w:after="100"/>
    </w:pPr>
  </w:style>
  <w:style w:type="character" w:styleId="Hyperlink">
    <w:name w:val="Hyperlink"/>
    <w:basedOn w:val="DefaultParagraphFont"/>
    <w:uiPriority w:val="99"/>
    <w:unhideWhenUsed/>
    <w:rsid w:val="00B7791F"/>
    <w:rPr>
      <w:color w:val="0000FF" w:themeColor="hyperlink"/>
      <w:u w:val="single"/>
    </w:rPr>
  </w:style>
  <w:style w:type="paragraph" w:styleId="ListParagraph">
    <w:name w:val="List Paragraph"/>
    <w:basedOn w:val="Normal"/>
    <w:uiPriority w:val="34"/>
    <w:qFormat/>
    <w:rsid w:val="00EC5C5D"/>
    <w:pPr>
      <w:ind w:left="720"/>
      <w:contextualSpacing/>
    </w:pPr>
  </w:style>
  <w:style w:type="paragraph" w:styleId="BalloonText">
    <w:name w:val="Balloon Text"/>
    <w:basedOn w:val="Normal"/>
    <w:link w:val="BalloonTextChar"/>
    <w:uiPriority w:val="99"/>
    <w:semiHidden/>
    <w:unhideWhenUsed/>
    <w:rsid w:val="00AA65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5E8"/>
    <w:rPr>
      <w:rFonts w:ascii="Segoe UI" w:hAnsi="Segoe UI" w:cs="Segoe UI"/>
      <w:sz w:val="18"/>
      <w:szCs w:val="18"/>
    </w:rPr>
  </w:style>
  <w:style w:type="paragraph" w:styleId="FootnoteText">
    <w:name w:val="footnote text"/>
    <w:basedOn w:val="Normal"/>
    <w:link w:val="FootnoteTextChar"/>
    <w:uiPriority w:val="99"/>
    <w:semiHidden/>
    <w:unhideWhenUsed/>
    <w:rsid w:val="007629B0"/>
    <w:rPr>
      <w:sz w:val="20"/>
      <w:szCs w:val="20"/>
    </w:rPr>
  </w:style>
  <w:style w:type="character" w:customStyle="1" w:styleId="FootnoteTextChar">
    <w:name w:val="Footnote Text Char"/>
    <w:basedOn w:val="DefaultParagraphFont"/>
    <w:link w:val="FootnoteText"/>
    <w:uiPriority w:val="99"/>
    <w:semiHidden/>
    <w:rsid w:val="007629B0"/>
    <w:rPr>
      <w:sz w:val="20"/>
      <w:szCs w:val="20"/>
    </w:rPr>
  </w:style>
  <w:style w:type="character" w:styleId="FootnoteReference">
    <w:name w:val="footnote reference"/>
    <w:basedOn w:val="DefaultParagraphFont"/>
    <w:uiPriority w:val="99"/>
    <w:semiHidden/>
    <w:unhideWhenUsed/>
    <w:rsid w:val="007629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9969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44853-ADF9-4A86-A769-69714945F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4028</Words>
  <Characters>22960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Shaherah Cumberbatch</dc:creator>
  <cp:lastModifiedBy>Angeline Djampou</cp:lastModifiedBy>
  <cp:revision>2</cp:revision>
  <dcterms:created xsi:type="dcterms:W3CDTF">2018-10-04T09:10:00Z</dcterms:created>
  <dcterms:modified xsi:type="dcterms:W3CDTF">2018-10-04T09:10:00Z</dcterms:modified>
</cp:coreProperties>
</file>