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31341" w14:textId="77777777" w:rsidR="00A12811" w:rsidRDefault="00A12811" w:rsidP="00A12811">
      <w:pPr>
        <w:shd w:val="clear" w:color="auto" w:fill="FFFFFF"/>
        <w:ind w:left="720"/>
        <w:jc w:val="center"/>
        <w:rPr>
          <w:rFonts w:ascii="Calibri" w:eastAsia="Times New Roman" w:hAnsi="Calibri" w:cs="Arial"/>
          <w:b/>
          <w:color w:val="222222"/>
          <w:sz w:val="28"/>
          <w:szCs w:val="28"/>
        </w:rPr>
      </w:pPr>
    </w:p>
    <w:p w14:paraId="15967F48" w14:textId="77777777" w:rsidR="00570E29" w:rsidRDefault="00570E29" w:rsidP="00570E29">
      <w:pPr>
        <w:shd w:val="clear" w:color="auto" w:fill="FFFFFF"/>
        <w:jc w:val="center"/>
        <w:rPr>
          <w:rFonts w:ascii="Calibri" w:eastAsia="Times New Roman" w:hAnsi="Calibri" w:cs="Arial"/>
          <w:b/>
          <w:color w:val="222222"/>
          <w:sz w:val="28"/>
          <w:szCs w:val="28"/>
        </w:rPr>
      </w:pPr>
    </w:p>
    <w:p w14:paraId="499D9864" w14:textId="77777777" w:rsidR="00570E29" w:rsidRDefault="00570E29" w:rsidP="00570E29">
      <w:pPr>
        <w:shd w:val="clear" w:color="auto" w:fill="FFFFFF"/>
        <w:jc w:val="center"/>
        <w:rPr>
          <w:rFonts w:ascii="Calibri" w:eastAsia="Times New Roman" w:hAnsi="Calibri" w:cs="Arial"/>
          <w:b/>
          <w:color w:val="222222"/>
          <w:sz w:val="28"/>
          <w:szCs w:val="28"/>
        </w:rPr>
      </w:pPr>
    </w:p>
    <w:p w14:paraId="3DEC06C0" w14:textId="77777777" w:rsidR="00570E29" w:rsidRDefault="00570E29" w:rsidP="00570E29">
      <w:pPr>
        <w:shd w:val="clear" w:color="auto" w:fill="FFFFFF"/>
        <w:jc w:val="center"/>
        <w:rPr>
          <w:rFonts w:ascii="Calibri" w:eastAsia="Times New Roman" w:hAnsi="Calibri" w:cs="Arial"/>
          <w:b/>
          <w:color w:val="222222"/>
          <w:sz w:val="28"/>
          <w:szCs w:val="28"/>
        </w:rPr>
      </w:pPr>
    </w:p>
    <w:p w14:paraId="22CBC619" w14:textId="77777777" w:rsidR="00570E29" w:rsidRDefault="00570E29" w:rsidP="00570E29">
      <w:pPr>
        <w:shd w:val="clear" w:color="auto" w:fill="FFFFFF"/>
        <w:jc w:val="center"/>
        <w:rPr>
          <w:rFonts w:ascii="Calibri" w:eastAsia="Times New Roman" w:hAnsi="Calibri" w:cs="Arial"/>
          <w:b/>
          <w:color w:val="222222"/>
          <w:sz w:val="28"/>
          <w:szCs w:val="28"/>
        </w:rPr>
      </w:pPr>
    </w:p>
    <w:p w14:paraId="6D0E6E7D" w14:textId="66DC0F5D" w:rsidR="00CE03FD" w:rsidRDefault="00CE03FD" w:rsidP="00570E29">
      <w:pPr>
        <w:shd w:val="clear" w:color="auto" w:fill="FFFFFF"/>
        <w:jc w:val="center"/>
        <w:rPr>
          <w:rFonts w:ascii="Calibri" w:eastAsia="Times New Roman" w:hAnsi="Calibri" w:cs="Arial"/>
          <w:b/>
          <w:color w:val="222222"/>
          <w:sz w:val="28"/>
          <w:szCs w:val="28"/>
        </w:rPr>
      </w:pPr>
      <w:r>
        <w:rPr>
          <w:rFonts w:ascii="Calibri" w:eastAsia="Times New Roman" w:hAnsi="Calibri" w:cs="Arial"/>
          <w:b/>
          <w:color w:val="222222"/>
          <w:sz w:val="28"/>
          <w:szCs w:val="28"/>
        </w:rPr>
        <w:t xml:space="preserve">Intergovernmental </w:t>
      </w:r>
      <w:r>
        <w:rPr>
          <w:rFonts w:ascii="Calibri" w:eastAsia="Times New Roman" w:hAnsi="Calibri" w:cs="Arial"/>
          <w:b/>
          <w:color w:val="222222"/>
          <w:sz w:val="28"/>
          <w:szCs w:val="28"/>
        </w:rPr>
        <w:t xml:space="preserve">Network </w:t>
      </w:r>
      <w:r>
        <w:rPr>
          <w:rFonts w:ascii="Calibri" w:eastAsia="Times New Roman" w:hAnsi="Calibri" w:cs="Arial"/>
          <w:b/>
          <w:color w:val="222222"/>
          <w:sz w:val="28"/>
          <w:szCs w:val="28"/>
        </w:rPr>
        <w:t xml:space="preserve">on </w:t>
      </w:r>
      <w:bookmarkStart w:id="0" w:name="_GoBack"/>
      <w:bookmarkEnd w:id="0"/>
      <w:r w:rsidR="00A12811">
        <w:rPr>
          <w:rFonts w:ascii="Calibri" w:eastAsia="Times New Roman" w:hAnsi="Calibri" w:cs="Arial"/>
          <w:b/>
          <w:color w:val="222222"/>
          <w:sz w:val="28"/>
          <w:szCs w:val="28"/>
        </w:rPr>
        <w:t>Chemicals and Waste for</w:t>
      </w:r>
    </w:p>
    <w:p w14:paraId="7E7B7875" w14:textId="41FEF51F" w:rsidR="00A12811" w:rsidRDefault="00A12811" w:rsidP="00570E29">
      <w:pPr>
        <w:shd w:val="clear" w:color="auto" w:fill="FFFFFF"/>
        <w:jc w:val="center"/>
        <w:rPr>
          <w:rFonts w:ascii="Calibri" w:eastAsia="Times New Roman" w:hAnsi="Calibri" w:cs="Arial"/>
          <w:b/>
          <w:color w:val="222222"/>
          <w:sz w:val="28"/>
          <w:szCs w:val="28"/>
        </w:rPr>
      </w:pPr>
      <w:r>
        <w:rPr>
          <w:rFonts w:ascii="Calibri" w:eastAsia="Times New Roman" w:hAnsi="Calibri" w:cs="Arial"/>
          <w:b/>
          <w:color w:val="222222"/>
          <w:sz w:val="28"/>
          <w:szCs w:val="28"/>
        </w:rPr>
        <w:t xml:space="preserve"> Latin America and the Caribbean</w:t>
      </w:r>
    </w:p>
    <w:p w14:paraId="61C9165D" w14:textId="77777777" w:rsidR="00A12811" w:rsidRDefault="00A12811" w:rsidP="00570E29">
      <w:pPr>
        <w:shd w:val="clear" w:color="auto" w:fill="FFFFFF"/>
        <w:jc w:val="center"/>
        <w:rPr>
          <w:rFonts w:ascii="Calibri" w:eastAsia="Times New Roman" w:hAnsi="Calibri" w:cs="Arial"/>
          <w:b/>
          <w:color w:val="222222"/>
          <w:sz w:val="28"/>
          <w:szCs w:val="28"/>
        </w:rPr>
      </w:pPr>
    </w:p>
    <w:p w14:paraId="7A6BE358" w14:textId="77777777" w:rsidR="00A12811" w:rsidRDefault="00A12811" w:rsidP="00570E29">
      <w:pPr>
        <w:shd w:val="clear" w:color="auto" w:fill="FFFFFF"/>
        <w:jc w:val="center"/>
        <w:rPr>
          <w:rFonts w:ascii="Calibri" w:eastAsia="Times New Roman" w:hAnsi="Calibri" w:cs="Arial"/>
          <w:b/>
          <w:color w:val="222222"/>
          <w:sz w:val="28"/>
          <w:szCs w:val="28"/>
        </w:rPr>
      </w:pPr>
      <w:r w:rsidRPr="00515E25">
        <w:rPr>
          <w:rFonts w:ascii="Calibri" w:eastAsia="Times New Roman" w:hAnsi="Calibri" w:cs="Arial"/>
          <w:b/>
          <w:color w:val="222222"/>
          <w:sz w:val="28"/>
          <w:szCs w:val="28"/>
        </w:rPr>
        <w:t>Resource mobilization strategy</w:t>
      </w:r>
      <w:r>
        <w:rPr>
          <w:rFonts w:ascii="Calibri" w:eastAsia="Times New Roman" w:hAnsi="Calibri" w:cs="Arial"/>
          <w:b/>
          <w:color w:val="222222"/>
          <w:sz w:val="28"/>
          <w:szCs w:val="28"/>
        </w:rPr>
        <w:t xml:space="preserve"> </w:t>
      </w:r>
    </w:p>
    <w:p w14:paraId="17FDA6F3" w14:textId="77777777" w:rsidR="00A12811" w:rsidRPr="00515E25" w:rsidRDefault="00A12811" w:rsidP="00570E29">
      <w:pPr>
        <w:shd w:val="clear" w:color="auto" w:fill="FFFFFF"/>
        <w:jc w:val="center"/>
        <w:rPr>
          <w:rFonts w:ascii="Calibri" w:eastAsia="Times New Roman" w:hAnsi="Calibri" w:cs="Arial"/>
          <w:b/>
          <w:color w:val="222222"/>
          <w:sz w:val="28"/>
          <w:szCs w:val="28"/>
        </w:rPr>
      </w:pPr>
    </w:p>
    <w:p w14:paraId="78FA750B" w14:textId="77777777" w:rsidR="00A12811" w:rsidRPr="00515E25" w:rsidRDefault="00A12811" w:rsidP="00570E29">
      <w:pPr>
        <w:shd w:val="clear" w:color="auto" w:fill="FFFFFF"/>
        <w:jc w:val="center"/>
        <w:rPr>
          <w:rFonts w:ascii="Calibri" w:eastAsia="Times New Roman" w:hAnsi="Calibri" w:cs="Arial"/>
          <w:b/>
          <w:color w:val="222222"/>
          <w:sz w:val="28"/>
          <w:szCs w:val="28"/>
        </w:rPr>
      </w:pPr>
      <w:r w:rsidRPr="00515E25">
        <w:rPr>
          <w:rFonts w:ascii="Calibri" w:eastAsia="Times New Roman" w:hAnsi="Calibri" w:cs="Arial"/>
          <w:b/>
          <w:color w:val="222222"/>
          <w:sz w:val="28"/>
          <w:szCs w:val="28"/>
        </w:rPr>
        <w:t>201</w:t>
      </w:r>
      <w:r>
        <w:rPr>
          <w:rFonts w:ascii="Calibri" w:eastAsia="Times New Roman" w:hAnsi="Calibri" w:cs="Arial"/>
          <w:b/>
          <w:color w:val="222222"/>
          <w:sz w:val="28"/>
          <w:szCs w:val="28"/>
        </w:rPr>
        <w:t>9</w:t>
      </w:r>
      <w:r w:rsidRPr="00515E25">
        <w:rPr>
          <w:rFonts w:ascii="Calibri" w:eastAsia="Times New Roman" w:hAnsi="Calibri" w:cs="Arial"/>
          <w:b/>
          <w:color w:val="222222"/>
          <w:sz w:val="28"/>
          <w:szCs w:val="28"/>
        </w:rPr>
        <w:t>-20</w:t>
      </w:r>
      <w:r>
        <w:rPr>
          <w:rFonts w:ascii="Calibri" w:eastAsia="Times New Roman" w:hAnsi="Calibri" w:cs="Arial"/>
          <w:b/>
          <w:color w:val="222222"/>
          <w:sz w:val="28"/>
          <w:szCs w:val="28"/>
        </w:rPr>
        <w:t>20</w:t>
      </w:r>
      <w:r w:rsidRPr="00515E25">
        <w:rPr>
          <w:rFonts w:ascii="Calibri" w:eastAsia="Times New Roman" w:hAnsi="Calibri" w:cs="Arial"/>
          <w:b/>
          <w:color w:val="222222"/>
          <w:sz w:val="28"/>
          <w:szCs w:val="28"/>
        </w:rPr>
        <w:t xml:space="preserve"> Biennium</w:t>
      </w:r>
    </w:p>
    <w:p w14:paraId="3B690CC0" w14:textId="77777777" w:rsidR="00A12811" w:rsidRDefault="00A12811" w:rsidP="00A12811">
      <w:pPr>
        <w:shd w:val="clear" w:color="auto" w:fill="FFFFFF"/>
        <w:rPr>
          <w:rFonts w:ascii="Calibri" w:eastAsia="Times New Roman" w:hAnsi="Calibri" w:cs="Arial"/>
          <w:color w:val="222222"/>
          <w:sz w:val="22"/>
          <w:szCs w:val="22"/>
        </w:rPr>
      </w:pPr>
    </w:p>
    <w:p w14:paraId="481AEF00" w14:textId="77777777" w:rsidR="00A12811" w:rsidRDefault="00A12811" w:rsidP="00A12811">
      <w:pPr>
        <w:shd w:val="clear" w:color="auto" w:fill="FFFFFF"/>
        <w:rPr>
          <w:rFonts w:ascii="Calibri" w:eastAsia="Times New Roman" w:hAnsi="Calibri" w:cs="Arial"/>
          <w:color w:val="222222"/>
          <w:sz w:val="22"/>
          <w:szCs w:val="22"/>
        </w:rPr>
      </w:pPr>
    </w:p>
    <w:p w14:paraId="4C4FB741" w14:textId="77777777" w:rsidR="00A12811" w:rsidRPr="00570E29" w:rsidRDefault="00570E29" w:rsidP="00570E29">
      <w:pPr>
        <w:shd w:val="clear" w:color="auto" w:fill="FFFFFF"/>
        <w:jc w:val="center"/>
        <w:rPr>
          <w:rFonts w:ascii="Calibri" w:eastAsia="Times New Roman" w:hAnsi="Calibri" w:cs="Arial"/>
          <w:color w:val="222222"/>
          <w:sz w:val="18"/>
          <w:szCs w:val="22"/>
        </w:rPr>
      </w:pPr>
      <w:r w:rsidRPr="00570E29">
        <w:rPr>
          <w:rFonts w:ascii="Calibri" w:eastAsia="Times New Roman" w:hAnsi="Calibri" w:cs="Arial"/>
          <w:color w:val="222222"/>
          <w:sz w:val="18"/>
          <w:szCs w:val="22"/>
        </w:rPr>
        <w:t>Version 27 August 2018</w:t>
      </w:r>
    </w:p>
    <w:p w14:paraId="293613CD" w14:textId="77777777" w:rsidR="00A12811" w:rsidRDefault="00A12811" w:rsidP="00A12811">
      <w:pPr>
        <w:shd w:val="clear" w:color="auto" w:fill="FFFFFF"/>
        <w:rPr>
          <w:rFonts w:ascii="Calibri" w:eastAsia="Times New Roman" w:hAnsi="Calibri" w:cs="Arial"/>
          <w:color w:val="222222"/>
          <w:sz w:val="22"/>
          <w:szCs w:val="22"/>
        </w:rPr>
      </w:pPr>
    </w:p>
    <w:p w14:paraId="1AA27B7D" w14:textId="77777777" w:rsidR="00A12811" w:rsidRDefault="00A12811" w:rsidP="00A12811">
      <w:pPr>
        <w:shd w:val="clear" w:color="auto" w:fill="FFFFFF"/>
        <w:rPr>
          <w:rFonts w:ascii="Calibri" w:eastAsia="Times New Roman" w:hAnsi="Calibri" w:cs="Arial"/>
          <w:color w:val="222222"/>
          <w:sz w:val="22"/>
          <w:szCs w:val="22"/>
        </w:rPr>
      </w:pPr>
    </w:p>
    <w:p w14:paraId="66681FFB" w14:textId="77777777" w:rsidR="00A12811" w:rsidRDefault="00A12811" w:rsidP="00A12811">
      <w:pPr>
        <w:shd w:val="clear" w:color="auto" w:fill="FFFFFF"/>
        <w:rPr>
          <w:rFonts w:ascii="Calibri" w:eastAsia="Times New Roman" w:hAnsi="Calibri" w:cs="Arial"/>
          <w:color w:val="222222"/>
          <w:sz w:val="22"/>
          <w:szCs w:val="22"/>
        </w:rPr>
      </w:pPr>
    </w:p>
    <w:p w14:paraId="439FDB84" w14:textId="77777777" w:rsidR="00A12811" w:rsidRDefault="00A12811" w:rsidP="00A12811">
      <w:pPr>
        <w:shd w:val="clear" w:color="auto" w:fill="FFFFFF"/>
        <w:rPr>
          <w:rFonts w:ascii="Calibri" w:eastAsia="Times New Roman" w:hAnsi="Calibri" w:cs="Arial"/>
          <w:color w:val="222222"/>
          <w:sz w:val="22"/>
          <w:szCs w:val="22"/>
        </w:rPr>
      </w:pPr>
    </w:p>
    <w:p w14:paraId="66B5300A" w14:textId="75916799" w:rsidR="00A12811" w:rsidRDefault="00A12811" w:rsidP="00A12811">
      <w:pPr>
        <w:shd w:val="clear" w:color="auto" w:fill="FFFFFF"/>
        <w:rPr>
          <w:rFonts w:ascii="Calibri" w:eastAsia="Times New Roman" w:hAnsi="Calibri" w:cs="Arial"/>
          <w:color w:val="222222"/>
          <w:sz w:val="22"/>
          <w:szCs w:val="22"/>
        </w:rPr>
      </w:pPr>
    </w:p>
    <w:p w14:paraId="6640485F" w14:textId="4B256503" w:rsidR="00E64499" w:rsidRDefault="00E64499" w:rsidP="00A12811">
      <w:pPr>
        <w:shd w:val="clear" w:color="auto" w:fill="FFFFFF"/>
        <w:rPr>
          <w:rFonts w:ascii="Calibri" w:eastAsia="Times New Roman" w:hAnsi="Calibri" w:cs="Arial"/>
          <w:color w:val="222222"/>
          <w:sz w:val="22"/>
          <w:szCs w:val="22"/>
        </w:rPr>
      </w:pPr>
    </w:p>
    <w:p w14:paraId="74A111A2" w14:textId="622E631E" w:rsidR="00E64499" w:rsidRDefault="00E64499" w:rsidP="00A12811">
      <w:pPr>
        <w:shd w:val="clear" w:color="auto" w:fill="FFFFFF"/>
        <w:rPr>
          <w:rFonts w:ascii="Calibri" w:eastAsia="Times New Roman" w:hAnsi="Calibri" w:cs="Arial"/>
          <w:color w:val="222222"/>
          <w:sz w:val="22"/>
          <w:szCs w:val="22"/>
        </w:rPr>
      </w:pPr>
    </w:p>
    <w:p w14:paraId="289D6C10" w14:textId="3A476673" w:rsidR="00E64499" w:rsidRDefault="00E64499" w:rsidP="00A12811">
      <w:pPr>
        <w:shd w:val="clear" w:color="auto" w:fill="FFFFFF"/>
        <w:rPr>
          <w:rFonts w:ascii="Calibri" w:eastAsia="Times New Roman" w:hAnsi="Calibri" w:cs="Arial"/>
          <w:color w:val="222222"/>
          <w:sz w:val="22"/>
          <w:szCs w:val="22"/>
        </w:rPr>
      </w:pPr>
    </w:p>
    <w:p w14:paraId="60320BF0" w14:textId="7B00DEEF" w:rsidR="00E64499" w:rsidRDefault="00E64499" w:rsidP="00A12811">
      <w:pPr>
        <w:shd w:val="clear" w:color="auto" w:fill="FFFFFF"/>
        <w:rPr>
          <w:rFonts w:ascii="Calibri" w:eastAsia="Times New Roman" w:hAnsi="Calibri" w:cs="Arial"/>
          <w:color w:val="222222"/>
          <w:sz w:val="22"/>
          <w:szCs w:val="22"/>
        </w:rPr>
      </w:pPr>
    </w:p>
    <w:p w14:paraId="6B75747A" w14:textId="14025DB1" w:rsidR="00E64499" w:rsidRDefault="00E64499" w:rsidP="00A12811">
      <w:pPr>
        <w:shd w:val="clear" w:color="auto" w:fill="FFFFFF"/>
        <w:rPr>
          <w:rFonts w:ascii="Calibri" w:eastAsia="Times New Roman" w:hAnsi="Calibri" w:cs="Arial"/>
          <w:color w:val="222222"/>
          <w:sz w:val="22"/>
          <w:szCs w:val="22"/>
        </w:rPr>
      </w:pPr>
    </w:p>
    <w:p w14:paraId="39D0FC09" w14:textId="2161A99B" w:rsidR="00E64499" w:rsidRDefault="00E64499" w:rsidP="00A12811">
      <w:pPr>
        <w:shd w:val="clear" w:color="auto" w:fill="FFFFFF"/>
        <w:rPr>
          <w:rFonts w:ascii="Calibri" w:eastAsia="Times New Roman" w:hAnsi="Calibri" w:cs="Arial"/>
          <w:color w:val="222222"/>
          <w:sz w:val="22"/>
          <w:szCs w:val="22"/>
        </w:rPr>
      </w:pPr>
    </w:p>
    <w:p w14:paraId="3AB46BF6" w14:textId="369E8F3D" w:rsidR="00E64499" w:rsidRDefault="00E64499" w:rsidP="00A12811">
      <w:pPr>
        <w:shd w:val="clear" w:color="auto" w:fill="FFFFFF"/>
        <w:rPr>
          <w:rFonts w:ascii="Calibri" w:eastAsia="Times New Roman" w:hAnsi="Calibri" w:cs="Arial"/>
          <w:color w:val="222222"/>
          <w:sz w:val="22"/>
          <w:szCs w:val="22"/>
        </w:rPr>
      </w:pPr>
    </w:p>
    <w:p w14:paraId="7BE9ECF3" w14:textId="583425A7" w:rsidR="00E64499" w:rsidRDefault="00E64499" w:rsidP="00A12811">
      <w:pPr>
        <w:shd w:val="clear" w:color="auto" w:fill="FFFFFF"/>
        <w:rPr>
          <w:rFonts w:ascii="Calibri" w:eastAsia="Times New Roman" w:hAnsi="Calibri" w:cs="Arial"/>
          <w:color w:val="222222"/>
          <w:sz w:val="22"/>
          <w:szCs w:val="22"/>
        </w:rPr>
      </w:pPr>
    </w:p>
    <w:p w14:paraId="63956FC7" w14:textId="76EE05A6" w:rsidR="00E64499" w:rsidRDefault="00E64499" w:rsidP="00A12811">
      <w:pPr>
        <w:shd w:val="clear" w:color="auto" w:fill="FFFFFF"/>
        <w:rPr>
          <w:rFonts w:ascii="Calibri" w:eastAsia="Times New Roman" w:hAnsi="Calibri" w:cs="Arial"/>
          <w:color w:val="222222"/>
          <w:sz w:val="22"/>
          <w:szCs w:val="22"/>
        </w:rPr>
      </w:pPr>
    </w:p>
    <w:p w14:paraId="245BA1C6" w14:textId="6A59F521" w:rsidR="00E64499" w:rsidRDefault="00E64499" w:rsidP="00A12811">
      <w:pPr>
        <w:shd w:val="clear" w:color="auto" w:fill="FFFFFF"/>
        <w:rPr>
          <w:rFonts w:ascii="Calibri" w:eastAsia="Times New Roman" w:hAnsi="Calibri" w:cs="Arial"/>
          <w:color w:val="222222"/>
          <w:sz w:val="22"/>
          <w:szCs w:val="22"/>
        </w:rPr>
      </w:pPr>
    </w:p>
    <w:p w14:paraId="181DE8C7" w14:textId="4E77E273" w:rsidR="00E64499" w:rsidRDefault="00E64499" w:rsidP="00A12811">
      <w:pPr>
        <w:shd w:val="clear" w:color="auto" w:fill="FFFFFF"/>
        <w:rPr>
          <w:rFonts w:ascii="Calibri" w:eastAsia="Times New Roman" w:hAnsi="Calibri" w:cs="Arial"/>
          <w:color w:val="222222"/>
          <w:sz w:val="22"/>
          <w:szCs w:val="22"/>
        </w:rPr>
      </w:pPr>
    </w:p>
    <w:p w14:paraId="68372C8B" w14:textId="27B4B760" w:rsidR="00E64499" w:rsidRDefault="00E64499" w:rsidP="00A12811">
      <w:pPr>
        <w:shd w:val="clear" w:color="auto" w:fill="FFFFFF"/>
        <w:rPr>
          <w:rFonts w:ascii="Calibri" w:eastAsia="Times New Roman" w:hAnsi="Calibri" w:cs="Arial"/>
          <w:color w:val="222222"/>
          <w:sz w:val="22"/>
          <w:szCs w:val="22"/>
        </w:rPr>
      </w:pPr>
    </w:p>
    <w:p w14:paraId="5AEBA069" w14:textId="1C75C160" w:rsidR="00E64499" w:rsidRDefault="00E64499" w:rsidP="00A12811">
      <w:pPr>
        <w:shd w:val="clear" w:color="auto" w:fill="FFFFFF"/>
        <w:rPr>
          <w:rFonts w:ascii="Calibri" w:eastAsia="Times New Roman" w:hAnsi="Calibri" w:cs="Arial"/>
          <w:color w:val="222222"/>
          <w:sz w:val="22"/>
          <w:szCs w:val="22"/>
        </w:rPr>
      </w:pPr>
    </w:p>
    <w:p w14:paraId="6C88428F" w14:textId="426E5B1D" w:rsidR="00E64499" w:rsidRDefault="00E64499" w:rsidP="00A12811">
      <w:pPr>
        <w:shd w:val="clear" w:color="auto" w:fill="FFFFFF"/>
        <w:rPr>
          <w:rFonts w:ascii="Calibri" w:eastAsia="Times New Roman" w:hAnsi="Calibri" w:cs="Arial"/>
          <w:color w:val="222222"/>
          <w:sz w:val="22"/>
          <w:szCs w:val="22"/>
        </w:rPr>
      </w:pPr>
    </w:p>
    <w:p w14:paraId="1EAA486B" w14:textId="05A90565" w:rsidR="00E64499" w:rsidRDefault="00E64499" w:rsidP="00A12811">
      <w:pPr>
        <w:shd w:val="clear" w:color="auto" w:fill="FFFFFF"/>
        <w:rPr>
          <w:rFonts w:ascii="Calibri" w:eastAsia="Times New Roman" w:hAnsi="Calibri" w:cs="Arial"/>
          <w:color w:val="222222"/>
          <w:sz w:val="22"/>
          <w:szCs w:val="22"/>
        </w:rPr>
      </w:pPr>
    </w:p>
    <w:p w14:paraId="4040A2F9" w14:textId="0AB8F58A" w:rsidR="00E64499" w:rsidRDefault="00E64499" w:rsidP="00A12811">
      <w:pPr>
        <w:shd w:val="clear" w:color="auto" w:fill="FFFFFF"/>
        <w:rPr>
          <w:rFonts w:ascii="Calibri" w:eastAsia="Times New Roman" w:hAnsi="Calibri" w:cs="Arial"/>
          <w:color w:val="222222"/>
          <w:sz w:val="22"/>
          <w:szCs w:val="22"/>
        </w:rPr>
      </w:pPr>
    </w:p>
    <w:p w14:paraId="74B062C1" w14:textId="2DC98C16" w:rsidR="00E64499" w:rsidRDefault="00E64499" w:rsidP="00A12811">
      <w:pPr>
        <w:shd w:val="clear" w:color="auto" w:fill="FFFFFF"/>
        <w:rPr>
          <w:rFonts w:ascii="Calibri" w:eastAsia="Times New Roman" w:hAnsi="Calibri" w:cs="Arial"/>
          <w:color w:val="222222"/>
          <w:sz w:val="22"/>
          <w:szCs w:val="22"/>
        </w:rPr>
      </w:pPr>
    </w:p>
    <w:p w14:paraId="280FF924" w14:textId="07D5A90E" w:rsidR="00E64499" w:rsidRDefault="00E64499" w:rsidP="00A12811">
      <w:pPr>
        <w:shd w:val="clear" w:color="auto" w:fill="FFFFFF"/>
        <w:rPr>
          <w:rFonts w:ascii="Calibri" w:eastAsia="Times New Roman" w:hAnsi="Calibri" w:cs="Arial"/>
          <w:color w:val="222222"/>
          <w:sz w:val="22"/>
          <w:szCs w:val="22"/>
        </w:rPr>
      </w:pPr>
    </w:p>
    <w:p w14:paraId="2AC342CC" w14:textId="1FE6553E" w:rsidR="00E64499" w:rsidRDefault="00E64499" w:rsidP="00A12811">
      <w:pPr>
        <w:shd w:val="clear" w:color="auto" w:fill="FFFFFF"/>
        <w:rPr>
          <w:rFonts w:ascii="Calibri" w:eastAsia="Times New Roman" w:hAnsi="Calibri" w:cs="Arial"/>
          <w:color w:val="222222"/>
          <w:sz w:val="22"/>
          <w:szCs w:val="22"/>
        </w:rPr>
      </w:pPr>
    </w:p>
    <w:p w14:paraId="6260E9C9" w14:textId="3AF5C20D" w:rsidR="00E64499" w:rsidRDefault="00E64499" w:rsidP="00A12811">
      <w:pPr>
        <w:shd w:val="clear" w:color="auto" w:fill="FFFFFF"/>
        <w:rPr>
          <w:rFonts w:ascii="Calibri" w:eastAsia="Times New Roman" w:hAnsi="Calibri" w:cs="Arial"/>
          <w:color w:val="222222"/>
          <w:sz w:val="22"/>
          <w:szCs w:val="22"/>
        </w:rPr>
      </w:pPr>
    </w:p>
    <w:p w14:paraId="01223422" w14:textId="1836B3CD" w:rsidR="00E64499" w:rsidRDefault="00E64499" w:rsidP="00A12811">
      <w:pPr>
        <w:shd w:val="clear" w:color="auto" w:fill="FFFFFF"/>
        <w:rPr>
          <w:rFonts w:ascii="Calibri" w:eastAsia="Times New Roman" w:hAnsi="Calibri" w:cs="Arial"/>
          <w:color w:val="222222"/>
          <w:sz w:val="22"/>
          <w:szCs w:val="22"/>
        </w:rPr>
      </w:pPr>
    </w:p>
    <w:p w14:paraId="059C82D7" w14:textId="60541608" w:rsidR="00E64499" w:rsidRDefault="00E64499" w:rsidP="00A12811">
      <w:pPr>
        <w:shd w:val="clear" w:color="auto" w:fill="FFFFFF"/>
        <w:rPr>
          <w:rFonts w:ascii="Calibri" w:eastAsia="Times New Roman" w:hAnsi="Calibri" w:cs="Arial"/>
          <w:color w:val="222222"/>
          <w:sz w:val="22"/>
          <w:szCs w:val="22"/>
        </w:rPr>
      </w:pPr>
    </w:p>
    <w:p w14:paraId="14DE21A4" w14:textId="28BD3B97" w:rsidR="00E64499" w:rsidRDefault="00E64499" w:rsidP="00A12811">
      <w:pPr>
        <w:shd w:val="clear" w:color="auto" w:fill="FFFFFF"/>
        <w:rPr>
          <w:rFonts w:ascii="Calibri" w:eastAsia="Times New Roman" w:hAnsi="Calibri" w:cs="Arial"/>
          <w:color w:val="222222"/>
          <w:sz w:val="22"/>
          <w:szCs w:val="22"/>
        </w:rPr>
      </w:pPr>
    </w:p>
    <w:p w14:paraId="6CF19568" w14:textId="0AFDA634" w:rsidR="00E64499" w:rsidRDefault="00E64499" w:rsidP="00A12811">
      <w:pPr>
        <w:shd w:val="clear" w:color="auto" w:fill="FFFFFF"/>
        <w:rPr>
          <w:rFonts w:ascii="Calibri" w:eastAsia="Times New Roman" w:hAnsi="Calibri" w:cs="Arial"/>
          <w:color w:val="222222"/>
          <w:sz w:val="22"/>
          <w:szCs w:val="22"/>
        </w:rPr>
      </w:pPr>
    </w:p>
    <w:p w14:paraId="3FDDD043" w14:textId="3B8B7D19" w:rsidR="00E64499" w:rsidRDefault="00E64499" w:rsidP="00A12811">
      <w:pPr>
        <w:shd w:val="clear" w:color="auto" w:fill="FFFFFF"/>
        <w:rPr>
          <w:rFonts w:ascii="Calibri" w:eastAsia="Times New Roman" w:hAnsi="Calibri" w:cs="Arial"/>
          <w:color w:val="222222"/>
          <w:sz w:val="22"/>
          <w:szCs w:val="22"/>
        </w:rPr>
      </w:pPr>
    </w:p>
    <w:p w14:paraId="714AEAFE" w14:textId="6225F3FA" w:rsidR="00E64499" w:rsidRDefault="00E64499" w:rsidP="00A12811">
      <w:pPr>
        <w:shd w:val="clear" w:color="auto" w:fill="FFFFFF"/>
        <w:rPr>
          <w:rFonts w:ascii="Calibri" w:eastAsia="Times New Roman" w:hAnsi="Calibri" w:cs="Arial"/>
          <w:color w:val="222222"/>
          <w:sz w:val="22"/>
          <w:szCs w:val="22"/>
        </w:rPr>
      </w:pPr>
    </w:p>
    <w:p w14:paraId="650DB8A0" w14:textId="5A70C729" w:rsidR="00E64499" w:rsidRDefault="00E64499" w:rsidP="00A12811">
      <w:pPr>
        <w:shd w:val="clear" w:color="auto" w:fill="FFFFFF"/>
        <w:rPr>
          <w:rFonts w:ascii="Calibri" w:eastAsia="Times New Roman" w:hAnsi="Calibri" w:cs="Arial"/>
          <w:color w:val="222222"/>
          <w:sz w:val="22"/>
          <w:szCs w:val="22"/>
        </w:rPr>
      </w:pPr>
    </w:p>
    <w:p w14:paraId="33956575" w14:textId="0562131F" w:rsidR="00E64499" w:rsidRDefault="00E64499" w:rsidP="00A12811">
      <w:pPr>
        <w:shd w:val="clear" w:color="auto" w:fill="FFFFFF"/>
        <w:rPr>
          <w:rFonts w:ascii="Calibri" w:eastAsia="Times New Roman" w:hAnsi="Calibri" w:cs="Arial"/>
          <w:color w:val="222222"/>
          <w:sz w:val="22"/>
          <w:szCs w:val="22"/>
        </w:rPr>
      </w:pPr>
    </w:p>
    <w:p w14:paraId="1E844908" w14:textId="53F2774B" w:rsidR="00E64499" w:rsidRDefault="00E64499" w:rsidP="00A12811">
      <w:pPr>
        <w:shd w:val="clear" w:color="auto" w:fill="FFFFFF"/>
        <w:rPr>
          <w:rFonts w:ascii="Calibri" w:eastAsia="Times New Roman" w:hAnsi="Calibri" w:cs="Arial"/>
          <w:color w:val="222222"/>
          <w:sz w:val="22"/>
          <w:szCs w:val="22"/>
        </w:rPr>
      </w:pPr>
    </w:p>
    <w:p w14:paraId="17D76BB7" w14:textId="3E4BFB6F" w:rsidR="00E64499" w:rsidRDefault="00E64499" w:rsidP="00A12811">
      <w:pPr>
        <w:shd w:val="clear" w:color="auto" w:fill="FFFFFF"/>
        <w:rPr>
          <w:rFonts w:ascii="Calibri" w:eastAsia="Times New Roman" w:hAnsi="Calibri" w:cs="Arial"/>
          <w:color w:val="222222"/>
          <w:sz w:val="22"/>
          <w:szCs w:val="22"/>
        </w:rPr>
      </w:pPr>
    </w:p>
    <w:sdt>
      <w:sdtPr>
        <w:rPr>
          <w:rFonts w:asciiTheme="minorHAnsi" w:eastAsiaTheme="minorEastAsia" w:hAnsiTheme="minorHAnsi" w:cstheme="minorBidi"/>
          <w:color w:val="auto"/>
          <w:sz w:val="24"/>
          <w:szCs w:val="24"/>
          <w:lang w:eastAsia="fr-FR"/>
        </w:rPr>
        <w:id w:val="-1979063242"/>
        <w:docPartObj>
          <w:docPartGallery w:val="Table of Contents"/>
          <w:docPartUnique/>
        </w:docPartObj>
      </w:sdtPr>
      <w:sdtEndPr>
        <w:rPr>
          <w:b/>
          <w:bCs/>
          <w:noProof/>
        </w:rPr>
      </w:sdtEndPr>
      <w:sdtContent>
        <w:p w14:paraId="5000EEB6" w14:textId="77777777" w:rsidR="00A12811" w:rsidRDefault="00A12811" w:rsidP="00E64499">
          <w:pPr>
            <w:pStyle w:val="TOCHeading"/>
            <w:jc w:val="center"/>
          </w:pPr>
          <w:r>
            <w:t>Contents</w:t>
          </w:r>
        </w:p>
        <w:p w14:paraId="0175A4DB" w14:textId="1AF6B683" w:rsidR="00B76B1A" w:rsidRDefault="00A12811">
          <w:pPr>
            <w:pStyle w:val="TOC1"/>
            <w:tabs>
              <w:tab w:val="right" w:leader="dot" w:pos="9396"/>
            </w:tabs>
            <w:rPr>
              <w:noProof/>
              <w:sz w:val="22"/>
              <w:szCs w:val="22"/>
              <w:lang w:val="es-PA" w:eastAsia="es-PA"/>
            </w:rPr>
          </w:pPr>
          <w:r>
            <w:fldChar w:fldCharType="begin"/>
          </w:r>
          <w:r>
            <w:instrText xml:space="preserve"> TOC \o "1-3" \h \z \u </w:instrText>
          </w:r>
          <w:r>
            <w:fldChar w:fldCharType="separate"/>
          </w:r>
          <w:hyperlink w:anchor="_Toc523242056" w:history="1">
            <w:r w:rsidR="00B76B1A" w:rsidRPr="00806080">
              <w:rPr>
                <w:rStyle w:val="Hyperlink"/>
                <w:noProof/>
              </w:rPr>
              <w:t>Introduction</w:t>
            </w:r>
            <w:r w:rsidR="00B76B1A">
              <w:rPr>
                <w:noProof/>
                <w:webHidden/>
              </w:rPr>
              <w:tab/>
            </w:r>
            <w:r w:rsidR="00B76B1A">
              <w:rPr>
                <w:noProof/>
                <w:webHidden/>
              </w:rPr>
              <w:fldChar w:fldCharType="begin"/>
            </w:r>
            <w:r w:rsidR="00B76B1A">
              <w:rPr>
                <w:noProof/>
                <w:webHidden/>
              </w:rPr>
              <w:instrText xml:space="preserve"> PAGEREF _Toc523242056 \h </w:instrText>
            </w:r>
            <w:r w:rsidR="00B76B1A">
              <w:rPr>
                <w:noProof/>
                <w:webHidden/>
              </w:rPr>
            </w:r>
            <w:r w:rsidR="00B76B1A">
              <w:rPr>
                <w:noProof/>
                <w:webHidden/>
              </w:rPr>
              <w:fldChar w:fldCharType="separate"/>
            </w:r>
            <w:r w:rsidR="00A2375D">
              <w:rPr>
                <w:noProof/>
                <w:webHidden/>
              </w:rPr>
              <w:t>2</w:t>
            </w:r>
            <w:r w:rsidR="00B76B1A">
              <w:rPr>
                <w:noProof/>
                <w:webHidden/>
              </w:rPr>
              <w:fldChar w:fldCharType="end"/>
            </w:r>
          </w:hyperlink>
        </w:p>
        <w:p w14:paraId="19421A63" w14:textId="1F3DE043" w:rsidR="00B76B1A" w:rsidRDefault="002B0407">
          <w:pPr>
            <w:pStyle w:val="TOC2"/>
            <w:tabs>
              <w:tab w:val="right" w:leader="dot" w:pos="9396"/>
            </w:tabs>
            <w:rPr>
              <w:noProof/>
              <w:sz w:val="22"/>
              <w:szCs w:val="22"/>
              <w:lang w:val="es-PA" w:eastAsia="es-PA"/>
            </w:rPr>
          </w:pPr>
          <w:hyperlink w:anchor="_Toc523242057" w:history="1">
            <w:r w:rsidR="00B76B1A" w:rsidRPr="00806080">
              <w:rPr>
                <w:rStyle w:val="Hyperlink"/>
                <w:noProof/>
              </w:rPr>
              <w:t>The Network on Chemicals and Waste and its operation</w:t>
            </w:r>
            <w:r w:rsidR="00B76B1A">
              <w:rPr>
                <w:noProof/>
                <w:webHidden/>
              </w:rPr>
              <w:tab/>
            </w:r>
            <w:r w:rsidR="00B76B1A">
              <w:rPr>
                <w:noProof/>
                <w:webHidden/>
              </w:rPr>
              <w:fldChar w:fldCharType="begin"/>
            </w:r>
            <w:r w:rsidR="00B76B1A">
              <w:rPr>
                <w:noProof/>
                <w:webHidden/>
              </w:rPr>
              <w:instrText xml:space="preserve"> PAGEREF _Toc523242057 \h </w:instrText>
            </w:r>
            <w:r w:rsidR="00B76B1A">
              <w:rPr>
                <w:noProof/>
                <w:webHidden/>
              </w:rPr>
            </w:r>
            <w:r w:rsidR="00B76B1A">
              <w:rPr>
                <w:noProof/>
                <w:webHidden/>
              </w:rPr>
              <w:fldChar w:fldCharType="separate"/>
            </w:r>
            <w:r w:rsidR="00A2375D">
              <w:rPr>
                <w:noProof/>
                <w:webHidden/>
              </w:rPr>
              <w:t>2</w:t>
            </w:r>
            <w:r w:rsidR="00B76B1A">
              <w:rPr>
                <w:noProof/>
                <w:webHidden/>
              </w:rPr>
              <w:fldChar w:fldCharType="end"/>
            </w:r>
          </w:hyperlink>
        </w:p>
        <w:p w14:paraId="17FAFD9E" w14:textId="28FBA664" w:rsidR="00B76B1A" w:rsidRDefault="002B0407">
          <w:pPr>
            <w:pStyle w:val="TOC2"/>
            <w:tabs>
              <w:tab w:val="right" w:leader="dot" w:pos="9396"/>
            </w:tabs>
            <w:rPr>
              <w:noProof/>
              <w:sz w:val="22"/>
              <w:szCs w:val="22"/>
              <w:lang w:val="es-PA" w:eastAsia="es-PA"/>
            </w:rPr>
          </w:pPr>
          <w:hyperlink w:anchor="_Toc523242058" w:history="1">
            <w:r w:rsidR="00B76B1A" w:rsidRPr="00806080">
              <w:rPr>
                <w:rStyle w:val="Hyperlink"/>
                <w:noProof/>
              </w:rPr>
              <w:t>The 2019-2020 biennium action plan</w:t>
            </w:r>
            <w:r w:rsidR="00B76B1A">
              <w:rPr>
                <w:noProof/>
                <w:webHidden/>
              </w:rPr>
              <w:tab/>
            </w:r>
            <w:r w:rsidR="00B76B1A">
              <w:rPr>
                <w:noProof/>
                <w:webHidden/>
              </w:rPr>
              <w:fldChar w:fldCharType="begin"/>
            </w:r>
            <w:r w:rsidR="00B76B1A">
              <w:rPr>
                <w:noProof/>
                <w:webHidden/>
              </w:rPr>
              <w:instrText xml:space="preserve"> PAGEREF _Toc523242058 \h </w:instrText>
            </w:r>
            <w:r w:rsidR="00B76B1A">
              <w:rPr>
                <w:noProof/>
                <w:webHidden/>
              </w:rPr>
            </w:r>
            <w:r w:rsidR="00B76B1A">
              <w:rPr>
                <w:noProof/>
                <w:webHidden/>
              </w:rPr>
              <w:fldChar w:fldCharType="separate"/>
            </w:r>
            <w:r w:rsidR="00A2375D">
              <w:rPr>
                <w:noProof/>
                <w:webHidden/>
              </w:rPr>
              <w:t>3</w:t>
            </w:r>
            <w:r w:rsidR="00B76B1A">
              <w:rPr>
                <w:noProof/>
                <w:webHidden/>
              </w:rPr>
              <w:fldChar w:fldCharType="end"/>
            </w:r>
          </w:hyperlink>
        </w:p>
        <w:p w14:paraId="12E0577A" w14:textId="6620226A" w:rsidR="00B76B1A" w:rsidRDefault="002B0407">
          <w:pPr>
            <w:pStyle w:val="TOC2"/>
            <w:tabs>
              <w:tab w:val="right" w:leader="dot" w:pos="9396"/>
            </w:tabs>
            <w:rPr>
              <w:noProof/>
              <w:sz w:val="22"/>
              <w:szCs w:val="22"/>
              <w:lang w:val="es-PA" w:eastAsia="es-PA"/>
            </w:rPr>
          </w:pPr>
          <w:hyperlink w:anchor="_Toc523242059" w:history="1">
            <w:r w:rsidR="00B76B1A" w:rsidRPr="00806080">
              <w:rPr>
                <w:rStyle w:val="Hyperlink"/>
                <w:noProof/>
                <w:lang w:val="en-GB"/>
              </w:rPr>
              <w:t>The Resource Mobilization Strategy (RMS) for the Network and its objectives</w:t>
            </w:r>
            <w:r w:rsidR="00B76B1A">
              <w:rPr>
                <w:noProof/>
                <w:webHidden/>
              </w:rPr>
              <w:tab/>
            </w:r>
            <w:r w:rsidR="00B76B1A">
              <w:rPr>
                <w:noProof/>
                <w:webHidden/>
              </w:rPr>
              <w:fldChar w:fldCharType="begin"/>
            </w:r>
            <w:r w:rsidR="00B76B1A">
              <w:rPr>
                <w:noProof/>
                <w:webHidden/>
              </w:rPr>
              <w:instrText xml:space="preserve"> PAGEREF _Toc523242059 \h </w:instrText>
            </w:r>
            <w:r w:rsidR="00B76B1A">
              <w:rPr>
                <w:noProof/>
                <w:webHidden/>
              </w:rPr>
            </w:r>
            <w:r w:rsidR="00B76B1A">
              <w:rPr>
                <w:noProof/>
                <w:webHidden/>
              </w:rPr>
              <w:fldChar w:fldCharType="separate"/>
            </w:r>
            <w:r w:rsidR="00A2375D">
              <w:rPr>
                <w:noProof/>
                <w:webHidden/>
              </w:rPr>
              <w:t>3</w:t>
            </w:r>
            <w:r w:rsidR="00B76B1A">
              <w:rPr>
                <w:noProof/>
                <w:webHidden/>
              </w:rPr>
              <w:fldChar w:fldCharType="end"/>
            </w:r>
          </w:hyperlink>
        </w:p>
        <w:p w14:paraId="4388A093" w14:textId="00149702" w:rsidR="00B76B1A" w:rsidRDefault="002B0407">
          <w:pPr>
            <w:pStyle w:val="TOC1"/>
            <w:tabs>
              <w:tab w:val="right" w:leader="dot" w:pos="9396"/>
            </w:tabs>
            <w:rPr>
              <w:noProof/>
              <w:sz w:val="22"/>
              <w:szCs w:val="22"/>
              <w:lang w:val="es-PA" w:eastAsia="es-PA"/>
            </w:rPr>
          </w:pPr>
          <w:hyperlink w:anchor="_Toc523242060" w:history="1">
            <w:r w:rsidR="00B76B1A" w:rsidRPr="00806080">
              <w:rPr>
                <w:rStyle w:val="Hyperlink"/>
                <w:noProof/>
                <w:lang w:val="en-GB"/>
              </w:rPr>
              <w:t>Guiding strategic principles of the RMS</w:t>
            </w:r>
            <w:r w:rsidR="00B76B1A">
              <w:rPr>
                <w:noProof/>
                <w:webHidden/>
              </w:rPr>
              <w:tab/>
            </w:r>
            <w:r w:rsidR="00B76B1A">
              <w:rPr>
                <w:noProof/>
                <w:webHidden/>
              </w:rPr>
              <w:fldChar w:fldCharType="begin"/>
            </w:r>
            <w:r w:rsidR="00B76B1A">
              <w:rPr>
                <w:noProof/>
                <w:webHidden/>
              </w:rPr>
              <w:instrText xml:space="preserve"> PAGEREF _Toc523242060 \h </w:instrText>
            </w:r>
            <w:r w:rsidR="00B76B1A">
              <w:rPr>
                <w:noProof/>
                <w:webHidden/>
              </w:rPr>
            </w:r>
            <w:r w:rsidR="00B76B1A">
              <w:rPr>
                <w:noProof/>
                <w:webHidden/>
              </w:rPr>
              <w:fldChar w:fldCharType="separate"/>
            </w:r>
            <w:r w:rsidR="00A2375D">
              <w:rPr>
                <w:noProof/>
                <w:webHidden/>
              </w:rPr>
              <w:t>4</w:t>
            </w:r>
            <w:r w:rsidR="00B76B1A">
              <w:rPr>
                <w:noProof/>
                <w:webHidden/>
              </w:rPr>
              <w:fldChar w:fldCharType="end"/>
            </w:r>
          </w:hyperlink>
        </w:p>
        <w:p w14:paraId="6B8500E7" w14:textId="46C14A9A" w:rsidR="00B76B1A" w:rsidRDefault="002B0407">
          <w:pPr>
            <w:pStyle w:val="TOC1"/>
            <w:tabs>
              <w:tab w:val="right" w:leader="dot" w:pos="9396"/>
            </w:tabs>
            <w:rPr>
              <w:noProof/>
              <w:sz w:val="22"/>
              <w:szCs w:val="22"/>
              <w:lang w:val="es-PA" w:eastAsia="es-PA"/>
            </w:rPr>
          </w:pPr>
          <w:hyperlink w:anchor="_Toc523242061" w:history="1">
            <w:r w:rsidR="00B76B1A" w:rsidRPr="00806080">
              <w:rPr>
                <w:rStyle w:val="Hyperlink"/>
                <w:noProof/>
              </w:rPr>
              <w:t>Resource needs</w:t>
            </w:r>
            <w:r w:rsidR="00B76B1A">
              <w:rPr>
                <w:noProof/>
                <w:webHidden/>
              </w:rPr>
              <w:tab/>
            </w:r>
            <w:r w:rsidR="00B76B1A">
              <w:rPr>
                <w:noProof/>
                <w:webHidden/>
              </w:rPr>
              <w:fldChar w:fldCharType="begin"/>
            </w:r>
            <w:r w:rsidR="00B76B1A">
              <w:rPr>
                <w:noProof/>
                <w:webHidden/>
              </w:rPr>
              <w:instrText xml:space="preserve"> PAGEREF _Toc523242061 \h </w:instrText>
            </w:r>
            <w:r w:rsidR="00B76B1A">
              <w:rPr>
                <w:noProof/>
                <w:webHidden/>
              </w:rPr>
            </w:r>
            <w:r w:rsidR="00B76B1A">
              <w:rPr>
                <w:noProof/>
                <w:webHidden/>
              </w:rPr>
              <w:fldChar w:fldCharType="separate"/>
            </w:r>
            <w:r w:rsidR="00A2375D">
              <w:rPr>
                <w:noProof/>
                <w:webHidden/>
              </w:rPr>
              <w:t>4</w:t>
            </w:r>
            <w:r w:rsidR="00B76B1A">
              <w:rPr>
                <w:noProof/>
                <w:webHidden/>
              </w:rPr>
              <w:fldChar w:fldCharType="end"/>
            </w:r>
          </w:hyperlink>
        </w:p>
        <w:p w14:paraId="688089D0" w14:textId="44831B6A" w:rsidR="00B76B1A" w:rsidRDefault="002B0407">
          <w:pPr>
            <w:pStyle w:val="TOC2"/>
            <w:tabs>
              <w:tab w:val="right" w:leader="dot" w:pos="9396"/>
            </w:tabs>
            <w:rPr>
              <w:noProof/>
              <w:sz w:val="22"/>
              <w:szCs w:val="22"/>
              <w:lang w:val="es-PA" w:eastAsia="es-PA"/>
            </w:rPr>
          </w:pPr>
          <w:hyperlink w:anchor="_Toc523242062" w:history="1">
            <w:r w:rsidR="00B76B1A" w:rsidRPr="00806080">
              <w:rPr>
                <w:rStyle w:val="Hyperlink"/>
                <w:noProof/>
              </w:rPr>
              <w:t>Network operation costs</w:t>
            </w:r>
            <w:r w:rsidR="00B76B1A">
              <w:rPr>
                <w:noProof/>
                <w:webHidden/>
              </w:rPr>
              <w:tab/>
            </w:r>
            <w:r w:rsidR="00B76B1A">
              <w:rPr>
                <w:noProof/>
                <w:webHidden/>
              </w:rPr>
              <w:fldChar w:fldCharType="begin"/>
            </w:r>
            <w:r w:rsidR="00B76B1A">
              <w:rPr>
                <w:noProof/>
                <w:webHidden/>
              </w:rPr>
              <w:instrText xml:space="preserve"> PAGEREF _Toc523242062 \h </w:instrText>
            </w:r>
            <w:r w:rsidR="00B76B1A">
              <w:rPr>
                <w:noProof/>
                <w:webHidden/>
              </w:rPr>
            </w:r>
            <w:r w:rsidR="00B76B1A">
              <w:rPr>
                <w:noProof/>
                <w:webHidden/>
              </w:rPr>
              <w:fldChar w:fldCharType="separate"/>
            </w:r>
            <w:r w:rsidR="00A2375D">
              <w:rPr>
                <w:noProof/>
                <w:webHidden/>
              </w:rPr>
              <w:t>4</w:t>
            </w:r>
            <w:r w:rsidR="00B76B1A">
              <w:rPr>
                <w:noProof/>
                <w:webHidden/>
              </w:rPr>
              <w:fldChar w:fldCharType="end"/>
            </w:r>
          </w:hyperlink>
        </w:p>
        <w:p w14:paraId="2633DFFC" w14:textId="73F86DE3" w:rsidR="00B76B1A" w:rsidRDefault="002B0407">
          <w:pPr>
            <w:pStyle w:val="TOC2"/>
            <w:tabs>
              <w:tab w:val="right" w:leader="dot" w:pos="9396"/>
            </w:tabs>
            <w:rPr>
              <w:noProof/>
              <w:sz w:val="22"/>
              <w:szCs w:val="22"/>
              <w:lang w:val="es-PA" w:eastAsia="es-PA"/>
            </w:rPr>
          </w:pPr>
          <w:hyperlink w:anchor="_Toc523242063" w:history="1">
            <w:r w:rsidR="00B76B1A" w:rsidRPr="00806080">
              <w:rPr>
                <w:rStyle w:val="Hyperlink"/>
                <w:noProof/>
              </w:rPr>
              <w:t>2019-2020 Biennium Action Plan implementation</w:t>
            </w:r>
            <w:r w:rsidR="00B76B1A">
              <w:rPr>
                <w:noProof/>
                <w:webHidden/>
              </w:rPr>
              <w:tab/>
            </w:r>
            <w:r w:rsidR="00B76B1A">
              <w:rPr>
                <w:noProof/>
                <w:webHidden/>
              </w:rPr>
              <w:fldChar w:fldCharType="begin"/>
            </w:r>
            <w:r w:rsidR="00B76B1A">
              <w:rPr>
                <w:noProof/>
                <w:webHidden/>
              </w:rPr>
              <w:instrText xml:space="preserve"> PAGEREF _Toc523242063 \h </w:instrText>
            </w:r>
            <w:r w:rsidR="00B76B1A">
              <w:rPr>
                <w:noProof/>
                <w:webHidden/>
              </w:rPr>
            </w:r>
            <w:r w:rsidR="00B76B1A">
              <w:rPr>
                <w:noProof/>
                <w:webHidden/>
              </w:rPr>
              <w:fldChar w:fldCharType="separate"/>
            </w:r>
            <w:r w:rsidR="00A2375D">
              <w:rPr>
                <w:noProof/>
                <w:webHidden/>
              </w:rPr>
              <w:t>6</w:t>
            </w:r>
            <w:r w:rsidR="00B76B1A">
              <w:rPr>
                <w:noProof/>
                <w:webHidden/>
              </w:rPr>
              <w:fldChar w:fldCharType="end"/>
            </w:r>
          </w:hyperlink>
        </w:p>
        <w:p w14:paraId="2F247DD8" w14:textId="3D3D132E" w:rsidR="00B76B1A" w:rsidRDefault="002B0407">
          <w:pPr>
            <w:pStyle w:val="TOC1"/>
            <w:tabs>
              <w:tab w:val="right" w:leader="dot" w:pos="9396"/>
            </w:tabs>
            <w:rPr>
              <w:noProof/>
              <w:sz w:val="22"/>
              <w:szCs w:val="22"/>
              <w:lang w:val="es-PA" w:eastAsia="es-PA"/>
            </w:rPr>
          </w:pPr>
          <w:hyperlink w:anchor="_Toc523242064" w:history="1">
            <w:r w:rsidR="00B76B1A" w:rsidRPr="00806080">
              <w:rPr>
                <w:rStyle w:val="Hyperlink"/>
                <w:noProof/>
              </w:rPr>
              <w:t>Donors and potential partners</w:t>
            </w:r>
            <w:r w:rsidR="00B76B1A">
              <w:rPr>
                <w:noProof/>
                <w:webHidden/>
              </w:rPr>
              <w:tab/>
            </w:r>
            <w:r w:rsidR="00B76B1A">
              <w:rPr>
                <w:noProof/>
                <w:webHidden/>
              </w:rPr>
              <w:fldChar w:fldCharType="begin"/>
            </w:r>
            <w:r w:rsidR="00B76B1A">
              <w:rPr>
                <w:noProof/>
                <w:webHidden/>
              </w:rPr>
              <w:instrText xml:space="preserve"> PAGEREF _Toc523242064 \h </w:instrText>
            </w:r>
            <w:r w:rsidR="00B76B1A">
              <w:rPr>
                <w:noProof/>
                <w:webHidden/>
              </w:rPr>
            </w:r>
            <w:r w:rsidR="00B76B1A">
              <w:rPr>
                <w:noProof/>
                <w:webHidden/>
              </w:rPr>
              <w:fldChar w:fldCharType="separate"/>
            </w:r>
            <w:r w:rsidR="00A2375D">
              <w:rPr>
                <w:noProof/>
                <w:webHidden/>
              </w:rPr>
              <w:t>7</w:t>
            </w:r>
            <w:r w:rsidR="00B76B1A">
              <w:rPr>
                <w:noProof/>
                <w:webHidden/>
              </w:rPr>
              <w:fldChar w:fldCharType="end"/>
            </w:r>
          </w:hyperlink>
        </w:p>
        <w:p w14:paraId="25FCA342" w14:textId="3A966BB6" w:rsidR="00B76B1A" w:rsidRDefault="002B0407">
          <w:pPr>
            <w:pStyle w:val="TOC1"/>
            <w:tabs>
              <w:tab w:val="right" w:leader="dot" w:pos="9396"/>
            </w:tabs>
            <w:rPr>
              <w:noProof/>
              <w:sz w:val="22"/>
              <w:szCs w:val="22"/>
              <w:lang w:val="es-PA" w:eastAsia="es-PA"/>
            </w:rPr>
          </w:pPr>
          <w:hyperlink w:anchor="_Toc523242065" w:history="1">
            <w:r w:rsidR="00B76B1A" w:rsidRPr="00806080">
              <w:rPr>
                <w:rStyle w:val="Hyperlink"/>
                <w:noProof/>
              </w:rPr>
              <w:t>Next steps and actions</w:t>
            </w:r>
            <w:r w:rsidR="00B76B1A">
              <w:rPr>
                <w:noProof/>
                <w:webHidden/>
              </w:rPr>
              <w:tab/>
            </w:r>
            <w:r w:rsidR="00B76B1A">
              <w:rPr>
                <w:noProof/>
                <w:webHidden/>
              </w:rPr>
              <w:fldChar w:fldCharType="begin"/>
            </w:r>
            <w:r w:rsidR="00B76B1A">
              <w:rPr>
                <w:noProof/>
                <w:webHidden/>
              </w:rPr>
              <w:instrText xml:space="preserve"> PAGEREF _Toc523242065 \h </w:instrText>
            </w:r>
            <w:r w:rsidR="00B76B1A">
              <w:rPr>
                <w:noProof/>
                <w:webHidden/>
              </w:rPr>
            </w:r>
            <w:r w:rsidR="00B76B1A">
              <w:rPr>
                <w:noProof/>
                <w:webHidden/>
              </w:rPr>
              <w:fldChar w:fldCharType="separate"/>
            </w:r>
            <w:r w:rsidR="00A2375D">
              <w:rPr>
                <w:noProof/>
                <w:webHidden/>
              </w:rPr>
              <w:t>11</w:t>
            </w:r>
            <w:r w:rsidR="00B76B1A">
              <w:rPr>
                <w:noProof/>
                <w:webHidden/>
              </w:rPr>
              <w:fldChar w:fldCharType="end"/>
            </w:r>
          </w:hyperlink>
        </w:p>
        <w:p w14:paraId="680FE202" w14:textId="4EE81524" w:rsidR="00B76B1A" w:rsidRDefault="002B0407">
          <w:pPr>
            <w:pStyle w:val="TOC1"/>
            <w:tabs>
              <w:tab w:val="right" w:leader="dot" w:pos="9396"/>
            </w:tabs>
            <w:rPr>
              <w:noProof/>
              <w:sz w:val="22"/>
              <w:szCs w:val="22"/>
              <w:lang w:val="es-PA" w:eastAsia="es-PA"/>
            </w:rPr>
          </w:pPr>
          <w:hyperlink w:anchor="_Toc523242066" w:history="1">
            <w:r w:rsidR="00B76B1A" w:rsidRPr="00806080">
              <w:rPr>
                <w:rStyle w:val="Hyperlink"/>
                <w:noProof/>
              </w:rPr>
              <w:t>Annexes</w:t>
            </w:r>
            <w:r w:rsidR="00B76B1A">
              <w:rPr>
                <w:noProof/>
                <w:webHidden/>
              </w:rPr>
              <w:tab/>
            </w:r>
            <w:r w:rsidR="00B76B1A">
              <w:rPr>
                <w:noProof/>
                <w:webHidden/>
              </w:rPr>
              <w:fldChar w:fldCharType="begin"/>
            </w:r>
            <w:r w:rsidR="00B76B1A">
              <w:rPr>
                <w:noProof/>
                <w:webHidden/>
              </w:rPr>
              <w:instrText xml:space="preserve"> PAGEREF _Toc523242066 \h </w:instrText>
            </w:r>
            <w:r w:rsidR="00B76B1A">
              <w:rPr>
                <w:noProof/>
                <w:webHidden/>
              </w:rPr>
            </w:r>
            <w:r w:rsidR="00B76B1A">
              <w:rPr>
                <w:noProof/>
                <w:webHidden/>
              </w:rPr>
              <w:fldChar w:fldCharType="separate"/>
            </w:r>
            <w:r w:rsidR="00A2375D">
              <w:rPr>
                <w:noProof/>
                <w:webHidden/>
              </w:rPr>
              <w:t>13</w:t>
            </w:r>
            <w:r w:rsidR="00B76B1A">
              <w:rPr>
                <w:noProof/>
                <w:webHidden/>
              </w:rPr>
              <w:fldChar w:fldCharType="end"/>
            </w:r>
          </w:hyperlink>
        </w:p>
        <w:p w14:paraId="726DC28D" w14:textId="51FD676D" w:rsidR="00A12811" w:rsidRDefault="00A12811" w:rsidP="00A12811">
          <w:r>
            <w:rPr>
              <w:b/>
              <w:bCs/>
              <w:noProof/>
            </w:rPr>
            <w:fldChar w:fldCharType="end"/>
          </w:r>
        </w:p>
      </w:sdtContent>
    </w:sdt>
    <w:p w14:paraId="77CD992D" w14:textId="77777777" w:rsidR="00A12811" w:rsidRDefault="00A12811" w:rsidP="00A12811">
      <w:pPr>
        <w:shd w:val="clear" w:color="auto" w:fill="FFFFFF"/>
        <w:rPr>
          <w:rFonts w:ascii="Calibri" w:eastAsia="Times New Roman" w:hAnsi="Calibri" w:cs="Arial"/>
          <w:color w:val="222222"/>
          <w:sz w:val="22"/>
          <w:szCs w:val="22"/>
        </w:rPr>
      </w:pPr>
    </w:p>
    <w:p w14:paraId="257A45C4" w14:textId="77777777" w:rsidR="00A12811" w:rsidRDefault="00A12811" w:rsidP="00A12811">
      <w:pPr>
        <w:rPr>
          <w:rFonts w:asciiTheme="majorHAnsi" w:eastAsiaTheme="majorEastAsia" w:hAnsiTheme="majorHAnsi" w:cstheme="majorBidi"/>
          <w:b/>
          <w:bCs/>
          <w:color w:val="2D4F8E" w:themeColor="accent1" w:themeShade="B5"/>
          <w:sz w:val="32"/>
          <w:szCs w:val="32"/>
        </w:rPr>
      </w:pPr>
      <w:r>
        <w:br w:type="page"/>
      </w:r>
    </w:p>
    <w:p w14:paraId="5ED331C4" w14:textId="77777777" w:rsidR="00A12811" w:rsidRDefault="00A12811" w:rsidP="00A12811">
      <w:pPr>
        <w:pStyle w:val="Heading1"/>
      </w:pPr>
      <w:bookmarkStart w:id="1" w:name="_Toc523242056"/>
      <w:r>
        <w:lastRenderedPageBreak/>
        <w:t>Introduction</w:t>
      </w:r>
      <w:bookmarkEnd w:id="1"/>
    </w:p>
    <w:p w14:paraId="67290391" w14:textId="77777777" w:rsidR="00A12811" w:rsidRDefault="00A12811" w:rsidP="00A12811"/>
    <w:p w14:paraId="2B7AC9F0" w14:textId="77777777" w:rsidR="00A12811" w:rsidRPr="00A12F55" w:rsidRDefault="00A12811" w:rsidP="00A12811">
      <w:pPr>
        <w:pStyle w:val="Heading2"/>
      </w:pPr>
      <w:bookmarkStart w:id="2" w:name="_Toc523242057"/>
      <w:r>
        <w:t>The Network on Chemicals and Waste and its operation</w:t>
      </w:r>
      <w:bookmarkEnd w:id="2"/>
    </w:p>
    <w:p w14:paraId="20A1C41F" w14:textId="77777777" w:rsidR="00A12811" w:rsidRDefault="00A12811" w:rsidP="00A12811">
      <w:pPr>
        <w:shd w:val="clear" w:color="auto" w:fill="FFFFFF"/>
        <w:rPr>
          <w:rFonts w:ascii="Calibri" w:eastAsia="Times New Roman" w:hAnsi="Calibri" w:cs="Arial"/>
          <w:color w:val="222222"/>
          <w:sz w:val="22"/>
          <w:szCs w:val="22"/>
        </w:rPr>
      </w:pPr>
    </w:p>
    <w:p w14:paraId="78ED9B1F" w14:textId="77777777" w:rsidR="00A12811" w:rsidRDefault="00A12811" w:rsidP="00A12811">
      <w:pPr>
        <w:shd w:val="clear" w:color="auto" w:fill="FFFFFF"/>
        <w:jc w:val="both"/>
        <w:rPr>
          <w:rFonts w:asciiTheme="majorHAnsi" w:hAnsiTheme="majorHAnsi"/>
          <w:lang w:val="en-GB"/>
        </w:rPr>
      </w:pPr>
      <w:r w:rsidRPr="00A04938">
        <w:rPr>
          <w:rFonts w:asciiTheme="majorHAnsi" w:hAnsiTheme="majorHAnsi"/>
          <w:lang w:val="en-GB"/>
        </w:rPr>
        <w:t>The</w:t>
      </w:r>
      <w:r>
        <w:rPr>
          <w:rFonts w:asciiTheme="majorHAnsi" w:hAnsiTheme="majorHAnsi"/>
          <w:lang w:val="en-GB"/>
        </w:rPr>
        <w:t xml:space="preserve"> Intergovernmental Network on Chemicals and Waste for Latin America and the Caribbean was established in 2016 by the</w:t>
      </w:r>
      <w:r w:rsidRPr="00A04938">
        <w:rPr>
          <w:rFonts w:asciiTheme="majorHAnsi" w:hAnsiTheme="majorHAnsi"/>
          <w:lang w:val="en-GB"/>
        </w:rPr>
        <w:t xml:space="preserve"> Forum of Ministers of the Environment of </w:t>
      </w:r>
      <w:r>
        <w:rPr>
          <w:rFonts w:asciiTheme="majorHAnsi" w:hAnsiTheme="majorHAnsi"/>
          <w:lang w:val="en-GB"/>
        </w:rPr>
        <w:t>the region. The Network plays an important role as a coordinating group</w:t>
      </w:r>
      <w:r w:rsidRPr="00A04938">
        <w:rPr>
          <w:rFonts w:asciiTheme="majorHAnsi" w:hAnsiTheme="majorHAnsi"/>
          <w:lang w:val="en-GB"/>
        </w:rPr>
        <w:t xml:space="preserve"> </w:t>
      </w:r>
      <w:r>
        <w:rPr>
          <w:rFonts w:asciiTheme="majorHAnsi" w:hAnsiTheme="majorHAnsi"/>
          <w:lang w:val="en-GB"/>
        </w:rPr>
        <w:t>to s</w:t>
      </w:r>
      <w:r w:rsidRPr="00A04938">
        <w:rPr>
          <w:rFonts w:asciiTheme="majorHAnsi" w:hAnsiTheme="majorHAnsi"/>
          <w:lang w:val="en-GB"/>
        </w:rPr>
        <w:t xml:space="preserve">trengthen </w:t>
      </w:r>
      <w:r>
        <w:rPr>
          <w:rFonts w:asciiTheme="majorHAnsi" w:hAnsiTheme="majorHAnsi"/>
          <w:lang w:val="en-GB"/>
        </w:rPr>
        <w:t xml:space="preserve">sub-regional and </w:t>
      </w:r>
      <w:r w:rsidRPr="00A04938">
        <w:rPr>
          <w:rFonts w:asciiTheme="majorHAnsi" w:hAnsiTheme="majorHAnsi"/>
          <w:lang w:val="en-GB"/>
        </w:rPr>
        <w:t>regional cooperation</w:t>
      </w:r>
      <w:r>
        <w:rPr>
          <w:rFonts w:asciiTheme="majorHAnsi" w:hAnsiTheme="majorHAnsi"/>
          <w:lang w:val="en-GB"/>
        </w:rPr>
        <w:t xml:space="preserve"> to forward the</w:t>
      </w:r>
      <w:r w:rsidRPr="00A04938">
        <w:rPr>
          <w:rFonts w:asciiTheme="majorHAnsi" w:hAnsiTheme="majorHAnsi"/>
          <w:lang w:val="en-GB"/>
        </w:rPr>
        <w:t xml:space="preserve"> implementation of the </w:t>
      </w:r>
      <w:r>
        <w:rPr>
          <w:rFonts w:asciiTheme="majorHAnsi" w:hAnsiTheme="majorHAnsi"/>
          <w:lang w:val="en-GB"/>
        </w:rPr>
        <w:t>chemicals and waste-related objectives</w:t>
      </w:r>
      <w:r w:rsidRPr="00A04938">
        <w:rPr>
          <w:rFonts w:asciiTheme="majorHAnsi" w:hAnsiTheme="majorHAnsi"/>
          <w:lang w:val="en-GB"/>
        </w:rPr>
        <w:t xml:space="preserve"> </w:t>
      </w:r>
      <w:r>
        <w:rPr>
          <w:rFonts w:asciiTheme="majorHAnsi" w:hAnsiTheme="majorHAnsi"/>
          <w:lang w:val="en-GB"/>
        </w:rPr>
        <w:t xml:space="preserve">of the </w:t>
      </w:r>
      <w:r w:rsidRPr="00A04938">
        <w:rPr>
          <w:rFonts w:asciiTheme="majorHAnsi" w:hAnsiTheme="majorHAnsi"/>
          <w:lang w:val="en-GB"/>
        </w:rPr>
        <w:t>2030 Agenda for Sustainable Development</w:t>
      </w:r>
      <w:r>
        <w:rPr>
          <w:rFonts w:asciiTheme="majorHAnsi" w:hAnsiTheme="majorHAnsi"/>
          <w:lang w:val="en-GB"/>
        </w:rPr>
        <w:t xml:space="preserve">. </w:t>
      </w:r>
    </w:p>
    <w:p w14:paraId="4E64E780" w14:textId="77777777" w:rsidR="00A12811" w:rsidRDefault="00A12811" w:rsidP="00A12811">
      <w:pPr>
        <w:shd w:val="clear" w:color="auto" w:fill="FFFFFF"/>
        <w:jc w:val="both"/>
        <w:rPr>
          <w:rFonts w:asciiTheme="majorHAnsi" w:hAnsiTheme="majorHAnsi"/>
          <w:lang w:val="en-GB"/>
        </w:rPr>
      </w:pPr>
    </w:p>
    <w:p w14:paraId="1012016E" w14:textId="77777777" w:rsidR="00A12811" w:rsidRDefault="00A12811" w:rsidP="00A12811">
      <w:pPr>
        <w:shd w:val="clear" w:color="auto" w:fill="FFFFFF"/>
        <w:jc w:val="both"/>
        <w:rPr>
          <w:rFonts w:asciiTheme="majorHAnsi" w:hAnsiTheme="majorHAnsi"/>
          <w:lang w:val="en-GB"/>
        </w:rPr>
      </w:pPr>
      <w:r>
        <w:rPr>
          <w:rFonts w:asciiTheme="majorHAnsi" w:hAnsiTheme="majorHAnsi"/>
          <w:lang w:val="en-GB"/>
        </w:rPr>
        <w:t>The Network operates as per Terms of Reference agreed by the Forum of Ministers, which have been further detailed in a document of Rules of Operation. The Network is comprised of the national governmental focal points nominated by each country of the region and it has a Steering Committee composed of</w:t>
      </w:r>
      <w:r w:rsidRPr="002931F8">
        <w:rPr>
          <w:rFonts w:asciiTheme="majorHAnsi" w:hAnsiTheme="majorHAnsi"/>
          <w:lang w:val="en-GB"/>
        </w:rPr>
        <w:t xml:space="preserve"> two members</w:t>
      </w:r>
      <w:r>
        <w:rPr>
          <w:rFonts w:asciiTheme="majorHAnsi" w:hAnsiTheme="majorHAnsi"/>
          <w:lang w:val="en-GB"/>
        </w:rPr>
        <w:t xml:space="preserve"> representing</w:t>
      </w:r>
      <w:r w:rsidRPr="002931F8">
        <w:rPr>
          <w:rFonts w:asciiTheme="majorHAnsi" w:hAnsiTheme="majorHAnsi"/>
          <w:lang w:val="en-GB"/>
        </w:rPr>
        <w:t xml:space="preserve"> each of the sub-regions (Mesoamerica, Caribbean, Andean and the Southern Cone)</w:t>
      </w:r>
      <w:r>
        <w:rPr>
          <w:rFonts w:asciiTheme="majorHAnsi" w:hAnsiTheme="majorHAnsi"/>
          <w:lang w:val="en-GB"/>
        </w:rPr>
        <w:t xml:space="preserve"> who are nominated for a period of two years. The Network also promotes the participation of other stakeholders in the region, encouraging an </w:t>
      </w:r>
      <w:proofErr w:type="spellStart"/>
      <w:r>
        <w:rPr>
          <w:rFonts w:asciiTheme="majorHAnsi" w:hAnsiTheme="majorHAnsi"/>
          <w:lang w:val="en-GB"/>
        </w:rPr>
        <w:t>intersectorial</w:t>
      </w:r>
      <w:proofErr w:type="spellEnd"/>
      <w:r>
        <w:rPr>
          <w:rFonts w:asciiTheme="majorHAnsi" w:hAnsiTheme="majorHAnsi"/>
          <w:lang w:val="en-GB"/>
        </w:rPr>
        <w:t xml:space="preserve"> and </w:t>
      </w:r>
      <w:proofErr w:type="spellStart"/>
      <w:r>
        <w:rPr>
          <w:rFonts w:asciiTheme="majorHAnsi" w:hAnsiTheme="majorHAnsi"/>
          <w:lang w:val="en-GB"/>
        </w:rPr>
        <w:t>multistakeholder</w:t>
      </w:r>
      <w:proofErr w:type="spellEnd"/>
      <w:r>
        <w:rPr>
          <w:rFonts w:asciiTheme="majorHAnsi" w:hAnsiTheme="majorHAnsi"/>
          <w:lang w:val="en-GB"/>
        </w:rPr>
        <w:t xml:space="preserve"> approach. </w:t>
      </w:r>
    </w:p>
    <w:p w14:paraId="1DCD89F7" w14:textId="77777777" w:rsidR="00A12811" w:rsidRDefault="00A12811" w:rsidP="00A12811">
      <w:pPr>
        <w:shd w:val="clear" w:color="auto" w:fill="FFFFFF"/>
        <w:jc w:val="both"/>
        <w:rPr>
          <w:rFonts w:asciiTheme="majorHAnsi" w:hAnsiTheme="majorHAnsi"/>
          <w:lang w:val="en-GB"/>
        </w:rPr>
      </w:pPr>
    </w:p>
    <w:p w14:paraId="71329AA0" w14:textId="77777777" w:rsidR="00A12811" w:rsidRDefault="00A12811" w:rsidP="00A12811">
      <w:pPr>
        <w:shd w:val="clear" w:color="auto" w:fill="FFFFFF"/>
        <w:jc w:val="both"/>
        <w:rPr>
          <w:rFonts w:asciiTheme="majorHAnsi" w:hAnsiTheme="majorHAnsi"/>
          <w:lang w:val="en-GB"/>
        </w:rPr>
      </w:pPr>
      <w:r w:rsidRPr="00294E4A">
        <w:rPr>
          <w:rFonts w:asciiTheme="majorHAnsi" w:hAnsiTheme="majorHAnsi"/>
          <w:lang w:val="en-GB"/>
        </w:rPr>
        <w:t xml:space="preserve">The Steering Committee </w:t>
      </w:r>
      <w:r>
        <w:rPr>
          <w:rFonts w:asciiTheme="majorHAnsi" w:hAnsiTheme="majorHAnsi"/>
          <w:lang w:val="en-GB"/>
        </w:rPr>
        <w:t>of the Network meets</w:t>
      </w:r>
      <w:r w:rsidRPr="00294E4A">
        <w:rPr>
          <w:rFonts w:asciiTheme="majorHAnsi" w:hAnsiTheme="majorHAnsi"/>
          <w:lang w:val="en-GB"/>
        </w:rPr>
        <w:t xml:space="preserve"> at least once per quarter by teleconference, and</w:t>
      </w:r>
      <w:r>
        <w:rPr>
          <w:rFonts w:asciiTheme="majorHAnsi" w:hAnsiTheme="majorHAnsi"/>
          <w:lang w:val="en-GB"/>
        </w:rPr>
        <w:t xml:space="preserve"> once per year face-to-face</w:t>
      </w:r>
      <w:r w:rsidRPr="00294E4A">
        <w:rPr>
          <w:rFonts w:asciiTheme="majorHAnsi" w:hAnsiTheme="majorHAnsi"/>
          <w:lang w:val="en-GB"/>
        </w:rPr>
        <w:t>.</w:t>
      </w:r>
      <w:r>
        <w:rPr>
          <w:rFonts w:asciiTheme="majorHAnsi" w:hAnsiTheme="majorHAnsi"/>
          <w:lang w:val="en-GB"/>
        </w:rPr>
        <w:t xml:space="preserve"> It has the mandate to guide, support, and monitor the planning and implementation of the activities of the Network, including the development, monitoring and reporting on a regional Action Plan, supervised by the Forum of Ministers of Environment. The Steering Committee is also the body to maintain the communication and continued coordination with the focal points in each sub-region. In addition to the meetings of the Steering Committee, all</w:t>
      </w:r>
      <w:r w:rsidRPr="00294E4A">
        <w:rPr>
          <w:rFonts w:asciiTheme="majorHAnsi" w:hAnsiTheme="majorHAnsi"/>
          <w:lang w:val="en-GB"/>
        </w:rPr>
        <w:t xml:space="preserve"> members of the Network </w:t>
      </w:r>
      <w:r>
        <w:rPr>
          <w:rFonts w:asciiTheme="majorHAnsi" w:hAnsiTheme="majorHAnsi"/>
          <w:lang w:val="en-GB"/>
        </w:rPr>
        <w:t>are expected to meet</w:t>
      </w:r>
      <w:r w:rsidRPr="00294E4A">
        <w:rPr>
          <w:rFonts w:asciiTheme="majorHAnsi" w:hAnsiTheme="majorHAnsi"/>
          <w:lang w:val="en-GB"/>
        </w:rPr>
        <w:t xml:space="preserve"> face-to-face at least once every two years,</w:t>
      </w:r>
      <w:r>
        <w:rPr>
          <w:rFonts w:asciiTheme="majorHAnsi" w:hAnsiTheme="majorHAnsi"/>
          <w:lang w:val="en-GB"/>
        </w:rPr>
        <w:t xml:space="preserve"> </w:t>
      </w:r>
      <w:r w:rsidRPr="00294E4A">
        <w:rPr>
          <w:rFonts w:asciiTheme="majorHAnsi" w:hAnsiTheme="majorHAnsi"/>
          <w:lang w:val="en-GB"/>
        </w:rPr>
        <w:t xml:space="preserve">subject to available resources. </w:t>
      </w:r>
    </w:p>
    <w:p w14:paraId="3D62DA6C" w14:textId="77777777" w:rsidR="00A12811" w:rsidRDefault="00A12811" w:rsidP="00A12811">
      <w:pPr>
        <w:shd w:val="clear" w:color="auto" w:fill="FFFFFF"/>
        <w:jc w:val="both"/>
        <w:rPr>
          <w:rFonts w:asciiTheme="majorHAnsi" w:hAnsiTheme="majorHAnsi"/>
          <w:lang w:val="en-GB"/>
        </w:rPr>
      </w:pPr>
      <w:r>
        <w:rPr>
          <w:rFonts w:asciiTheme="majorHAnsi" w:hAnsiTheme="majorHAnsi"/>
          <w:lang w:val="en-GB"/>
        </w:rPr>
        <w:t xml:space="preserve">                                                                                                                                     </w:t>
      </w:r>
    </w:p>
    <w:p w14:paraId="14622319" w14:textId="77777777" w:rsidR="00A12811" w:rsidRDefault="00A12811" w:rsidP="00A12811">
      <w:pPr>
        <w:shd w:val="clear" w:color="auto" w:fill="FFFFFF"/>
        <w:jc w:val="both"/>
        <w:rPr>
          <w:rFonts w:asciiTheme="majorHAnsi" w:hAnsiTheme="majorHAnsi"/>
          <w:lang w:val="en-GB"/>
        </w:rPr>
      </w:pPr>
      <w:r w:rsidRPr="00294E4A">
        <w:rPr>
          <w:rFonts w:asciiTheme="majorHAnsi" w:hAnsiTheme="majorHAnsi"/>
          <w:lang w:val="en-GB"/>
        </w:rPr>
        <w:t xml:space="preserve">The operation of the Network </w:t>
      </w:r>
      <w:r>
        <w:rPr>
          <w:rFonts w:asciiTheme="majorHAnsi" w:hAnsiTheme="majorHAnsi"/>
          <w:lang w:val="en-GB"/>
        </w:rPr>
        <w:t>is</w:t>
      </w:r>
      <w:r w:rsidRPr="00294E4A">
        <w:rPr>
          <w:rFonts w:asciiTheme="majorHAnsi" w:hAnsiTheme="majorHAnsi"/>
          <w:lang w:val="en-GB"/>
        </w:rPr>
        <w:t xml:space="preserve"> supported by the Secretariat of the LAC Forum</w:t>
      </w:r>
      <w:r>
        <w:rPr>
          <w:rFonts w:asciiTheme="majorHAnsi" w:hAnsiTheme="majorHAnsi"/>
          <w:lang w:val="en-GB"/>
        </w:rPr>
        <w:t xml:space="preserve"> </w:t>
      </w:r>
      <w:r w:rsidRPr="00294E4A">
        <w:rPr>
          <w:rFonts w:asciiTheme="majorHAnsi" w:hAnsiTheme="majorHAnsi"/>
          <w:lang w:val="en-GB"/>
        </w:rPr>
        <w:t>of Ministers</w:t>
      </w:r>
      <w:r>
        <w:rPr>
          <w:rFonts w:asciiTheme="majorHAnsi" w:hAnsiTheme="majorHAnsi"/>
          <w:lang w:val="en-GB"/>
        </w:rPr>
        <w:t xml:space="preserve"> of Environment</w:t>
      </w:r>
      <w:r w:rsidRPr="00294E4A">
        <w:rPr>
          <w:rFonts w:asciiTheme="majorHAnsi" w:hAnsiTheme="majorHAnsi"/>
          <w:lang w:val="en-GB"/>
        </w:rPr>
        <w:t>, which is in the UN</w:t>
      </w:r>
      <w:r>
        <w:rPr>
          <w:rFonts w:asciiTheme="majorHAnsi" w:hAnsiTheme="majorHAnsi"/>
          <w:lang w:val="en-GB"/>
        </w:rPr>
        <w:t xml:space="preserve"> </w:t>
      </w:r>
      <w:r w:rsidRPr="00294E4A">
        <w:rPr>
          <w:rFonts w:asciiTheme="majorHAnsi" w:hAnsiTheme="majorHAnsi"/>
          <w:lang w:val="en-GB"/>
        </w:rPr>
        <w:t>E</w:t>
      </w:r>
      <w:r>
        <w:rPr>
          <w:rFonts w:asciiTheme="majorHAnsi" w:hAnsiTheme="majorHAnsi"/>
          <w:lang w:val="en-GB"/>
        </w:rPr>
        <w:t>nvironment</w:t>
      </w:r>
      <w:r w:rsidRPr="00294E4A">
        <w:rPr>
          <w:rFonts w:asciiTheme="majorHAnsi" w:hAnsiTheme="majorHAnsi"/>
          <w:lang w:val="en-GB"/>
        </w:rPr>
        <w:t xml:space="preserve"> Office for Latin America and the</w:t>
      </w:r>
      <w:r>
        <w:rPr>
          <w:rFonts w:asciiTheme="majorHAnsi" w:hAnsiTheme="majorHAnsi"/>
          <w:lang w:val="en-GB"/>
        </w:rPr>
        <w:t xml:space="preserve"> </w:t>
      </w:r>
      <w:r w:rsidRPr="00294E4A">
        <w:rPr>
          <w:rFonts w:asciiTheme="majorHAnsi" w:hAnsiTheme="majorHAnsi"/>
          <w:lang w:val="en-GB"/>
        </w:rPr>
        <w:t>Caribbean. Among its functions, the Secretariat support</w:t>
      </w:r>
      <w:r>
        <w:rPr>
          <w:rFonts w:asciiTheme="majorHAnsi" w:hAnsiTheme="majorHAnsi"/>
          <w:lang w:val="en-GB"/>
        </w:rPr>
        <w:t>s</w:t>
      </w:r>
      <w:r w:rsidRPr="00294E4A">
        <w:rPr>
          <w:rFonts w:asciiTheme="majorHAnsi" w:hAnsiTheme="majorHAnsi"/>
          <w:lang w:val="en-GB"/>
        </w:rPr>
        <w:t xml:space="preserve"> the organization and</w:t>
      </w:r>
      <w:r>
        <w:rPr>
          <w:rFonts w:asciiTheme="majorHAnsi" w:hAnsiTheme="majorHAnsi"/>
          <w:lang w:val="en-GB"/>
        </w:rPr>
        <w:t xml:space="preserve"> </w:t>
      </w:r>
      <w:r w:rsidRPr="00294E4A">
        <w:rPr>
          <w:rFonts w:asciiTheme="majorHAnsi" w:hAnsiTheme="majorHAnsi"/>
          <w:lang w:val="en-GB"/>
        </w:rPr>
        <w:t>development of the meetings of the Steering Committee and the Network, as well as</w:t>
      </w:r>
      <w:r>
        <w:rPr>
          <w:rFonts w:asciiTheme="majorHAnsi" w:hAnsiTheme="majorHAnsi"/>
          <w:lang w:val="en-GB"/>
        </w:rPr>
        <w:t xml:space="preserve"> </w:t>
      </w:r>
      <w:r w:rsidRPr="00294E4A">
        <w:rPr>
          <w:rFonts w:asciiTheme="majorHAnsi" w:hAnsiTheme="majorHAnsi"/>
          <w:lang w:val="en-GB"/>
        </w:rPr>
        <w:t>the preparation of related documents, and the dissemination of information relevant</w:t>
      </w:r>
      <w:r>
        <w:rPr>
          <w:rFonts w:asciiTheme="majorHAnsi" w:hAnsiTheme="majorHAnsi"/>
          <w:lang w:val="en-GB"/>
        </w:rPr>
        <w:t xml:space="preserve"> </w:t>
      </w:r>
      <w:r w:rsidRPr="00294E4A">
        <w:rPr>
          <w:rFonts w:asciiTheme="majorHAnsi" w:hAnsiTheme="majorHAnsi"/>
          <w:lang w:val="en-GB"/>
        </w:rPr>
        <w:t>for the purpose and functioning of the Network. The Secretariat also support</w:t>
      </w:r>
      <w:r>
        <w:rPr>
          <w:rFonts w:asciiTheme="majorHAnsi" w:hAnsiTheme="majorHAnsi"/>
          <w:lang w:val="en-GB"/>
        </w:rPr>
        <w:t>s</w:t>
      </w:r>
      <w:r w:rsidRPr="00294E4A">
        <w:rPr>
          <w:rFonts w:asciiTheme="majorHAnsi" w:hAnsiTheme="majorHAnsi"/>
          <w:lang w:val="en-GB"/>
        </w:rPr>
        <w:t xml:space="preserve"> the</w:t>
      </w:r>
      <w:r>
        <w:rPr>
          <w:rFonts w:asciiTheme="majorHAnsi" w:hAnsiTheme="majorHAnsi"/>
          <w:lang w:val="en-GB"/>
        </w:rPr>
        <w:t xml:space="preserve"> </w:t>
      </w:r>
      <w:r w:rsidRPr="00294E4A">
        <w:rPr>
          <w:rFonts w:asciiTheme="majorHAnsi" w:hAnsiTheme="majorHAnsi"/>
          <w:lang w:val="en-GB"/>
        </w:rPr>
        <w:t>development of the activities of the Network, when required, subject to the</w:t>
      </w:r>
      <w:r>
        <w:rPr>
          <w:rFonts w:asciiTheme="majorHAnsi" w:hAnsiTheme="majorHAnsi"/>
          <w:lang w:val="en-GB"/>
        </w:rPr>
        <w:t xml:space="preserve"> </w:t>
      </w:r>
      <w:r w:rsidRPr="00294E4A">
        <w:rPr>
          <w:rFonts w:asciiTheme="majorHAnsi" w:hAnsiTheme="majorHAnsi"/>
          <w:lang w:val="en-GB"/>
        </w:rPr>
        <w:t>availability of resources.</w:t>
      </w:r>
    </w:p>
    <w:p w14:paraId="13E942F6" w14:textId="77777777" w:rsidR="00A12811" w:rsidRDefault="00A12811" w:rsidP="00A12811">
      <w:pPr>
        <w:shd w:val="clear" w:color="auto" w:fill="FFFFFF"/>
        <w:jc w:val="both"/>
        <w:rPr>
          <w:rFonts w:asciiTheme="majorHAnsi" w:hAnsiTheme="majorHAnsi"/>
          <w:lang w:val="en-GB"/>
        </w:rPr>
      </w:pPr>
    </w:p>
    <w:p w14:paraId="76BA98C7" w14:textId="77777777" w:rsidR="00A12811" w:rsidRDefault="00A12811" w:rsidP="00A12811">
      <w:pPr>
        <w:shd w:val="clear" w:color="auto" w:fill="FFFFFF"/>
        <w:jc w:val="both"/>
        <w:rPr>
          <w:rFonts w:asciiTheme="majorHAnsi" w:hAnsiTheme="majorHAnsi"/>
          <w:lang w:val="en-GB"/>
        </w:rPr>
      </w:pPr>
      <w:r w:rsidRPr="00294E4A">
        <w:rPr>
          <w:rFonts w:asciiTheme="majorHAnsi" w:hAnsiTheme="majorHAnsi"/>
          <w:lang w:val="en-GB"/>
        </w:rPr>
        <w:t xml:space="preserve">English and Spanish </w:t>
      </w:r>
      <w:r>
        <w:rPr>
          <w:rFonts w:asciiTheme="majorHAnsi" w:hAnsiTheme="majorHAnsi"/>
          <w:lang w:val="en-GB"/>
        </w:rPr>
        <w:t>are</w:t>
      </w:r>
      <w:r w:rsidRPr="00294E4A">
        <w:rPr>
          <w:rFonts w:asciiTheme="majorHAnsi" w:hAnsiTheme="majorHAnsi"/>
          <w:lang w:val="en-GB"/>
        </w:rPr>
        <w:t xml:space="preserve"> the working languages of the Network. Efforts </w:t>
      </w:r>
      <w:r>
        <w:rPr>
          <w:rFonts w:asciiTheme="majorHAnsi" w:hAnsiTheme="majorHAnsi"/>
          <w:lang w:val="en-GB"/>
        </w:rPr>
        <w:t xml:space="preserve">are </w:t>
      </w:r>
      <w:r w:rsidRPr="00294E4A">
        <w:rPr>
          <w:rFonts w:asciiTheme="majorHAnsi" w:hAnsiTheme="majorHAnsi"/>
          <w:lang w:val="en-GB"/>
        </w:rPr>
        <w:t>made to ensure that all documents</w:t>
      </w:r>
      <w:r>
        <w:rPr>
          <w:rFonts w:asciiTheme="majorHAnsi" w:hAnsiTheme="majorHAnsi"/>
          <w:lang w:val="en-GB"/>
        </w:rPr>
        <w:t xml:space="preserve"> and material</w:t>
      </w:r>
      <w:r w:rsidRPr="00294E4A">
        <w:rPr>
          <w:rFonts w:asciiTheme="majorHAnsi" w:hAnsiTheme="majorHAnsi"/>
          <w:lang w:val="en-GB"/>
        </w:rPr>
        <w:t xml:space="preserve"> related with the Network are </w:t>
      </w:r>
      <w:r>
        <w:rPr>
          <w:rFonts w:asciiTheme="majorHAnsi" w:hAnsiTheme="majorHAnsi"/>
          <w:lang w:val="en-GB"/>
        </w:rPr>
        <w:t xml:space="preserve">developed and </w:t>
      </w:r>
      <w:r w:rsidRPr="00294E4A">
        <w:rPr>
          <w:rFonts w:asciiTheme="majorHAnsi" w:hAnsiTheme="majorHAnsi"/>
          <w:lang w:val="en-GB"/>
        </w:rPr>
        <w:t>circulated in both</w:t>
      </w:r>
      <w:r>
        <w:rPr>
          <w:rFonts w:asciiTheme="majorHAnsi" w:hAnsiTheme="majorHAnsi"/>
          <w:lang w:val="en-GB"/>
        </w:rPr>
        <w:t xml:space="preserve"> </w:t>
      </w:r>
      <w:r w:rsidRPr="00294E4A">
        <w:rPr>
          <w:rFonts w:asciiTheme="majorHAnsi" w:hAnsiTheme="majorHAnsi"/>
          <w:lang w:val="en-GB"/>
        </w:rPr>
        <w:t>languages.</w:t>
      </w:r>
    </w:p>
    <w:p w14:paraId="6F83FA15" w14:textId="77777777" w:rsidR="00A12811" w:rsidRDefault="00A12811" w:rsidP="00A12811">
      <w:pPr>
        <w:shd w:val="clear" w:color="auto" w:fill="FFFFFF"/>
        <w:jc w:val="both"/>
        <w:rPr>
          <w:rFonts w:asciiTheme="majorHAnsi" w:hAnsiTheme="majorHAnsi"/>
          <w:lang w:val="en-GB"/>
        </w:rPr>
      </w:pPr>
    </w:p>
    <w:p w14:paraId="351DF822" w14:textId="5C555DF4" w:rsidR="00570E29" w:rsidRDefault="00570E29" w:rsidP="00A12811">
      <w:pPr>
        <w:shd w:val="clear" w:color="auto" w:fill="FFFFFF"/>
        <w:jc w:val="both"/>
        <w:rPr>
          <w:rFonts w:asciiTheme="majorHAnsi" w:hAnsiTheme="majorHAnsi"/>
          <w:lang w:val="en-GB"/>
        </w:rPr>
      </w:pPr>
    </w:p>
    <w:p w14:paraId="52022EAF" w14:textId="38C5CFA2" w:rsidR="00A264F9" w:rsidRDefault="00A264F9" w:rsidP="00A12811">
      <w:pPr>
        <w:shd w:val="clear" w:color="auto" w:fill="FFFFFF"/>
        <w:jc w:val="both"/>
        <w:rPr>
          <w:rFonts w:asciiTheme="majorHAnsi" w:hAnsiTheme="majorHAnsi"/>
          <w:lang w:val="en-GB"/>
        </w:rPr>
      </w:pPr>
    </w:p>
    <w:p w14:paraId="17BB4E73" w14:textId="77777777" w:rsidR="00A264F9" w:rsidRPr="00D24ED5" w:rsidRDefault="00A264F9" w:rsidP="00A12811">
      <w:pPr>
        <w:shd w:val="clear" w:color="auto" w:fill="FFFFFF"/>
        <w:jc w:val="both"/>
        <w:rPr>
          <w:rFonts w:asciiTheme="majorHAnsi" w:hAnsiTheme="majorHAnsi"/>
          <w:lang w:val="en-GB"/>
        </w:rPr>
      </w:pPr>
    </w:p>
    <w:p w14:paraId="59C4F79B" w14:textId="77777777" w:rsidR="00A12811" w:rsidRPr="00F47C5E" w:rsidRDefault="00A12811" w:rsidP="00A12811">
      <w:pPr>
        <w:pStyle w:val="Heading2"/>
      </w:pPr>
      <w:bookmarkStart w:id="3" w:name="_Toc523242058"/>
      <w:r w:rsidRPr="00F47C5E">
        <w:lastRenderedPageBreak/>
        <w:t xml:space="preserve">The </w:t>
      </w:r>
      <w:r>
        <w:t xml:space="preserve">2019-2020 </w:t>
      </w:r>
      <w:r w:rsidRPr="00F47C5E">
        <w:t>biennium action plan</w:t>
      </w:r>
      <w:bookmarkEnd w:id="3"/>
    </w:p>
    <w:p w14:paraId="745BEB8B" w14:textId="77777777" w:rsidR="00A12811" w:rsidRDefault="00A12811" w:rsidP="00A12811">
      <w:pPr>
        <w:shd w:val="clear" w:color="auto" w:fill="FFFFFF"/>
        <w:jc w:val="both"/>
        <w:rPr>
          <w:rFonts w:asciiTheme="majorHAnsi" w:hAnsiTheme="majorHAnsi"/>
          <w:lang w:val="en-GB"/>
        </w:rPr>
      </w:pPr>
    </w:p>
    <w:p w14:paraId="05682577" w14:textId="77777777" w:rsidR="00A12811" w:rsidRDefault="00A12811" w:rsidP="00A12811">
      <w:pPr>
        <w:jc w:val="both"/>
        <w:rPr>
          <w:rFonts w:asciiTheme="majorHAnsi" w:hAnsiTheme="majorHAnsi"/>
          <w:lang w:val="en-GB"/>
        </w:rPr>
      </w:pPr>
      <w:r>
        <w:rPr>
          <w:rFonts w:asciiTheme="majorHAnsi" w:hAnsiTheme="majorHAnsi"/>
          <w:lang w:val="en-GB"/>
        </w:rPr>
        <w:t>In 2017, under mandate by the LAC Forum of Ministers of Environment, the Steering Committee lead the development process of a 2019-2020 Biennium Action Plan, with support of a specialized Working Group, and in coordination with all the Network’s national focal points</w:t>
      </w:r>
      <w:r w:rsidRPr="00A04938">
        <w:rPr>
          <w:rFonts w:asciiTheme="majorHAnsi" w:hAnsiTheme="majorHAnsi"/>
          <w:lang w:val="en-GB"/>
        </w:rPr>
        <w:t>.</w:t>
      </w:r>
      <w:r>
        <w:rPr>
          <w:rFonts w:asciiTheme="majorHAnsi" w:hAnsiTheme="majorHAnsi"/>
          <w:lang w:val="en-GB"/>
        </w:rPr>
        <w:t xml:space="preserve"> The Action Plan is developed to address priority issues on chemicals and waste management identified by national focal points from 28 countries of the region, which answered to a survey prepared with this purpose (representing a 70% response rate). </w:t>
      </w:r>
    </w:p>
    <w:p w14:paraId="0772045A" w14:textId="77777777" w:rsidR="00A12811" w:rsidRDefault="00A12811" w:rsidP="00A12811">
      <w:pPr>
        <w:jc w:val="both"/>
        <w:rPr>
          <w:rFonts w:asciiTheme="majorHAnsi" w:hAnsiTheme="majorHAnsi"/>
          <w:lang w:val="en-GB"/>
        </w:rPr>
      </w:pPr>
    </w:p>
    <w:p w14:paraId="3C1D9410" w14:textId="77777777" w:rsidR="00A12811" w:rsidRDefault="00A12811" w:rsidP="00A12811">
      <w:pPr>
        <w:jc w:val="both"/>
        <w:rPr>
          <w:rFonts w:asciiTheme="majorHAnsi" w:hAnsiTheme="majorHAnsi"/>
          <w:lang w:val="en-GB"/>
        </w:rPr>
      </w:pPr>
      <w:r>
        <w:rPr>
          <w:rFonts w:asciiTheme="majorHAnsi" w:hAnsiTheme="majorHAnsi"/>
          <w:lang w:val="en-GB"/>
        </w:rPr>
        <w:t>The draft 2019-2020 Biennium Action Plan of the Network includes six main topics or work areas:</w:t>
      </w:r>
    </w:p>
    <w:p w14:paraId="55C5F976" w14:textId="77777777" w:rsidR="00A12811" w:rsidRDefault="00A12811" w:rsidP="00A12811">
      <w:pPr>
        <w:jc w:val="both"/>
        <w:rPr>
          <w:rFonts w:asciiTheme="majorHAnsi" w:hAnsiTheme="majorHAnsi"/>
          <w:lang w:val="en-GB"/>
        </w:rPr>
      </w:pPr>
    </w:p>
    <w:p w14:paraId="270000EE" w14:textId="77777777" w:rsidR="00A12811" w:rsidRPr="00DE46E4" w:rsidRDefault="00A12811" w:rsidP="00A12811">
      <w:pPr>
        <w:pStyle w:val="ListParagraph"/>
        <w:numPr>
          <w:ilvl w:val="0"/>
          <w:numId w:val="1"/>
        </w:numPr>
        <w:jc w:val="both"/>
        <w:rPr>
          <w:rFonts w:asciiTheme="majorHAnsi" w:hAnsiTheme="majorHAnsi"/>
          <w:lang w:val="en-GB"/>
        </w:rPr>
      </w:pPr>
      <w:r w:rsidRPr="00DE46E4">
        <w:rPr>
          <w:rFonts w:asciiTheme="majorHAnsi" w:hAnsiTheme="majorHAnsi"/>
          <w:lang w:val="en-GB"/>
        </w:rPr>
        <w:t>Governance, coordination mechanisms and international presence</w:t>
      </w:r>
    </w:p>
    <w:p w14:paraId="463074DD" w14:textId="77777777" w:rsidR="00A12811" w:rsidRDefault="00A12811" w:rsidP="00A12811">
      <w:pPr>
        <w:pStyle w:val="ListParagraph"/>
        <w:numPr>
          <w:ilvl w:val="0"/>
          <w:numId w:val="1"/>
        </w:numPr>
        <w:jc w:val="both"/>
        <w:rPr>
          <w:rFonts w:asciiTheme="majorHAnsi" w:hAnsiTheme="majorHAnsi"/>
          <w:lang w:val="en-GB"/>
        </w:rPr>
      </w:pPr>
      <w:r>
        <w:rPr>
          <w:rFonts w:asciiTheme="majorHAnsi" w:hAnsiTheme="majorHAnsi"/>
          <w:lang w:val="en-GB"/>
        </w:rPr>
        <w:t>Knowledge, information and monitoring</w:t>
      </w:r>
    </w:p>
    <w:p w14:paraId="4C002A49" w14:textId="77777777" w:rsidR="00A12811" w:rsidRDefault="00A12811" w:rsidP="00A12811">
      <w:pPr>
        <w:pStyle w:val="ListParagraph"/>
        <w:numPr>
          <w:ilvl w:val="0"/>
          <w:numId w:val="1"/>
        </w:numPr>
        <w:jc w:val="both"/>
        <w:rPr>
          <w:rFonts w:asciiTheme="majorHAnsi" w:hAnsiTheme="majorHAnsi"/>
          <w:lang w:val="en-GB"/>
        </w:rPr>
      </w:pPr>
      <w:r>
        <w:rPr>
          <w:rFonts w:asciiTheme="majorHAnsi" w:hAnsiTheme="majorHAnsi"/>
          <w:lang w:val="en-GB"/>
        </w:rPr>
        <w:t>Priority topics under the Strategic Approach to International Chemicals Management (SAICM) Global Plan of Action</w:t>
      </w:r>
    </w:p>
    <w:p w14:paraId="3D6310DB" w14:textId="77777777" w:rsidR="00A12811" w:rsidRDefault="00A12811" w:rsidP="00A12811">
      <w:pPr>
        <w:pStyle w:val="ListParagraph"/>
        <w:numPr>
          <w:ilvl w:val="0"/>
          <w:numId w:val="1"/>
        </w:numPr>
        <w:jc w:val="both"/>
        <w:rPr>
          <w:rFonts w:asciiTheme="majorHAnsi" w:hAnsiTheme="majorHAnsi"/>
          <w:lang w:val="en-GB"/>
        </w:rPr>
      </w:pPr>
      <w:r>
        <w:rPr>
          <w:rFonts w:asciiTheme="majorHAnsi" w:hAnsiTheme="majorHAnsi"/>
          <w:lang w:val="en-GB"/>
        </w:rPr>
        <w:t>Basel, Rotterdam and Stockholm Conventions</w:t>
      </w:r>
    </w:p>
    <w:p w14:paraId="1C8A6F56" w14:textId="77777777" w:rsidR="00A12811" w:rsidRDefault="00A12811" w:rsidP="00A12811">
      <w:pPr>
        <w:pStyle w:val="ListParagraph"/>
        <w:numPr>
          <w:ilvl w:val="0"/>
          <w:numId w:val="1"/>
        </w:numPr>
        <w:jc w:val="both"/>
        <w:rPr>
          <w:rFonts w:asciiTheme="majorHAnsi" w:hAnsiTheme="majorHAnsi"/>
          <w:lang w:val="en-GB"/>
        </w:rPr>
      </w:pPr>
      <w:r>
        <w:rPr>
          <w:rFonts w:asciiTheme="majorHAnsi" w:hAnsiTheme="majorHAnsi"/>
          <w:lang w:val="en-GB"/>
        </w:rPr>
        <w:t>Mercury and lead</w:t>
      </w:r>
    </w:p>
    <w:p w14:paraId="05DDFE8D" w14:textId="77777777" w:rsidR="00A12811" w:rsidRPr="00CE57D3" w:rsidRDefault="00A12811" w:rsidP="00A12811">
      <w:pPr>
        <w:pStyle w:val="ListParagraph"/>
        <w:numPr>
          <w:ilvl w:val="0"/>
          <w:numId w:val="1"/>
        </w:numPr>
        <w:jc w:val="both"/>
        <w:rPr>
          <w:rFonts w:asciiTheme="majorHAnsi" w:hAnsiTheme="majorHAnsi"/>
          <w:lang w:val="en-GB"/>
        </w:rPr>
      </w:pPr>
      <w:r>
        <w:rPr>
          <w:rFonts w:asciiTheme="majorHAnsi" w:hAnsiTheme="majorHAnsi"/>
          <w:lang w:val="en-GB"/>
        </w:rPr>
        <w:t>Waste management</w:t>
      </w:r>
    </w:p>
    <w:p w14:paraId="307B2590" w14:textId="77777777" w:rsidR="00A12811" w:rsidRDefault="00A12811" w:rsidP="00A12811">
      <w:pPr>
        <w:shd w:val="clear" w:color="auto" w:fill="FFFFFF"/>
        <w:jc w:val="both"/>
        <w:rPr>
          <w:rFonts w:asciiTheme="majorHAnsi" w:hAnsiTheme="majorHAnsi"/>
          <w:lang w:val="en-GB"/>
        </w:rPr>
      </w:pPr>
    </w:p>
    <w:p w14:paraId="7F5CE3F2" w14:textId="77777777" w:rsidR="00A12811" w:rsidRPr="00AA3C64" w:rsidRDefault="00A12811" w:rsidP="00A12811">
      <w:pPr>
        <w:jc w:val="both"/>
        <w:rPr>
          <w:rFonts w:asciiTheme="majorHAnsi" w:hAnsiTheme="majorHAnsi"/>
        </w:rPr>
      </w:pPr>
      <w:r>
        <w:rPr>
          <w:rFonts w:asciiTheme="majorHAnsi" w:hAnsiTheme="majorHAnsi"/>
          <w:lang w:val="en-GB"/>
        </w:rPr>
        <w:t>The plan includes 19 priority sub-topics under the main work areas above, which address priority issues identified by national focal points from the region</w:t>
      </w:r>
      <w:r w:rsidRPr="00D77DFD">
        <w:rPr>
          <w:rFonts w:asciiTheme="majorHAnsi" w:hAnsiTheme="majorHAnsi"/>
          <w:lang w:val="en-GB"/>
        </w:rPr>
        <w:t xml:space="preserve">. </w:t>
      </w:r>
      <w:r w:rsidRPr="00AA3C64">
        <w:rPr>
          <w:rFonts w:asciiTheme="majorHAnsi" w:hAnsiTheme="majorHAnsi"/>
          <w:lang w:val="en"/>
        </w:rPr>
        <w:t>The action plan is part of the documentation to be presented at the XXI Meeting of the Forum of Ministers of the Environment of Latin America and the Caribbean (Buenos Aires, Argentina, 9-12 October 2018).</w:t>
      </w:r>
    </w:p>
    <w:p w14:paraId="29A1A491" w14:textId="77777777" w:rsidR="00A12811" w:rsidRDefault="00A12811" w:rsidP="00A12811">
      <w:pPr>
        <w:shd w:val="clear" w:color="auto" w:fill="FFFFFF"/>
        <w:jc w:val="both"/>
        <w:rPr>
          <w:rFonts w:asciiTheme="majorHAnsi" w:hAnsiTheme="majorHAnsi"/>
          <w:lang w:val="en-GB"/>
        </w:rPr>
      </w:pPr>
    </w:p>
    <w:p w14:paraId="393306A6" w14:textId="77777777" w:rsidR="00A12811" w:rsidRDefault="00A12811" w:rsidP="00A12811">
      <w:pPr>
        <w:pStyle w:val="Heading2"/>
        <w:rPr>
          <w:lang w:val="en-GB"/>
        </w:rPr>
      </w:pPr>
      <w:bookmarkStart w:id="4" w:name="_Toc509924869"/>
      <w:bookmarkStart w:id="5" w:name="_Toc523242059"/>
      <w:r>
        <w:rPr>
          <w:lang w:val="en-GB"/>
        </w:rPr>
        <w:t>The Resource Mobilization Strategy (RMS) for the Network and its objectives</w:t>
      </w:r>
      <w:bookmarkEnd w:id="4"/>
      <w:bookmarkEnd w:id="5"/>
    </w:p>
    <w:p w14:paraId="7592DC14" w14:textId="77777777" w:rsidR="00A12811" w:rsidRDefault="00A12811" w:rsidP="00A12811">
      <w:pPr>
        <w:shd w:val="clear" w:color="auto" w:fill="FFFFFF"/>
        <w:jc w:val="both"/>
        <w:rPr>
          <w:rFonts w:asciiTheme="majorHAnsi" w:hAnsiTheme="majorHAnsi"/>
          <w:lang w:val="en-GB"/>
        </w:rPr>
      </w:pPr>
    </w:p>
    <w:p w14:paraId="1E11D9F0" w14:textId="77777777" w:rsidR="00A12811" w:rsidRDefault="00A12811" w:rsidP="00A12811">
      <w:pPr>
        <w:shd w:val="clear" w:color="auto" w:fill="FFFFFF"/>
        <w:jc w:val="both"/>
        <w:rPr>
          <w:rFonts w:asciiTheme="majorHAnsi" w:hAnsiTheme="majorHAnsi"/>
          <w:lang w:val="en-GB"/>
        </w:rPr>
      </w:pPr>
      <w:r>
        <w:rPr>
          <w:rFonts w:asciiTheme="majorHAnsi" w:hAnsiTheme="majorHAnsi"/>
          <w:lang w:val="en-GB"/>
        </w:rPr>
        <w:t>This RMS has been developed under the consultation of the Network´s Steering Committee.</w:t>
      </w:r>
    </w:p>
    <w:p w14:paraId="2DE28A9B" w14:textId="77777777" w:rsidR="00A12811" w:rsidRDefault="00A12811" w:rsidP="00A12811">
      <w:pPr>
        <w:shd w:val="clear" w:color="auto" w:fill="FFFFFF"/>
        <w:jc w:val="both"/>
        <w:rPr>
          <w:rFonts w:asciiTheme="majorHAnsi" w:hAnsiTheme="majorHAnsi"/>
          <w:lang w:val="en-GB"/>
        </w:rPr>
      </w:pPr>
    </w:p>
    <w:p w14:paraId="66EC1B8C" w14:textId="77777777" w:rsidR="00A12811" w:rsidRDefault="00A12811" w:rsidP="00A12811">
      <w:pPr>
        <w:shd w:val="clear" w:color="auto" w:fill="FFFFFF"/>
        <w:jc w:val="both"/>
        <w:rPr>
          <w:rFonts w:asciiTheme="majorHAnsi" w:hAnsiTheme="majorHAnsi"/>
          <w:lang w:val="en-GB"/>
        </w:rPr>
      </w:pPr>
      <w:r>
        <w:rPr>
          <w:rFonts w:asciiTheme="majorHAnsi" w:hAnsiTheme="majorHAnsi"/>
          <w:lang w:val="en-GB"/>
        </w:rPr>
        <w:t xml:space="preserve">The main objective of this RMS is to ensure sustainable resources streams for an effective implementation of the 2019-2020 Biennium Action Plan of the Network and for the operation of the Network (ordinary and extraordinary meetings, coordination activities, Secretariat tasks, development of material for the Network and for dissemination, translation of documents and simultaneous interpretation of meetings, among others). </w:t>
      </w:r>
    </w:p>
    <w:p w14:paraId="0AE9AF64" w14:textId="77777777" w:rsidR="00A12811" w:rsidRDefault="00A12811" w:rsidP="00A12811">
      <w:pPr>
        <w:shd w:val="clear" w:color="auto" w:fill="FFFFFF"/>
        <w:jc w:val="both"/>
        <w:rPr>
          <w:rFonts w:asciiTheme="majorHAnsi" w:hAnsiTheme="majorHAnsi"/>
          <w:lang w:val="en-GB"/>
        </w:rPr>
      </w:pPr>
    </w:p>
    <w:p w14:paraId="41FA4786" w14:textId="77777777" w:rsidR="00A12811" w:rsidRDefault="00A12811" w:rsidP="00A12811">
      <w:pPr>
        <w:shd w:val="clear" w:color="auto" w:fill="FFFFFF"/>
        <w:jc w:val="both"/>
        <w:rPr>
          <w:rFonts w:asciiTheme="majorHAnsi" w:hAnsiTheme="majorHAnsi"/>
          <w:lang w:val="en-GB"/>
        </w:rPr>
      </w:pPr>
      <w:r>
        <w:rPr>
          <w:rFonts w:asciiTheme="majorHAnsi" w:hAnsiTheme="majorHAnsi"/>
          <w:lang w:val="en-GB"/>
        </w:rPr>
        <w:t>The specific objectives of the strategy are:</w:t>
      </w:r>
    </w:p>
    <w:p w14:paraId="3996C25C" w14:textId="77777777" w:rsidR="00A12811" w:rsidRDefault="00A12811" w:rsidP="00A12811">
      <w:pPr>
        <w:shd w:val="clear" w:color="auto" w:fill="FFFFFF"/>
        <w:jc w:val="both"/>
        <w:rPr>
          <w:rFonts w:asciiTheme="majorHAnsi" w:hAnsiTheme="majorHAnsi"/>
          <w:lang w:val="en-GB"/>
        </w:rPr>
      </w:pPr>
    </w:p>
    <w:p w14:paraId="67AB25BA" w14:textId="77777777" w:rsidR="00A12811" w:rsidRDefault="00A12811" w:rsidP="00A12811">
      <w:pPr>
        <w:pStyle w:val="ListParagraph"/>
        <w:numPr>
          <w:ilvl w:val="0"/>
          <w:numId w:val="5"/>
        </w:numPr>
        <w:jc w:val="both"/>
        <w:rPr>
          <w:rFonts w:asciiTheme="majorHAnsi" w:hAnsiTheme="majorHAnsi"/>
          <w:lang w:val="en-GB"/>
        </w:rPr>
      </w:pPr>
      <w:r>
        <w:rPr>
          <w:rFonts w:asciiTheme="majorHAnsi" w:hAnsiTheme="majorHAnsi"/>
          <w:lang w:val="en-GB"/>
        </w:rPr>
        <w:t>To establish the resource mobilization principles for the Network;</w:t>
      </w:r>
    </w:p>
    <w:p w14:paraId="2BD33666" w14:textId="77777777" w:rsidR="00A12811" w:rsidRDefault="00A12811" w:rsidP="00A12811">
      <w:pPr>
        <w:pStyle w:val="ListParagraph"/>
        <w:numPr>
          <w:ilvl w:val="0"/>
          <w:numId w:val="5"/>
        </w:numPr>
        <w:jc w:val="both"/>
        <w:rPr>
          <w:rFonts w:asciiTheme="majorHAnsi" w:hAnsiTheme="majorHAnsi"/>
          <w:lang w:val="en-GB"/>
        </w:rPr>
      </w:pPr>
      <w:r>
        <w:rPr>
          <w:rFonts w:asciiTheme="majorHAnsi" w:hAnsiTheme="majorHAnsi"/>
          <w:lang w:val="en-GB"/>
        </w:rPr>
        <w:t>To identify the Network resource needs</w:t>
      </w:r>
    </w:p>
    <w:p w14:paraId="60DABB1F" w14:textId="77777777" w:rsidR="00A12811" w:rsidRDefault="00A12811" w:rsidP="00A12811">
      <w:pPr>
        <w:pStyle w:val="ListParagraph"/>
        <w:numPr>
          <w:ilvl w:val="0"/>
          <w:numId w:val="5"/>
        </w:numPr>
        <w:jc w:val="both"/>
        <w:rPr>
          <w:rFonts w:asciiTheme="majorHAnsi" w:hAnsiTheme="majorHAnsi"/>
          <w:lang w:val="en-GB"/>
        </w:rPr>
      </w:pPr>
      <w:r>
        <w:rPr>
          <w:rFonts w:asciiTheme="majorHAnsi" w:hAnsiTheme="majorHAnsi"/>
          <w:lang w:val="en-GB"/>
        </w:rPr>
        <w:t>To define the main partners and potential and donors for the Network</w:t>
      </w:r>
    </w:p>
    <w:p w14:paraId="42498CD2" w14:textId="77777777" w:rsidR="00A12811" w:rsidRDefault="00A12811" w:rsidP="00A12811">
      <w:pPr>
        <w:pStyle w:val="ListParagraph"/>
        <w:numPr>
          <w:ilvl w:val="0"/>
          <w:numId w:val="5"/>
        </w:numPr>
        <w:jc w:val="both"/>
        <w:rPr>
          <w:rFonts w:asciiTheme="majorHAnsi" w:hAnsiTheme="majorHAnsi"/>
          <w:lang w:val="en-GB"/>
        </w:rPr>
      </w:pPr>
      <w:r>
        <w:rPr>
          <w:rFonts w:asciiTheme="majorHAnsi" w:hAnsiTheme="majorHAnsi"/>
          <w:lang w:val="en-GB"/>
        </w:rPr>
        <w:t>To identify immediate actions by the Network to mobilize resources for the 2019-2020 biennium</w:t>
      </w:r>
    </w:p>
    <w:p w14:paraId="1AAC3819" w14:textId="77777777" w:rsidR="00A12811" w:rsidRDefault="00A12811" w:rsidP="00A12811">
      <w:pPr>
        <w:pStyle w:val="Heading1"/>
        <w:rPr>
          <w:lang w:val="en-GB"/>
        </w:rPr>
      </w:pPr>
      <w:bookmarkStart w:id="6" w:name="_Toc523242060"/>
      <w:r>
        <w:rPr>
          <w:lang w:val="en-GB"/>
        </w:rPr>
        <w:lastRenderedPageBreak/>
        <w:t>Guiding strategic principles of the RMS</w:t>
      </w:r>
      <w:bookmarkEnd w:id="6"/>
    </w:p>
    <w:p w14:paraId="5BF0C875" w14:textId="77777777" w:rsidR="00A12811" w:rsidRDefault="00A12811" w:rsidP="00A12811"/>
    <w:p w14:paraId="3F47253E" w14:textId="77777777" w:rsidR="00A12811" w:rsidRDefault="00A12811" w:rsidP="00A12811">
      <w:pPr>
        <w:rPr>
          <w:rFonts w:asciiTheme="majorHAnsi" w:hAnsiTheme="majorHAnsi"/>
        </w:rPr>
      </w:pPr>
      <w:r>
        <w:rPr>
          <w:rFonts w:asciiTheme="majorHAnsi" w:hAnsiTheme="majorHAnsi"/>
        </w:rPr>
        <w:t>The Network’s RMS will comply with the following principles:</w:t>
      </w:r>
    </w:p>
    <w:p w14:paraId="276C9537" w14:textId="77777777" w:rsidR="00A12811" w:rsidRDefault="00A12811" w:rsidP="00A12811">
      <w:pPr>
        <w:rPr>
          <w:rFonts w:asciiTheme="majorHAnsi" w:hAnsiTheme="majorHAnsi"/>
        </w:rPr>
      </w:pPr>
    </w:p>
    <w:p w14:paraId="0BA522B8" w14:textId="77777777" w:rsidR="00A12811" w:rsidRPr="004109E4" w:rsidRDefault="00A12811" w:rsidP="00A12811">
      <w:pPr>
        <w:jc w:val="both"/>
        <w:rPr>
          <w:rFonts w:asciiTheme="majorHAnsi" w:hAnsiTheme="majorHAnsi"/>
          <w:b/>
        </w:rPr>
      </w:pPr>
      <w:r w:rsidRPr="004109E4">
        <w:rPr>
          <w:rFonts w:asciiTheme="majorHAnsi" w:hAnsiTheme="majorHAnsi"/>
          <w:b/>
        </w:rPr>
        <w:t xml:space="preserve">Principle 1: Positioning the Network as a </w:t>
      </w:r>
      <w:r>
        <w:rPr>
          <w:rFonts w:asciiTheme="majorHAnsi" w:hAnsiTheme="majorHAnsi"/>
          <w:b/>
        </w:rPr>
        <w:t>key platform in the LAC region on chemicals and waste management</w:t>
      </w:r>
    </w:p>
    <w:p w14:paraId="5931A81C" w14:textId="77777777" w:rsidR="00A12811" w:rsidRDefault="00A12811" w:rsidP="00A12811">
      <w:pPr>
        <w:jc w:val="both"/>
        <w:rPr>
          <w:rFonts w:asciiTheme="majorHAnsi" w:hAnsiTheme="majorHAnsi"/>
        </w:rPr>
      </w:pPr>
      <w:r>
        <w:rPr>
          <w:rFonts w:asciiTheme="majorHAnsi" w:hAnsiTheme="majorHAnsi"/>
        </w:rPr>
        <w:t xml:space="preserve">Members will seek to increase the Network’s visibility and positioning it as a key platform in the region to oversee, support and lead implementation of activities under the chemicals and waste management agenda. </w:t>
      </w:r>
      <w:proofErr w:type="gramStart"/>
      <w:r>
        <w:rPr>
          <w:rFonts w:asciiTheme="majorHAnsi" w:hAnsiTheme="majorHAnsi"/>
        </w:rPr>
        <w:t>In order to</w:t>
      </w:r>
      <w:proofErr w:type="gramEnd"/>
      <w:r>
        <w:rPr>
          <w:rFonts w:asciiTheme="majorHAnsi" w:hAnsiTheme="majorHAnsi"/>
        </w:rPr>
        <w:t xml:space="preserve"> do so, members of the Network will highlight to donors and partners the important mandate given to the Network by the Forum of Ministers of Environment of the region and the potential of the Network to implement activities on chemicals and waste management through a regionally coordinated and integrated approach. The Network will strive to be a strong coordinating group in the region, aware of the latest situation and developments on chemicals and waste management in the Latin America and Caribbean region, and with a clear action plan to work on chemicals and waste management at the sub-regional and regional levels. </w:t>
      </w:r>
    </w:p>
    <w:p w14:paraId="610B2E02" w14:textId="77777777" w:rsidR="00A12811" w:rsidRDefault="00A12811" w:rsidP="00A12811">
      <w:pPr>
        <w:jc w:val="both"/>
        <w:rPr>
          <w:rFonts w:asciiTheme="majorHAnsi" w:hAnsiTheme="majorHAnsi"/>
        </w:rPr>
      </w:pPr>
    </w:p>
    <w:p w14:paraId="04F0FBE4" w14:textId="77777777" w:rsidR="00A12811" w:rsidRPr="006C5BC0" w:rsidRDefault="00A12811" w:rsidP="00A12811">
      <w:pPr>
        <w:jc w:val="both"/>
        <w:rPr>
          <w:rFonts w:asciiTheme="majorHAnsi" w:hAnsiTheme="majorHAnsi"/>
          <w:b/>
        </w:rPr>
      </w:pPr>
      <w:r w:rsidRPr="006C5BC0">
        <w:rPr>
          <w:rFonts w:asciiTheme="majorHAnsi" w:hAnsiTheme="majorHAnsi"/>
          <w:b/>
        </w:rPr>
        <w:t>Principle 2: Maximizing all available resources</w:t>
      </w:r>
    </w:p>
    <w:p w14:paraId="2BFC024A" w14:textId="77777777" w:rsidR="00A12811" w:rsidRDefault="00A12811" w:rsidP="00A12811">
      <w:pPr>
        <w:jc w:val="both"/>
        <w:rPr>
          <w:rFonts w:asciiTheme="majorHAnsi" w:hAnsiTheme="majorHAnsi"/>
        </w:rPr>
      </w:pPr>
      <w:r>
        <w:rPr>
          <w:rFonts w:asciiTheme="majorHAnsi" w:hAnsiTheme="majorHAnsi"/>
        </w:rPr>
        <w:t xml:space="preserve">The Network will explore any kind of resources that can be effectively used to move forward the Network’s agenda. Whenever there is availability of in-kind resources by governments, partners and donors, the Network will use them effectively and maximize their application, </w:t>
      </w:r>
      <w:proofErr w:type="gramStart"/>
      <w:r>
        <w:rPr>
          <w:rFonts w:asciiTheme="majorHAnsi" w:hAnsiTheme="majorHAnsi"/>
        </w:rPr>
        <w:t>in order to</w:t>
      </w:r>
      <w:proofErr w:type="gramEnd"/>
      <w:r>
        <w:rPr>
          <w:rFonts w:asciiTheme="majorHAnsi" w:hAnsiTheme="majorHAnsi"/>
        </w:rPr>
        <w:t xml:space="preserve"> be able to implement more with less resources in support of all the countries of the region. </w:t>
      </w:r>
    </w:p>
    <w:p w14:paraId="7DF0AE04" w14:textId="77777777" w:rsidR="00A12811" w:rsidRDefault="00A12811" w:rsidP="00A12811">
      <w:pPr>
        <w:jc w:val="both"/>
        <w:rPr>
          <w:rFonts w:asciiTheme="majorHAnsi" w:hAnsiTheme="majorHAnsi"/>
        </w:rPr>
      </w:pPr>
    </w:p>
    <w:p w14:paraId="1550C731" w14:textId="77777777" w:rsidR="00A12811" w:rsidRPr="006C5BC0" w:rsidRDefault="00A12811" w:rsidP="00A12811">
      <w:pPr>
        <w:jc w:val="both"/>
        <w:rPr>
          <w:rFonts w:asciiTheme="majorHAnsi" w:hAnsiTheme="majorHAnsi"/>
          <w:b/>
        </w:rPr>
      </w:pPr>
      <w:r w:rsidRPr="006C5BC0">
        <w:rPr>
          <w:rFonts w:asciiTheme="majorHAnsi" w:hAnsiTheme="majorHAnsi"/>
          <w:b/>
        </w:rPr>
        <w:t xml:space="preserve">Principle 3: Cooperation </w:t>
      </w:r>
    </w:p>
    <w:p w14:paraId="56F66077" w14:textId="77777777" w:rsidR="00A12811" w:rsidRDefault="00A12811" w:rsidP="00A12811">
      <w:pPr>
        <w:jc w:val="both"/>
        <w:rPr>
          <w:rFonts w:asciiTheme="majorHAnsi" w:hAnsiTheme="majorHAnsi"/>
        </w:rPr>
      </w:pPr>
      <w:r>
        <w:rPr>
          <w:rFonts w:asciiTheme="majorHAnsi" w:hAnsiTheme="majorHAnsi"/>
        </w:rPr>
        <w:t xml:space="preserve">The Network is a group of focal points that agree to work jointly on advancing the chemicals and waste management agenda in the region. A key element for resource mobilization by the Network will be the promotion of south-south cooperation, facilitating the exchange of knowledge, technologies and resources among the countries in the region. Many of the resources needed in the region are already present in it. </w:t>
      </w:r>
    </w:p>
    <w:p w14:paraId="44DFA1E0" w14:textId="77777777" w:rsidR="00A12811" w:rsidRDefault="00A12811" w:rsidP="00A12811">
      <w:pPr>
        <w:pStyle w:val="Heading1"/>
      </w:pPr>
      <w:bookmarkStart w:id="7" w:name="_Toc523242061"/>
      <w:r>
        <w:t>Resource needs</w:t>
      </w:r>
      <w:bookmarkEnd w:id="7"/>
    </w:p>
    <w:p w14:paraId="5251F6C0" w14:textId="77777777" w:rsidR="00A12811" w:rsidRDefault="00A12811" w:rsidP="00A12811">
      <w:pPr>
        <w:pStyle w:val="Heading2"/>
      </w:pPr>
      <w:bookmarkStart w:id="8" w:name="_Toc523242062"/>
      <w:r>
        <w:t>Network operation costs</w:t>
      </w:r>
      <w:bookmarkEnd w:id="8"/>
    </w:p>
    <w:p w14:paraId="2D73FE91" w14:textId="77777777" w:rsidR="00A12811" w:rsidRDefault="00A12811" w:rsidP="00A12811"/>
    <w:p w14:paraId="55F9B9D8" w14:textId="77777777" w:rsidR="00A12811" w:rsidRDefault="00A12811" w:rsidP="00A12811">
      <w:pPr>
        <w:rPr>
          <w:rFonts w:asciiTheme="majorHAnsi" w:hAnsiTheme="majorHAnsi"/>
        </w:rPr>
      </w:pPr>
      <w:r>
        <w:rPr>
          <w:rFonts w:asciiTheme="majorHAnsi" w:hAnsiTheme="majorHAnsi"/>
        </w:rPr>
        <w:t>The network operates at three levels:</w:t>
      </w:r>
    </w:p>
    <w:p w14:paraId="685B8402" w14:textId="77777777" w:rsidR="00A12811" w:rsidRDefault="00A12811" w:rsidP="00A12811">
      <w:pPr>
        <w:pStyle w:val="ListParagraph"/>
        <w:numPr>
          <w:ilvl w:val="0"/>
          <w:numId w:val="2"/>
        </w:numPr>
        <w:rPr>
          <w:rFonts w:asciiTheme="majorHAnsi" w:hAnsiTheme="majorHAnsi"/>
        </w:rPr>
      </w:pPr>
      <w:r>
        <w:rPr>
          <w:rFonts w:asciiTheme="majorHAnsi" w:hAnsiTheme="majorHAnsi"/>
        </w:rPr>
        <w:t>Its Steering Committee</w:t>
      </w:r>
    </w:p>
    <w:p w14:paraId="19E43A30" w14:textId="77777777" w:rsidR="00A12811" w:rsidRDefault="00A12811" w:rsidP="00A12811">
      <w:pPr>
        <w:pStyle w:val="ListParagraph"/>
        <w:numPr>
          <w:ilvl w:val="0"/>
          <w:numId w:val="2"/>
        </w:numPr>
        <w:rPr>
          <w:rFonts w:asciiTheme="majorHAnsi" w:hAnsiTheme="majorHAnsi"/>
        </w:rPr>
      </w:pPr>
      <w:r>
        <w:rPr>
          <w:rFonts w:asciiTheme="majorHAnsi" w:hAnsiTheme="majorHAnsi"/>
        </w:rPr>
        <w:t>Its network of national focal points and members</w:t>
      </w:r>
    </w:p>
    <w:p w14:paraId="639907C5" w14:textId="77777777" w:rsidR="00A12811" w:rsidRDefault="00A12811" w:rsidP="00A12811">
      <w:pPr>
        <w:pStyle w:val="ListParagraph"/>
        <w:numPr>
          <w:ilvl w:val="0"/>
          <w:numId w:val="2"/>
        </w:numPr>
        <w:rPr>
          <w:rFonts w:asciiTheme="majorHAnsi" w:hAnsiTheme="majorHAnsi"/>
        </w:rPr>
      </w:pPr>
      <w:r>
        <w:rPr>
          <w:rFonts w:asciiTheme="majorHAnsi" w:hAnsiTheme="majorHAnsi"/>
        </w:rPr>
        <w:t>The Secretariat</w:t>
      </w:r>
    </w:p>
    <w:p w14:paraId="00CC0396" w14:textId="77777777" w:rsidR="00A12811" w:rsidRDefault="00A12811" w:rsidP="00A12811">
      <w:pPr>
        <w:rPr>
          <w:rFonts w:asciiTheme="majorHAnsi" w:hAnsiTheme="majorHAnsi"/>
        </w:rPr>
      </w:pPr>
    </w:p>
    <w:p w14:paraId="2DB23E00" w14:textId="77777777" w:rsidR="00A12811" w:rsidRDefault="00A12811" w:rsidP="00A12811">
      <w:pPr>
        <w:jc w:val="both"/>
        <w:rPr>
          <w:rFonts w:asciiTheme="majorHAnsi" w:hAnsiTheme="majorHAnsi"/>
        </w:rPr>
      </w:pPr>
      <w:r>
        <w:rPr>
          <w:rFonts w:asciiTheme="majorHAnsi" w:hAnsiTheme="majorHAnsi"/>
        </w:rPr>
        <w:t xml:space="preserve">The following Table 1 provides details of what are the estimated costs of operation of the Network for a two-years period. </w:t>
      </w:r>
    </w:p>
    <w:p w14:paraId="2A015BCC" w14:textId="063D37DE" w:rsidR="00A12811" w:rsidRDefault="00A12811" w:rsidP="00A12811">
      <w:pPr>
        <w:rPr>
          <w:rFonts w:asciiTheme="majorHAnsi" w:hAnsiTheme="majorHAnsi"/>
        </w:rPr>
      </w:pPr>
    </w:p>
    <w:p w14:paraId="7594F55E" w14:textId="46586162" w:rsidR="00A264F9" w:rsidRDefault="00A264F9" w:rsidP="00A12811">
      <w:pPr>
        <w:rPr>
          <w:rFonts w:asciiTheme="majorHAnsi" w:hAnsiTheme="majorHAnsi"/>
        </w:rPr>
      </w:pPr>
    </w:p>
    <w:p w14:paraId="479CC8C3" w14:textId="77777777" w:rsidR="00A264F9" w:rsidRDefault="00A264F9" w:rsidP="00A12811">
      <w:pPr>
        <w:rPr>
          <w:rFonts w:asciiTheme="majorHAnsi" w:hAnsiTheme="majorHAnsi"/>
        </w:rPr>
      </w:pPr>
    </w:p>
    <w:p w14:paraId="112B5F44" w14:textId="77777777" w:rsidR="00A12811" w:rsidRDefault="00A12811" w:rsidP="00A12811">
      <w:pPr>
        <w:rPr>
          <w:rFonts w:asciiTheme="majorHAnsi" w:hAnsiTheme="majorHAnsi"/>
        </w:rPr>
      </w:pPr>
      <w:r w:rsidRPr="00910492">
        <w:rPr>
          <w:rFonts w:asciiTheme="majorHAnsi" w:hAnsiTheme="majorHAnsi"/>
          <w:b/>
        </w:rPr>
        <w:lastRenderedPageBreak/>
        <w:t>Table 1 –</w:t>
      </w:r>
      <w:r>
        <w:rPr>
          <w:rFonts w:asciiTheme="majorHAnsi" w:hAnsiTheme="majorHAnsi"/>
        </w:rPr>
        <w:t xml:space="preserve"> Estimated costs of operation of the LAC Chemicals and Waste Network (two years)</w:t>
      </w:r>
    </w:p>
    <w:p w14:paraId="47F26DBC" w14:textId="77777777" w:rsidR="00A12811" w:rsidRDefault="00A12811" w:rsidP="00A12811">
      <w:pPr>
        <w:rPr>
          <w:rFonts w:asciiTheme="majorHAnsi" w:hAnsiTheme="majorHAnsi"/>
        </w:rPr>
      </w:pPr>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35"/>
        <w:gridCol w:w="1455"/>
        <w:gridCol w:w="2070"/>
        <w:gridCol w:w="900"/>
        <w:gridCol w:w="990"/>
        <w:gridCol w:w="1155"/>
      </w:tblGrid>
      <w:tr w:rsidR="00A12811" w:rsidRPr="005324E5" w14:paraId="647529BB" w14:textId="77777777" w:rsidTr="00AA3C64">
        <w:trPr>
          <w:trHeight w:val="280"/>
          <w:jc w:val="center"/>
        </w:trPr>
        <w:tc>
          <w:tcPr>
            <w:tcW w:w="3435" w:type="dxa"/>
            <w:shd w:val="clear" w:color="000000" w:fill="8EAADB" w:themeFill="accent1" w:themeFillTint="99"/>
            <w:noWrap/>
            <w:vAlign w:val="bottom"/>
            <w:hideMark/>
          </w:tcPr>
          <w:p w14:paraId="3A68A611" w14:textId="77777777" w:rsidR="00A12811" w:rsidRPr="00AA3C64" w:rsidRDefault="00A12811" w:rsidP="00AA3C64">
            <w:pPr>
              <w:jc w:val="cente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Operation activities</w:t>
            </w:r>
          </w:p>
        </w:tc>
        <w:tc>
          <w:tcPr>
            <w:tcW w:w="1455" w:type="dxa"/>
            <w:shd w:val="clear" w:color="000000" w:fill="8EAADB" w:themeFill="accent1" w:themeFillTint="99"/>
            <w:noWrap/>
            <w:vAlign w:val="bottom"/>
            <w:hideMark/>
          </w:tcPr>
          <w:p w14:paraId="5BB7B763" w14:textId="77777777" w:rsidR="00A12811" w:rsidRPr="00AA3C64" w:rsidRDefault="00A12811" w:rsidP="00AA3C64">
            <w:pPr>
              <w:jc w:val="cente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Quantity</w:t>
            </w:r>
          </w:p>
        </w:tc>
        <w:tc>
          <w:tcPr>
            <w:tcW w:w="2070" w:type="dxa"/>
            <w:shd w:val="clear" w:color="000000" w:fill="8EAADB" w:themeFill="accent1" w:themeFillTint="99"/>
            <w:vAlign w:val="bottom"/>
          </w:tcPr>
          <w:p w14:paraId="3203294E" w14:textId="77777777" w:rsidR="00A12811" w:rsidRPr="00AA3C64" w:rsidRDefault="00A12811" w:rsidP="00AA3C64">
            <w:pPr>
              <w:jc w:val="cente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Resources needed</w:t>
            </w:r>
          </w:p>
        </w:tc>
        <w:tc>
          <w:tcPr>
            <w:tcW w:w="900" w:type="dxa"/>
            <w:shd w:val="clear" w:color="000000" w:fill="8EAADB" w:themeFill="accent1" w:themeFillTint="99"/>
            <w:noWrap/>
            <w:vAlign w:val="bottom"/>
            <w:hideMark/>
          </w:tcPr>
          <w:p w14:paraId="3E547518" w14:textId="77777777" w:rsidR="00A12811" w:rsidRPr="00AA3C64" w:rsidRDefault="00A12811" w:rsidP="00AA3C64">
            <w:pPr>
              <w:jc w:val="cente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Year 1</w:t>
            </w:r>
          </w:p>
          <w:p w14:paraId="491CF8CD" w14:textId="77777777" w:rsidR="00A12811" w:rsidRPr="00AA3C64" w:rsidRDefault="00A12811" w:rsidP="00AA3C64">
            <w:pPr>
              <w:jc w:val="cente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(USD)</w:t>
            </w:r>
          </w:p>
        </w:tc>
        <w:tc>
          <w:tcPr>
            <w:tcW w:w="990" w:type="dxa"/>
            <w:shd w:val="clear" w:color="000000" w:fill="8EAADB" w:themeFill="accent1" w:themeFillTint="99"/>
            <w:noWrap/>
            <w:vAlign w:val="bottom"/>
            <w:hideMark/>
          </w:tcPr>
          <w:p w14:paraId="7781BD91" w14:textId="77777777" w:rsidR="00A12811" w:rsidRPr="00AA3C64" w:rsidRDefault="00A12811" w:rsidP="00AA3C64">
            <w:pPr>
              <w:jc w:val="cente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Year 2</w:t>
            </w:r>
          </w:p>
          <w:p w14:paraId="47524F7F" w14:textId="77777777" w:rsidR="00A12811" w:rsidRPr="00AA3C64" w:rsidRDefault="00A12811" w:rsidP="00AA3C64">
            <w:pPr>
              <w:jc w:val="cente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(USD)</w:t>
            </w:r>
          </w:p>
        </w:tc>
        <w:tc>
          <w:tcPr>
            <w:tcW w:w="1155" w:type="dxa"/>
            <w:shd w:val="clear" w:color="000000" w:fill="8EAADB" w:themeFill="accent1" w:themeFillTint="99"/>
            <w:noWrap/>
            <w:vAlign w:val="bottom"/>
            <w:hideMark/>
          </w:tcPr>
          <w:p w14:paraId="3BC0A3AA" w14:textId="77777777" w:rsidR="00A12811" w:rsidRPr="00AA3C64" w:rsidRDefault="00A12811" w:rsidP="00AA3C64">
            <w:pPr>
              <w:jc w:val="cente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Sub-totals</w:t>
            </w:r>
          </w:p>
          <w:p w14:paraId="68537324" w14:textId="77777777" w:rsidR="00A12811" w:rsidRPr="00AA3C64" w:rsidRDefault="00A12811" w:rsidP="00AA3C64">
            <w:pPr>
              <w:jc w:val="cente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(USD)</w:t>
            </w:r>
          </w:p>
        </w:tc>
      </w:tr>
      <w:tr w:rsidR="00A12811" w:rsidRPr="005324E5" w14:paraId="7AC2E74B" w14:textId="77777777" w:rsidTr="00AA3C64">
        <w:trPr>
          <w:trHeight w:val="280"/>
          <w:jc w:val="center"/>
        </w:trPr>
        <w:tc>
          <w:tcPr>
            <w:tcW w:w="3435" w:type="dxa"/>
            <w:shd w:val="clear" w:color="000000" w:fill="D6DCE4"/>
            <w:noWrap/>
            <w:vAlign w:val="bottom"/>
            <w:hideMark/>
          </w:tcPr>
          <w:p w14:paraId="7DCEDC39" w14:textId="77777777" w:rsidR="00A12811" w:rsidRPr="00AA3C64" w:rsidRDefault="00A12811" w:rsidP="00AA3C64">
            <w:pP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Meetings</w:t>
            </w:r>
          </w:p>
        </w:tc>
        <w:tc>
          <w:tcPr>
            <w:tcW w:w="1455" w:type="dxa"/>
            <w:shd w:val="clear" w:color="000000" w:fill="D6DCE4"/>
            <w:noWrap/>
            <w:vAlign w:val="bottom"/>
            <w:hideMark/>
          </w:tcPr>
          <w:p w14:paraId="03E36920" w14:textId="77777777" w:rsidR="00A12811" w:rsidRPr="00AA3C64" w:rsidRDefault="00A12811" w:rsidP="00AA3C64">
            <w:pPr>
              <w:jc w:val="right"/>
              <w:rPr>
                <w:rFonts w:ascii="Calibri" w:eastAsia="Times New Roman" w:hAnsi="Calibri" w:cs="Times New Roman"/>
                <w:color w:val="000000"/>
                <w:sz w:val="20"/>
                <w:szCs w:val="20"/>
              </w:rPr>
            </w:pPr>
          </w:p>
        </w:tc>
        <w:tc>
          <w:tcPr>
            <w:tcW w:w="2070" w:type="dxa"/>
            <w:shd w:val="clear" w:color="000000" w:fill="D6DCE4"/>
            <w:vAlign w:val="bottom"/>
          </w:tcPr>
          <w:p w14:paraId="4644B230"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w:t>
            </w:r>
          </w:p>
        </w:tc>
        <w:tc>
          <w:tcPr>
            <w:tcW w:w="900" w:type="dxa"/>
            <w:shd w:val="clear" w:color="000000" w:fill="D6DCE4"/>
            <w:noWrap/>
            <w:vAlign w:val="bottom"/>
            <w:hideMark/>
          </w:tcPr>
          <w:p w14:paraId="5474B2CE"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w:t>
            </w:r>
          </w:p>
        </w:tc>
        <w:tc>
          <w:tcPr>
            <w:tcW w:w="990" w:type="dxa"/>
            <w:shd w:val="clear" w:color="000000" w:fill="D6DCE4"/>
            <w:noWrap/>
            <w:vAlign w:val="bottom"/>
            <w:hideMark/>
          </w:tcPr>
          <w:p w14:paraId="1BFC5ABC"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w:t>
            </w:r>
          </w:p>
        </w:tc>
        <w:tc>
          <w:tcPr>
            <w:tcW w:w="1155" w:type="dxa"/>
            <w:shd w:val="clear" w:color="000000" w:fill="D6DCE4"/>
            <w:noWrap/>
            <w:vAlign w:val="bottom"/>
            <w:hideMark/>
          </w:tcPr>
          <w:p w14:paraId="3B31A63B"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w:t>
            </w:r>
          </w:p>
        </w:tc>
      </w:tr>
      <w:tr w:rsidR="00A12811" w:rsidRPr="005324E5" w14:paraId="2EEA1692" w14:textId="77777777" w:rsidTr="00AA3C64">
        <w:trPr>
          <w:trHeight w:val="280"/>
          <w:jc w:val="center"/>
        </w:trPr>
        <w:tc>
          <w:tcPr>
            <w:tcW w:w="3435" w:type="dxa"/>
            <w:shd w:val="clear" w:color="auto" w:fill="auto"/>
            <w:noWrap/>
            <w:vAlign w:val="bottom"/>
            <w:hideMark/>
          </w:tcPr>
          <w:p w14:paraId="22301B7D"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Quarterly Steering Committee Teleconferences</w:t>
            </w:r>
          </w:p>
        </w:tc>
        <w:tc>
          <w:tcPr>
            <w:tcW w:w="1455" w:type="dxa"/>
            <w:shd w:val="clear" w:color="auto" w:fill="auto"/>
            <w:noWrap/>
            <w:vAlign w:val="bottom"/>
            <w:hideMark/>
          </w:tcPr>
          <w:p w14:paraId="2A9B4BF9"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4/per year</w:t>
            </w:r>
          </w:p>
        </w:tc>
        <w:tc>
          <w:tcPr>
            <w:tcW w:w="2070" w:type="dxa"/>
            <w:vAlign w:val="bottom"/>
          </w:tcPr>
          <w:p w14:paraId="22BE66D3" w14:textId="77777777" w:rsidR="00A12811" w:rsidRPr="00AA3C64" w:rsidRDefault="00A12811" w:rsidP="00AA3C64">
            <w:pPr>
              <w:jc w:val="right"/>
              <w:rPr>
                <w:rFonts w:ascii="Calibri" w:eastAsia="Times New Roman" w:hAnsi="Calibri" w:cs="Times New Roman"/>
                <w:color w:val="000000"/>
                <w:sz w:val="20"/>
                <w:szCs w:val="20"/>
              </w:rPr>
            </w:pPr>
            <w:proofErr w:type="spellStart"/>
            <w:r w:rsidRPr="00AA3C64">
              <w:rPr>
                <w:rFonts w:ascii="Calibri" w:eastAsia="Times New Roman" w:hAnsi="Calibri" w:cs="Times New Roman"/>
                <w:color w:val="000000"/>
                <w:sz w:val="20"/>
                <w:szCs w:val="20"/>
              </w:rPr>
              <w:t>GoToWebinar</w:t>
            </w:r>
            <w:proofErr w:type="spellEnd"/>
            <w:r w:rsidRPr="00AA3C64">
              <w:rPr>
                <w:rFonts w:ascii="Calibri" w:eastAsia="Times New Roman" w:hAnsi="Calibri" w:cs="Times New Roman"/>
                <w:color w:val="000000"/>
                <w:sz w:val="20"/>
                <w:szCs w:val="20"/>
              </w:rPr>
              <w:t xml:space="preserve"> platform (see below)</w:t>
            </w:r>
          </w:p>
        </w:tc>
        <w:tc>
          <w:tcPr>
            <w:tcW w:w="900" w:type="dxa"/>
            <w:shd w:val="clear" w:color="auto" w:fill="auto"/>
            <w:noWrap/>
            <w:vAlign w:val="bottom"/>
            <w:hideMark/>
          </w:tcPr>
          <w:p w14:paraId="7D7B7E8C"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N/A</w:t>
            </w:r>
          </w:p>
        </w:tc>
        <w:tc>
          <w:tcPr>
            <w:tcW w:w="990" w:type="dxa"/>
            <w:shd w:val="clear" w:color="auto" w:fill="auto"/>
            <w:noWrap/>
            <w:vAlign w:val="bottom"/>
            <w:hideMark/>
          </w:tcPr>
          <w:p w14:paraId="05B2AF28"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N/A</w:t>
            </w:r>
          </w:p>
        </w:tc>
        <w:tc>
          <w:tcPr>
            <w:tcW w:w="1155" w:type="dxa"/>
            <w:shd w:val="clear" w:color="auto" w:fill="auto"/>
            <w:noWrap/>
            <w:vAlign w:val="bottom"/>
            <w:hideMark/>
          </w:tcPr>
          <w:p w14:paraId="32F65365"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N/A</w:t>
            </w:r>
          </w:p>
        </w:tc>
      </w:tr>
      <w:tr w:rsidR="00A12811" w:rsidRPr="005324E5" w14:paraId="468433DD" w14:textId="77777777" w:rsidTr="00AA3C64">
        <w:trPr>
          <w:trHeight w:val="643"/>
          <w:jc w:val="center"/>
        </w:trPr>
        <w:tc>
          <w:tcPr>
            <w:tcW w:w="3435" w:type="dxa"/>
            <w:shd w:val="clear" w:color="auto" w:fill="auto"/>
            <w:noWrap/>
            <w:vAlign w:val="bottom"/>
            <w:hideMark/>
          </w:tcPr>
          <w:p w14:paraId="6570A073"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Annual Steering Committee face-to-face meeting</w:t>
            </w:r>
          </w:p>
        </w:tc>
        <w:tc>
          <w:tcPr>
            <w:tcW w:w="1455" w:type="dxa"/>
            <w:shd w:val="clear" w:color="auto" w:fill="auto"/>
            <w:noWrap/>
            <w:vAlign w:val="bottom"/>
            <w:hideMark/>
          </w:tcPr>
          <w:p w14:paraId="2CC84B92"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1/per year</w:t>
            </w:r>
          </w:p>
        </w:tc>
        <w:tc>
          <w:tcPr>
            <w:tcW w:w="2070" w:type="dxa"/>
            <w:vAlign w:val="bottom"/>
          </w:tcPr>
          <w:p w14:paraId="1B07FA2E"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Air tickets, DSA, lunch, coffee breaks, meeting room, interpretation services</w:t>
            </w:r>
          </w:p>
        </w:tc>
        <w:tc>
          <w:tcPr>
            <w:tcW w:w="900" w:type="dxa"/>
            <w:shd w:val="clear" w:color="auto" w:fill="auto"/>
            <w:noWrap/>
            <w:vAlign w:val="bottom"/>
            <w:hideMark/>
          </w:tcPr>
          <w:p w14:paraId="1C157DE5"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20,000</w:t>
            </w:r>
          </w:p>
        </w:tc>
        <w:tc>
          <w:tcPr>
            <w:tcW w:w="990" w:type="dxa"/>
            <w:shd w:val="clear" w:color="auto" w:fill="auto"/>
            <w:noWrap/>
            <w:vAlign w:val="bottom"/>
            <w:hideMark/>
          </w:tcPr>
          <w:p w14:paraId="7F8B8318"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c>
          <w:tcPr>
            <w:tcW w:w="1155" w:type="dxa"/>
            <w:shd w:val="clear" w:color="auto" w:fill="auto"/>
            <w:noWrap/>
            <w:vAlign w:val="bottom"/>
            <w:hideMark/>
          </w:tcPr>
          <w:p w14:paraId="263125CF" w14:textId="77777777" w:rsidR="00A12811" w:rsidRPr="00AA3C64" w:rsidRDefault="00A12811" w:rsidP="00AA3C64">
            <w:pPr>
              <w:jc w:val="right"/>
              <w:rPr>
                <w:rFonts w:ascii="Calibri" w:eastAsia="Times New Roman" w:hAnsi="Calibri" w:cs="Times New Roman"/>
                <w:sz w:val="20"/>
                <w:szCs w:val="20"/>
              </w:rPr>
            </w:pPr>
            <w:r w:rsidRPr="00AA3C64">
              <w:rPr>
                <w:rFonts w:ascii="Calibri" w:eastAsia="Times New Roman" w:hAnsi="Calibri" w:cs="Times New Roman"/>
                <w:sz w:val="20"/>
                <w:szCs w:val="20"/>
              </w:rPr>
              <w:t xml:space="preserve"> 20,000 </w:t>
            </w:r>
          </w:p>
        </w:tc>
      </w:tr>
      <w:tr w:rsidR="00A12811" w:rsidRPr="005324E5" w14:paraId="5777D937" w14:textId="77777777" w:rsidTr="00AA3C64">
        <w:trPr>
          <w:trHeight w:val="560"/>
          <w:jc w:val="center"/>
        </w:trPr>
        <w:tc>
          <w:tcPr>
            <w:tcW w:w="3435" w:type="dxa"/>
            <w:shd w:val="clear" w:color="auto" w:fill="auto"/>
            <w:noWrap/>
            <w:vAlign w:val="bottom"/>
            <w:hideMark/>
          </w:tcPr>
          <w:p w14:paraId="58C691EE"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Face-to-face meeting of national focal points</w:t>
            </w:r>
          </w:p>
        </w:tc>
        <w:tc>
          <w:tcPr>
            <w:tcW w:w="1455" w:type="dxa"/>
            <w:shd w:val="clear" w:color="auto" w:fill="auto"/>
            <w:noWrap/>
            <w:vAlign w:val="bottom"/>
            <w:hideMark/>
          </w:tcPr>
          <w:p w14:paraId="54D93FD6"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1 every two years</w:t>
            </w:r>
          </w:p>
        </w:tc>
        <w:tc>
          <w:tcPr>
            <w:tcW w:w="2070" w:type="dxa"/>
            <w:vAlign w:val="bottom"/>
          </w:tcPr>
          <w:p w14:paraId="2D72CF8F"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Air tickets, DSA, lunch, coffee breaks, meeting room, interpretation services</w:t>
            </w:r>
          </w:p>
        </w:tc>
        <w:tc>
          <w:tcPr>
            <w:tcW w:w="900" w:type="dxa"/>
            <w:shd w:val="clear" w:color="auto" w:fill="auto"/>
            <w:noWrap/>
            <w:vAlign w:val="bottom"/>
            <w:hideMark/>
          </w:tcPr>
          <w:p w14:paraId="28915A1F"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c>
          <w:tcPr>
            <w:tcW w:w="990" w:type="dxa"/>
            <w:shd w:val="clear" w:color="auto" w:fill="auto"/>
            <w:noWrap/>
            <w:vAlign w:val="bottom"/>
            <w:hideMark/>
          </w:tcPr>
          <w:p w14:paraId="6B3B2170"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80,000</w:t>
            </w:r>
          </w:p>
        </w:tc>
        <w:tc>
          <w:tcPr>
            <w:tcW w:w="1155" w:type="dxa"/>
            <w:shd w:val="clear" w:color="auto" w:fill="auto"/>
            <w:noWrap/>
            <w:vAlign w:val="bottom"/>
            <w:hideMark/>
          </w:tcPr>
          <w:p w14:paraId="567EBF25" w14:textId="77777777" w:rsidR="00A12811" w:rsidRPr="00AA3C64" w:rsidRDefault="00A12811" w:rsidP="00AA3C64">
            <w:pPr>
              <w:jc w:val="right"/>
              <w:rPr>
                <w:rFonts w:ascii="Calibri" w:eastAsia="Times New Roman" w:hAnsi="Calibri" w:cs="Times New Roman"/>
                <w:sz w:val="20"/>
                <w:szCs w:val="20"/>
              </w:rPr>
            </w:pPr>
            <w:r w:rsidRPr="00AA3C64">
              <w:rPr>
                <w:rFonts w:ascii="Calibri" w:eastAsia="Times New Roman" w:hAnsi="Calibri" w:cs="Times New Roman"/>
                <w:sz w:val="20"/>
                <w:szCs w:val="20"/>
              </w:rPr>
              <w:t xml:space="preserve"> 80,000 </w:t>
            </w:r>
          </w:p>
        </w:tc>
      </w:tr>
      <w:tr w:rsidR="00A12811" w:rsidRPr="005324E5" w14:paraId="5BAEFCD3" w14:textId="77777777" w:rsidTr="00AA3C64">
        <w:trPr>
          <w:trHeight w:val="300"/>
          <w:jc w:val="center"/>
        </w:trPr>
        <w:tc>
          <w:tcPr>
            <w:tcW w:w="3435" w:type="dxa"/>
            <w:shd w:val="clear" w:color="auto" w:fill="auto"/>
            <w:noWrap/>
            <w:vAlign w:val="bottom"/>
            <w:hideMark/>
          </w:tcPr>
          <w:p w14:paraId="2BD4E69A"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xml:space="preserve">Working group meetings (teleconference or face-to-face </w:t>
            </w:r>
            <w:proofErr w:type="spellStart"/>
            <w:r w:rsidRPr="00AA3C64">
              <w:rPr>
                <w:rFonts w:ascii="Calibri" w:eastAsia="Times New Roman" w:hAnsi="Calibri" w:cs="Times New Roman"/>
                <w:color w:val="000000"/>
                <w:sz w:val="20"/>
                <w:szCs w:val="20"/>
              </w:rPr>
              <w:t>tbd</w:t>
            </w:r>
            <w:proofErr w:type="spellEnd"/>
            <w:r w:rsidRPr="00AA3C64">
              <w:rPr>
                <w:rFonts w:ascii="Calibri" w:eastAsia="Times New Roman" w:hAnsi="Calibri" w:cs="Times New Roman"/>
                <w:color w:val="000000"/>
                <w:sz w:val="20"/>
                <w:szCs w:val="20"/>
              </w:rPr>
              <w:t>)</w:t>
            </w:r>
          </w:p>
        </w:tc>
        <w:tc>
          <w:tcPr>
            <w:tcW w:w="1455" w:type="dxa"/>
            <w:shd w:val="clear" w:color="auto" w:fill="auto"/>
            <w:noWrap/>
            <w:vAlign w:val="bottom"/>
            <w:hideMark/>
          </w:tcPr>
          <w:p w14:paraId="219F70B2" w14:textId="77777777" w:rsidR="00A12811" w:rsidRPr="00AA3C64" w:rsidRDefault="00A12811" w:rsidP="00AA3C64">
            <w:pPr>
              <w:jc w:val="right"/>
              <w:rPr>
                <w:rFonts w:ascii="Calibri" w:eastAsia="Times New Roman" w:hAnsi="Calibri" w:cs="Times New Roman"/>
                <w:sz w:val="20"/>
                <w:szCs w:val="20"/>
              </w:rPr>
            </w:pPr>
            <w:proofErr w:type="spellStart"/>
            <w:r w:rsidRPr="00AA3C64">
              <w:rPr>
                <w:rFonts w:ascii="Calibri" w:eastAsia="Times New Roman" w:hAnsi="Calibri" w:cs="Times New Roman"/>
                <w:sz w:val="20"/>
                <w:szCs w:val="20"/>
              </w:rPr>
              <w:t>tbd</w:t>
            </w:r>
            <w:proofErr w:type="spellEnd"/>
          </w:p>
        </w:tc>
        <w:tc>
          <w:tcPr>
            <w:tcW w:w="2070" w:type="dxa"/>
            <w:vAlign w:val="bottom"/>
          </w:tcPr>
          <w:p w14:paraId="7CB332D4" w14:textId="77777777" w:rsidR="00A12811" w:rsidRPr="00AA3C64" w:rsidRDefault="00A12811" w:rsidP="00AA3C64">
            <w:pPr>
              <w:jc w:val="right"/>
              <w:rPr>
                <w:rFonts w:ascii="Calibri" w:eastAsia="Times New Roman" w:hAnsi="Calibri" w:cs="Times New Roman"/>
                <w:sz w:val="20"/>
                <w:szCs w:val="20"/>
              </w:rPr>
            </w:pPr>
            <w:proofErr w:type="spellStart"/>
            <w:r w:rsidRPr="00AA3C64">
              <w:rPr>
                <w:rFonts w:ascii="Calibri" w:eastAsia="Times New Roman" w:hAnsi="Calibri" w:cs="Times New Roman"/>
                <w:sz w:val="20"/>
                <w:szCs w:val="20"/>
              </w:rPr>
              <w:t>tbd</w:t>
            </w:r>
            <w:proofErr w:type="spellEnd"/>
          </w:p>
        </w:tc>
        <w:tc>
          <w:tcPr>
            <w:tcW w:w="900" w:type="dxa"/>
            <w:shd w:val="clear" w:color="auto" w:fill="auto"/>
            <w:noWrap/>
            <w:vAlign w:val="bottom"/>
            <w:hideMark/>
          </w:tcPr>
          <w:p w14:paraId="01B1EAE0" w14:textId="77777777" w:rsidR="00A12811" w:rsidRPr="00AA3C64" w:rsidRDefault="00A12811" w:rsidP="00AA3C64">
            <w:pPr>
              <w:jc w:val="right"/>
              <w:rPr>
                <w:rFonts w:ascii="Calibri" w:eastAsia="Times New Roman" w:hAnsi="Calibri" w:cs="Times New Roman"/>
                <w:sz w:val="20"/>
                <w:szCs w:val="20"/>
              </w:rPr>
            </w:pPr>
            <w:proofErr w:type="spellStart"/>
            <w:r w:rsidRPr="00AA3C64">
              <w:rPr>
                <w:rFonts w:ascii="Calibri" w:eastAsia="Times New Roman" w:hAnsi="Calibri" w:cs="Times New Roman"/>
                <w:sz w:val="20"/>
                <w:szCs w:val="20"/>
              </w:rPr>
              <w:t>tbd</w:t>
            </w:r>
            <w:proofErr w:type="spellEnd"/>
          </w:p>
        </w:tc>
        <w:tc>
          <w:tcPr>
            <w:tcW w:w="990" w:type="dxa"/>
            <w:shd w:val="clear" w:color="auto" w:fill="auto"/>
            <w:noWrap/>
            <w:vAlign w:val="bottom"/>
            <w:hideMark/>
          </w:tcPr>
          <w:p w14:paraId="218C5098" w14:textId="77777777" w:rsidR="00A12811" w:rsidRPr="00AA3C64" w:rsidRDefault="00A12811" w:rsidP="00AA3C64">
            <w:pPr>
              <w:jc w:val="right"/>
              <w:rPr>
                <w:rFonts w:ascii="Calibri" w:eastAsia="Times New Roman" w:hAnsi="Calibri" w:cs="Times New Roman"/>
                <w:sz w:val="20"/>
                <w:szCs w:val="20"/>
              </w:rPr>
            </w:pPr>
            <w:proofErr w:type="spellStart"/>
            <w:r w:rsidRPr="00AA3C64">
              <w:rPr>
                <w:rFonts w:ascii="Calibri" w:eastAsia="Times New Roman" w:hAnsi="Calibri" w:cs="Times New Roman"/>
                <w:sz w:val="20"/>
                <w:szCs w:val="20"/>
              </w:rPr>
              <w:t>tbd</w:t>
            </w:r>
            <w:proofErr w:type="spellEnd"/>
          </w:p>
        </w:tc>
        <w:tc>
          <w:tcPr>
            <w:tcW w:w="1155" w:type="dxa"/>
            <w:shd w:val="clear" w:color="auto" w:fill="auto"/>
            <w:noWrap/>
            <w:vAlign w:val="bottom"/>
            <w:hideMark/>
          </w:tcPr>
          <w:p w14:paraId="1EFC9A0F" w14:textId="77777777" w:rsidR="00A12811" w:rsidRPr="00AA3C64" w:rsidRDefault="00A12811" w:rsidP="00AA3C64">
            <w:pPr>
              <w:jc w:val="right"/>
              <w:rPr>
                <w:rFonts w:ascii="Calibri" w:eastAsia="Times New Roman" w:hAnsi="Calibri" w:cs="Times New Roman"/>
                <w:sz w:val="20"/>
                <w:szCs w:val="20"/>
              </w:rPr>
            </w:pPr>
            <w:proofErr w:type="spellStart"/>
            <w:r w:rsidRPr="00AA3C64">
              <w:rPr>
                <w:rFonts w:ascii="Calibri" w:eastAsia="Times New Roman" w:hAnsi="Calibri" w:cs="Times New Roman"/>
                <w:sz w:val="20"/>
                <w:szCs w:val="20"/>
              </w:rPr>
              <w:t>tbd</w:t>
            </w:r>
            <w:proofErr w:type="spellEnd"/>
          </w:p>
        </w:tc>
      </w:tr>
      <w:tr w:rsidR="00A12811" w:rsidRPr="005324E5" w14:paraId="4BF69251" w14:textId="77777777" w:rsidTr="00AA3C64">
        <w:trPr>
          <w:trHeight w:val="300"/>
          <w:jc w:val="center"/>
        </w:trPr>
        <w:tc>
          <w:tcPr>
            <w:tcW w:w="3435" w:type="dxa"/>
            <w:shd w:val="clear" w:color="auto" w:fill="auto"/>
            <w:noWrap/>
            <w:vAlign w:val="bottom"/>
            <w:hideMark/>
          </w:tcPr>
          <w:p w14:paraId="63262083" w14:textId="77777777" w:rsidR="00A12811" w:rsidRPr="00AA3C64" w:rsidRDefault="00A12811" w:rsidP="00AA3C64">
            <w:pP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Sub-total</w:t>
            </w:r>
          </w:p>
        </w:tc>
        <w:tc>
          <w:tcPr>
            <w:tcW w:w="1455" w:type="dxa"/>
            <w:shd w:val="clear" w:color="auto" w:fill="auto"/>
            <w:noWrap/>
            <w:vAlign w:val="bottom"/>
            <w:hideMark/>
          </w:tcPr>
          <w:p w14:paraId="48BA3714" w14:textId="77777777" w:rsidR="00A12811" w:rsidRPr="00AA3C64" w:rsidRDefault="00A12811" w:rsidP="00AA3C64">
            <w:pPr>
              <w:rPr>
                <w:rFonts w:ascii="Calibri" w:eastAsia="Times New Roman" w:hAnsi="Calibri" w:cs="Times New Roman"/>
                <w:color w:val="000000"/>
                <w:sz w:val="20"/>
                <w:szCs w:val="20"/>
              </w:rPr>
            </w:pPr>
          </w:p>
        </w:tc>
        <w:tc>
          <w:tcPr>
            <w:tcW w:w="2070" w:type="dxa"/>
            <w:vAlign w:val="bottom"/>
          </w:tcPr>
          <w:p w14:paraId="2ADFCCEA" w14:textId="77777777" w:rsidR="00A12811" w:rsidRPr="00AA3C64" w:rsidRDefault="00A12811" w:rsidP="00AA3C64">
            <w:pPr>
              <w:jc w:val="right"/>
              <w:rPr>
                <w:rFonts w:ascii="Calibri" w:eastAsia="Times New Roman" w:hAnsi="Calibri" w:cs="Times New Roman"/>
                <w:color w:val="000000"/>
                <w:sz w:val="20"/>
                <w:szCs w:val="20"/>
              </w:rPr>
            </w:pPr>
          </w:p>
        </w:tc>
        <w:tc>
          <w:tcPr>
            <w:tcW w:w="900" w:type="dxa"/>
            <w:shd w:val="clear" w:color="auto" w:fill="auto"/>
            <w:noWrap/>
            <w:vAlign w:val="bottom"/>
            <w:hideMark/>
          </w:tcPr>
          <w:p w14:paraId="66C4EDE5"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20,000</w:t>
            </w:r>
          </w:p>
        </w:tc>
        <w:tc>
          <w:tcPr>
            <w:tcW w:w="990" w:type="dxa"/>
            <w:shd w:val="clear" w:color="auto" w:fill="auto"/>
            <w:noWrap/>
            <w:vAlign w:val="bottom"/>
            <w:hideMark/>
          </w:tcPr>
          <w:p w14:paraId="2BE74F92"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80,000</w:t>
            </w:r>
          </w:p>
        </w:tc>
        <w:tc>
          <w:tcPr>
            <w:tcW w:w="1155" w:type="dxa"/>
            <w:shd w:val="clear" w:color="auto" w:fill="auto"/>
            <w:noWrap/>
            <w:vAlign w:val="bottom"/>
            <w:hideMark/>
          </w:tcPr>
          <w:p w14:paraId="63E464A9"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xml:space="preserve"> 100,000.00 </w:t>
            </w:r>
          </w:p>
        </w:tc>
      </w:tr>
      <w:tr w:rsidR="00A12811" w:rsidRPr="005324E5" w14:paraId="3B004DCC" w14:textId="77777777" w:rsidTr="00AA3C64">
        <w:trPr>
          <w:trHeight w:val="280"/>
          <w:jc w:val="center"/>
        </w:trPr>
        <w:tc>
          <w:tcPr>
            <w:tcW w:w="3435" w:type="dxa"/>
            <w:shd w:val="clear" w:color="000000" w:fill="D6DCE4"/>
            <w:noWrap/>
            <w:vAlign w:val="bottom"/>
            <w:hideMark/>
          </w:tcPr>
          <w:p w14:paraId="4D580EFB" w14:textId="77777777" w:rsidR="00A12811" w:rsidRPr="00AA3C64" w:rsidRDefault="00A12811" w:rsidP="00AA3C64">
            <w:pP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Personnel</w:t>
            </w:r>
          </w:p>
        </w:tc>
        <w:tc>
          <w:tcPr>
            <w:tcW w:w="1455" w:type="dxa"/>
            <w:shd w:val="clear" w:color="000000" w:fill="D6DCE4"/>
            <w:noWrap/>
            <w:vAlign w:val="bottom"/>
            <w:hideMark/>
          </w:tcPr>
          <w:p w14:paraId="4643A00E" w14:textId="77777777" w:rsidR="00A12811" w:rsidRPr="00AA3C64" w:rsidRDefault="00A12811" w:rsidP="00AA3C64">
            <w:pPr>
              <w:jc w:val="center"/>
              <w:rPr>
                <w:rFonts w:ascii="Calibri" w:eastAsia="Times New Roman" w:hAnsi="Calibri" w:cs="Times New Roman"/>
                <w:color w:val="000000"/>
                <w:sz w:val="20"/>
                <w:szCs w:val="20"/>
              </w:rPr>
            </w:pPr>
          </w:p>
        </w:tc>
        <w:tc>
          <w:tcPr>
            <w:tcW w:w="2070" w:type="dxa"/>
            <w:shd w:val="clear" w:color="000000" w:fill="D6DCE4"/>
            <w:vAlign w:val="bottom"/>
          </w:tcPr>
          <w:p w14:paraId="2B601001" w14:textId="77777777" w:rsidR="00A12811" w:rsidRPr="00AA3C64" w:rsidRDefault="00A12811" w:rsidP="00AA3C64">
            <w:pPr>
              <w:jc w:val="right"/>
              <w:rPr>
                <w:rFonts w:ascii="Calibri" w:eastAsia="Times New Roman" w:hAnsi="Calibri" w:cs="Times New Roman"/>
                <w:color w:val="000000"/>
                <w:sz w:val="20"/>
                <w:szCs w:val="20"/>
              </w:rPr>
            </w:pPr>
          </w:p>
        </w:tc>
        <w:tc>
          <w:tcPr>
            <w:tcW w:w="900" w:type="dxa"/>
            <w:shd w:val="clear" w:color="000000" w:fill="D6DCE4"/>
            <w:noWrap/>
            <w:vAlign w:val="bottom"/>
            <w:hideMark/>
          </w:tcPr>
          <w:p w14:paraId="1F52C4D1"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w:t>
            </w:r>
          </w:p>
        </w:tc>
        <w:tc>
          <w:tcPr>
            <w:tcW w:w="990" w:type="dxa"/>
            <w:shd w:val="clear" w:color="000000" w:fill="D6DCE4"/>
            <w:noWrap/>
            <w:vAlign w:val="bottom"/>
            <w:hideMark/>
          </w:tcPr>
          <w:p w14:paraId="45554038"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w:t>
            </w:r>
          </w:p>
        </w:tc>
        <w:tc>
          <w:tcPr>
            <w:tcW w:w="1155" w:type="dxa"/>
            <w:shd w:val="clear" w:color="000000" w:fill="D6DCE4"/>
            <w:noWrap/>
            <w:vAlign w:val="bottom"/>
            <w:hideMark/>
          </w:tcPr>
          <w:p w14:paraId="728D8A52"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w:t>
            </w:r>
          </w:p>
        </w:tc>
      </w:tr>
      <w:tr w:rsidR="00A12811" w:rsidRPr="005324E5" w14:paraId="559F333B" w14:textId="77777777" w:rsidTr="00AA3C64">
        <w:trPr>
          <w:trHeight w:val="280"/>
          <w:jc w:val="center"/>
        </w:trPr>
        <w:tc>
          <w:tcPr>
            <w:tcW w:w="3435" w:type="dxa"/>
            <w:shd w:val="clear" w:color="auto" w:fill="auto"/>
            <w:noWrap/>
            <w:vAlign w:val="bottom"/>
            <w:hideMark/>
          </w:tcPr>
          <w:p w14:paraId="15B55511"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Network's technical coordinator (part-time)</w:t>
            </w:r>
          </w:p>
        </w:tc>
        <w:tc>
          <w:tcPr>
            <w:tcW w:w="1455" w:type="dxa"/>
            <w:shd w:val="clear" w:color="auto" w:fill="auto"/>
            <w:noWrap/>
            <w:vAlign w:val="bottom"/>
            <w:hideMark/>
          </w:tcPr>
          <w:p w14:paraId="688D2B5D"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24 months, 50%</w:t>
            </w:r>
          </w:p>
        </w:tc>
        <w:tc>
          <w:tcPr>
            <w:tcW w:w="2070" w:type="dxa"/>
            <w:vAlign w:val="bottom"/>
          </w:tcPr>
          <w:p w14:paraId="0AC585DA" w14:textId="77777777" w:rsidR="00A12811" w:rsidRPr="00AA3C64" w:rsidRDefault="00A12811" w:rsidP="00AA3C64">
            <w:pPr>
              <w:jc w:val="right"/>
              <w:rPr>
                <w:rFonts w:ascii="Calibri" w:eastAsia="Times New Roman" w:hAnsi="Calibri" w:cs="Times New Roman"/>
                <w:color w:val="000000"/>
                <w:sz w:val="20"/>
                <w:szCs w:val="20"/>
              </w:rPr>
            </w:pPr>
            <w:r>
              <w:rPr>
                <w:rFonts w:ascii="Calibri" w:eastAsia="Times New Roman" w:hAnsi="Calibri" w:cs="Times New Roman"/>
                <w:color w:val="000000"/>
                <w:sz w:val="20"/>
                <w:szCs w:val="20"/>
              </w:rPr>
              <w:t>Personal</w:t>
            </w:r>
          </w:p>
        </w:tc>
        <w:tc>
          <w:tcPr>
            <w:tcW w:w="900" w:type="dxa"/>
            <w:shd w:val="clear" w:color="auto" w:fill="auto"/>
            <w:noWrap/>
            <w:vAlign w:val="bottom"/>
            <w:hideMark/>
          </w:tcPr>
          <w:p w14:paraId="56ACA15C"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30,000</w:t>
            </w:r>
          </w:p>
        </w:tc>
        <w:tc>
          <w:tcPr>
            <w:tcW w:w="990" w:type="dxa"/>
            <w:shd w:val="clear" w:color="auto" w:fill="auto"/>
            <w:noWrap/>
            <w:vAlign w:val="bottom"/>
            <w:hideMark/>
          </w:tcPr>
          <w:p w14:paraId="37B723DC"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30,000</w:t>
            </w:r>
          </w:p>
        </w:tc>
        <w:tc>
          <w:tcPr>
            <w:tcW w:w="1155" w:type="dxa"/>
            <w:shd w:val="clear" w:color="auto" w:fill="auto"/>
            <w:noWrap/>
            <w:vAlign w:val="bottom"/>
            <w:hideMark/>
          </w:tcPr>
          <w:p w14:paraId="07E775CF"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xml:space="preserve"> 60,000 </w:t>
            </w:r>
          </w:p>
        </w:tc>
      </w:tr>
      <w:tr w:rsidR="00A12811" w:rsidRPr="005324E5" w14:paraId="4BE73E82" w14:textId="77777777" w:rsidTr="00AA3C64">
        <w:trPr>
          <w:trHeight w:val="300"/>
          <w:jc w:val="center"/>
        </w:trPr>
        <w:tc>
          <w:tcPr>
            <w:tcW w:w="3435" w:type="dxa"/>
            <w:shd w:val="clear" w:color="auto" w:fill="auto"/>
            <w:noWrap/>
            <w:vAlign w:val="bottom"/>
            <w:hideMark/>
          </w:tcPr>
          <w:p w14:paraId="577D3EA4"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xml:space="preserve">Chemicals and Waste Regional Coordinator </w:t>
            </w:r>
          </w:p>
        </w:tc>
        <w:tc>
          <w:tcPr>
            <w:tcW w:w="1455" w:type="dxa"/>
            <w:shd w:val="clear" w:color="auto" w:fill="auto"/>
            <w:noWrap/>
            <w:vAlign w:val="bottom"/>
            <w:hideMark/>
          </w:tcPr>
          <w:p w14:paraId="7AD8FC1B"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15%</w:t>
            </w:r>
          </w:p>
        </w:tc>
        <w:tc>
          <w:tcPr>
            <w:tcW w:w="2070" w:type="dxa"/>
            <w:vAlign w:val="bottom"/>
          </w:tcPr>
          <w:p w14:paraId="714C928A"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In-kind UNEP ROLAC</w:t>
            </w:r>
          </w:p>
        </w:tc>
        <w:tc>
          <w:tcPr>
            <w:tcW w:w="900" w:type="dxa"/>
            <w:shd w:val="clear" w:color="auto" w:fill="auto"/>
            <w:noWrap/>
            <w:vAlign w:val="bottom"/>
            <w:hideMark/>
          </w:tcPr>
          <w:p w14:paraId="219EA65B"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c>
          <w:tcPr>
            <w:tcW w:w="990" w:type="dxa"/>
            <w:shd w:val="clear" w:color="auto" w:fill="auto"/>
            <w:noWrap/>
            <w:vAlign w:val="bottom"/>
            <w:hideMark/>
          </w:tcPr>
          <w:p w14:paraId="5E60AC07"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c>
          <w:tcPr>
            <w:tcW w:w="1155" w:type="dxa"/>
            <w:shd w:val="clear" w:color="auto" w:fill="auto"/>
            <w:noWrap/>
            <w:vAlign w:val="bottom"/>
            <w:hideMark/>
          </w:tcPr>
          <w:p w14:paraId="3DB46082"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r>
      <w:tr w:rsidR="00A12811" w:rsidRPr="005324E5" w14:paraId="191AD223" w14:textId="77777777" w:rsidTr="00AA3C64">
        <w:trPr>
          <w:trHeight w:val="300"/>
          <w:jc w:val="center"/>
        </w:trPr>
        <w:tc>
          <w:tcPr>
            <w:tcW w:w="3435" w:type="dxa"/>
            <w:shd w:val="clear" w:color="auto" w:fill="auto"/>
            <w:noWrap/>
            <w:vAlign w:val="bottom"/>
            <w:hideMark/>
          </w:tcPr>
          <w:p w14:paraId="0155CE8F" w14:textId="77777777" w:rsidR="00A12811" w:rsidRPr="00AA3C64" w:rsidRDefault="00A12811" w:rsidP="00AA3C64">
            <w:pP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Sub-total</w:t>
            </w:r>
          </w:p>
        </w:tc>
        <w:tc>
          <w:tcPr>
            <w:tcW w:w="1455" w:type="dxa"/>
            <w:shd w:val="clear" w:color="auto" w:fill="auto"/>
            <w:noWrap/>
            <w:vAlign w:val="bottom"/>
            <w:hideMark/>
          </w:tcPr>
          <w:p w14:paraId="53E1E272" w14:textId="77777777" w:rsidR="00A12811" w:rsidRPr="00AA3C64" w:rsidRDefault="00A12811" w:rsidP="00AA3C64">
            <w:pPr>
              <w:rPr>
                <w:rFonts w:ascii="Calibri" w:eastAsia="Times New Roman" w:hAnsi="Calibri" w:cs="Times New Roman"/>
                <w:color w:val="000000"/>
                <w:sz w:val="20"/>
                <w:szCs w:val="20"/>
              </w:rPr>
            </w:pPr>
          </w:p>
        </w:tc>
        <w:tc>
          <w:tcPr>
            <w:tcW w:w="2070" w:type="dxa"/>
            <w:vAlign w:val="bottom"/>
          </w:tcPr>
          <w:p w14:paraId="1BB9067C" w14:textId="77777777" w:rsidR="00A12811" w:rsidRPr="00AA3C64" w:rsidRDefault="00A12811" w:rsidP="00AA3C64">
            <w:pPr>
              <w:jc w:val="right"/>
              <w:rPr>
                <w:rFonts w:ascii="Calibri" w:eastAsia="Times New Roman" w:hAnsi="Calibri" w:cs="Times New Roman"/>
                <w:color w:val="000000"/>
                <w:sz w:val="20"/>
                <w:szCs w:val="20"/>
              </w:rPr>
            </w:pPr>
          </w:p>
        </w:tc>
        <w:tc>
          <w:tcPr>
            <w:tcW w:w="900" w:type="dxa"/>
            <w:shd w:val="clear" w:color="auto" w:fill="auto"/>
            <w:noWrap/>
            <w:vAlign w:val="bottom"/>
            <w:hideMark/>
          </w:tcPr>
          <w:p w14:paraId="243A8489"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30,000</w:t>
            </w:r>
          </w:p>
        </w:tc>
        <w:tc>
          <w:tcPr>
            <w:tcW w:w="990" w:type="dxa"/>
            <w:shd w:val="clear" w:color="auto" w:fill="auto"/>
            <w:noWrap/>
            <w:vAlign w:val="bottom"/>
            <w:hideMark/>
          </w:tcPr>
          <w:p w14:paraId="73FB4C2A"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30,000</w:t>
            </w:r>
          </w:p>
        </w:tc>
        <w:tc>
          <w:tcPr>
            <w:tcW w:w="1155" w:type="dxa"/>
            <w:shd w:val="clear" w:color="auto" w:fill="auto"/>
            <w:noWrap/>
            <w:vAlign w:val="bottom"/>
            <w:hideMark/>
          </w:tcPr>
          <w:p w14:paraId="0AA5E3A4"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xml:space="preserve"> 60,000.00 </w:t>
            </w:r>
          </w:p>
        </w:tc>
      </w:tr>
      <w:tr w:rsidR="00A12811" w:rsidRPr="005324E5" w14:paraId="717787D5" w14:textId="77777777" w:rsidTr="00AA3C64">
        <w:trPr>
          <w:trHeight w:val="280"/>
          <w:jc w:val="center"/>
        </w:trPr>
        <w:tc>
          <w:tcPr>
            <w:tcW w:w="3435" w:type="dxa"/>
            <w:shd w:val="clear" w:color="000000" w:fill="D6DCE4"/>
            <w:noWrap/>
            <w:vAlign w:val="bottom"/>
            <w:hideMark/>
          </w:tcPr>
          <w:p w14:paraId="34FC4E19" w14:textId="77777777" w:rsidR="00A12811" w:rsidRPr="00AA3C64" w:rsidRDefault="00A12811" w:rsidP="00AA3C64">
            <w:pP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Communication</w:t>
            </w:r>
          </w:p>
        </w:tc>
        <w:tc>
          <w:tcPr>
            <w:tcW w:w="1455" w:type="dxa"/>
            <w:shd w:val="clear" w:color="000000" w:fill="D6DCE4"/>
            <w:noWrap/>
            <w:vAlign w:val="bottom"/>
            <w:hideMark/>
          </w:tcPr>
          <w:p w14:paraId="4E4CF690" w14:textId="77777777" w:rsidR="00A12811" w:rsidRPr="00AA3C64" w:rsidRDefault="00A12811" w:rsidP="00AA3C64">
            <w:pPr>
              <w:jc w:val="center"/>
              <w:rPr>
                <w:rFonts w:ascii="Calibri" w:eastAsia="Times New Roman" w:hAnsi="Calibri" w:cs="Times New Roman"/>
                <w:color w:val="000000"/>
                <w:sz w:val="20"/>
                <w:szCs w:val="20"/>
              </w:rPr>
            </w:pPr>
          </w:p>
        </w:tc>
        <w:tc>
          <w:tcPr>
            <w:tcW w:w="2070" w:type="dxa"/>
            <w:shd w:val="clear" w:color="000000" w:fill="D6DCE4"/>
            <w:vAlign w:val="bottom"/>
          </w:tcPr>
          <w:p w14:paraId="799BD836" w14:textId="77777777" w:rsidR="00A12811" w:rsidRPr="00AA3C64" w:rsidRDefault="00A12811" w:rsidP="00AA3C64">
            <w:pPr>
              <w:jc w:val="right"/>
              <w:rPr>
                <w:rFonts w:ascii="Calibri" w:eastAsia="Times New Roman" w:hAnsi="Calibri" w:cs="Times New Roman"/>
                <w:color w:val="000000"/>
                <w:sz w:val="20"/>
                <w:szCs w:val="20"/>
              </w:rPr>
            </w:pPr>
          </w:p>
        </w:tc>
        <w:tc>
          <w:tcPr>
            <w:tcW w:w="900" w:type="dxa"/>
            <w:shd w:val="clear" w:color="000000" w:fill="D6DCE4"/>
            <w:noWrap/>
            <w:vAlign w:val="bottom"/>
            <w:hideMark/>
          </w:tcPr>
          <w:p w14:paraId="6AC29104"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w:t>
            </w:r>
          </w:p>
        </w:tc>
        <w:tc>
          <w:tcPr>
            <w:tcW w:w="990" w:type="dxa"/>
            <w:shd w:val="clear" w:color="000000" w:fill="D6DCE4"/>
            <w:noWrap/>
            <w:vAlign w:val="bottom"/>
            <w:hideMark/>
          </w:tcPr>
          <w:p w14:paraId="45423AF7"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w:t>
            </w:r>
          </w:p>
        </w:tc>
        <w:tc>
          <w:tcPr>
            <w:tcW w:w="1155" w:type="dxa"/>
            <w:shd w:val="clear" w:color="000000" w:fill="D6DCE4"/>
            <w:noWrap/>
            <w:vAlign w:val="bottom"/>
            <w:hideMark/>
          </w:tcPr>
          <w:p w14:paraId="18DD00E1"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w:t>
            </w:r>
          </w:p>
        </w:tc>
      </w:tr>
      <w:tr w:rsidR="00A12811" w:rsidRPr="005324E5" w14:paraId="6EB5FA9E" w14:textId="77777777" w:rsidTr="00AA3C64">
        <w:trPr>
          <w:trHeight w:val="280"/>
          <w:jc w:val="center"/>
        </w:trPr>
        <w:tc>
          <w:tcPr>
            <w:tcW w:w="3435" w:type="dxa"/>
            <w:shd w:val="clear" w:color="auto" w:fill="auto"/>
            <w:noWrap/>
            <w:vAlign w:val="bottom"/>
            <w:hideMark/>
          </w:tcPr>
          <w:p w14:paraId="11A2FD41"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xml:space="preserve">Network's online platform </w:t>
            </w:r>
          </w:p>
        </w:tc>
        <w:tc>
          <w:tcPr>
            <w:tcW w:w="1455" w:type="dxa"/>
            <w:shd w:val="clear" w:color="auto" w:fill="auto"/>
            <w:noWrap/>
            <w:vAlign w:val="bottom"/>
            <w:hideMark/>
          </w:tcPr>
          <w:p w14:paraId="34DA584B"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N/A</w:t>
            </w:r>
          </w:p>
        </w:tc>
        <w:tc>
          <w:tcPr>
            <w:tcW w:w="2070" w:type="dxa"/>
            <w:vAlign w:val="bottom"/>
          </w:tcPr>
          <w:p w14:paraId="3779F922"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In-kind UNEP ROLAC</w:t>
            </w:r>
          </w:p>
        </w:tc>
        <w:tc>
          <w:tcPr>
            <w:tcW w:w="900" w:type="dxa"/>
            <w:shd w:val="clear" w:color="auto" w:fill="auto"/>
            <w:noWrap/>
            <w:vAlign w:val="bottom"/>
            <w:hideMark/>
          </w:tcPr>
          <w:p w14:paraId="5D57568E"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c>
          <w:tcPr>
            <w:tcW w:w="990" w:type="dxa"/>
            <w:shd w:val="clear" w:color="auto" w:fill="auto"/>
            <w:noWrap/>
            <w:vAlign w:val="bottom"/>
            <w:hideMark/>
          </w:tcPr>
          <w:p w14:paraId="7AA0712E"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c>
          <w:tcPr>
            <w:tcW w:w="1155" w:type="dxa"/>
            <w:shd w:val="clear" w:color="auto" w:fill="auto"/>
            <w:noWrap/>
            <w:vAlign w:val="bottom"/>
            <w:hideMark/>
          </w:tcPr>
          <w:p w14:paraId="7822EB9E"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r>
      <w:tr w:rsidR="00A12811" w:rsidRPr="005324E5" w14:paraId="788BA18D" w14:textId="77777777" w:rsidTr="00AA3C64">
        <w:trPr>
          <w:trHeight w:val="280"/>
          <w:jc w:val="center"/>
        </w:trPr>
        <w:tc>
          <w:tcPr>
            <w:tcW w:w="3435" w:type="dxa"/>
            <w:shd w:val="clear" w:color="auto" w:fill="auto"/>
            <w:noWrap/>
            <w:vAlign w:val="bottom"/>
            <w:hideMark/>
          </w:tcPr>
          <w:p w14:paraId="565C60BB"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xml:space="preserve">Online platform's management and maintenance </w:t>
            </w:r>
          </w:p>
        </w:tc>
        <w:tc>
          <w:tcPr>
            <w:tcW w:w="1455" w:type="dxa"/>
            <w:shd w:val="clear" w:color="auto" w:fill="auto"/>
            <w:noWrap/>
            <w:hideMark/>
          </w:tcPr>
          <w:p w14:paraId="30F7BDFA"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N/A</w:t>
            </w:r>
          </w:p>
        </w:tc>
        <w:tc>
          <w:tcPr>
            <w:tcW w:w="2070" w:type="dxa"/>
            <w:vAlign w:val="bottom"/>
          </w:tcPr>
          <w:p w14:paraId="2B3FE3B5"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In-kind UNEP ROLAC</w:t>
            </w:r>
          </w:p>
        </w:tc>
        <w:tc>
          <w:tcPr>
            <w:tcW w:w="900" w:type="dxa"/>
            <w:shd w:val="clear" w:color="auto" w:fill="auto"/>
            <w:noWrap/>
            <w:vAlign w:val="bottom"/>
            <w:hideMark/>
          </w:tcPr>
          <w:p w14:paraId="4D0F5FF5"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c>
          <w:tcPr>
            <w:tcW w:w="990" w:type="dxa"/>
            <w:shd w:val="clear" w:color="auto" w:fill="auto"/>
            <w:noWrap/>
            <w:vAlign w:val="bottom"/>
            <w:hideMark/>
          </w:tcPr>
          <w:p w14:paraId="61E12599"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c>
          <w:tcPr>
            <w:tcW w:w="1155" w:type="dxa"/>
            <w:shd w:val="clear" w:color="auto" w:fill="auto"/>
            <w:noWrap/>
            <w:vAlign w:val="bottom"/>
            <w:hideMark/>
          </w:tcPr>
          <w:p w14:paraId="156C587E"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r>
      <w:tr w:rsidR="00A12811" w:rsidRPr="005324E5" w14:paraId="6BF7D4B9" w14:textId="77777777" w:rsidTr="00AA3C64">
        <w:trPr>
          <w:trHeight w:val="280"/>
          <w:jc w:val="center"/>
        </w:trPr>
        <w:tc>
          <w:tcPr>
            <w:tcW w:w="3435" w:type="dxa"/>
            <w:shd w:val="clear" w:color="auto" w:fill="auto"/>
            <w:noWrap/>
            <w:vAlign w:val="bottom"/>
            <w:hideMark/>
          </w:tcPr>
          <w:p w14:paraId="1FC19EE0"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Content administration</w:t>
            </w:r>
          </w:p>
        </w:tc>
        <w:tc>
          <w:tcPr>
            <w:tcW w:w="1455" w:type="dxa"/>
            <w:shd w:val="clear" w:color="auto" w:fill="auto"/>
            <w:noWrap/>
            <w:hideMark/>
          </w:tcPr>
          <w:p w14:paraId="61F8CC91"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N/A</w:t>
            </w:r>
          </w:p>
        </w:tc>
        <w:tc>
          <w:tcPr>
            <w:tcW w:w="2070" w:type="dxa"/>
            <w:vAlign w:val="bottom"/>
          </w:tcPr>
          <w:p w14:paraId="20CCC4AC" w14:textId="77777777" w:rsidR="00A12811" w:rsidRPr="00AA3C64" w:rsidRDefault="00A12811" w:rsidP="00AA3C64">
            <w:pPr>
              <w:jc w:val="right"/>
              <w:rPr>
                <w:rFonts w:ascii="Calibri" w:eastAsia="Times New Roman" w:hAnsi="Calibri" w:cs="Times New Roman"/>
                <w:color w:val="000000"/>
                <w:sz w:val="20"/>
                <w:szCs w:val="20"/>
              </w:rPr>
            </w:pPr>
            <w:r>
              <w:rPr>
                <w:rFonts w:ascii="Calibri" w:eastAsia="Times New Roman" w:hAnsi="Calibri" w:cs="Times New Roman"/>
                <w:color w:val="000000"/>
                <w:sz w:val="20"/>
                <w:szCs w:val="20"/>
              </w:rPr>
              <w:t>Personal</w:t>
            </w:r>
          </w:p>
        </w:tc>
        <w:tc>
          <w:tcPr>
            <w:tcW w:w="900" w:type="dxa"/>
            <w:shd w:val="clear" w:color="auto" w:fill="auto"/>
            <w:noWrap/>
            <w:vAlign w:val="bottom"/>
            <w:hideMark/>
          </w:tcPr>
          <w:p w14:paraId="6AA1C6D6"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2,000</w:t>
            </w:r>
          </w:p>
        </w:tc>
        <w:tc>
          <w:tcPr>
            <w:tcW w:w="990" w:type="dxa"/>
            <w:shd w:val="clear" w:color="auto" w:fill="auto"/>
            <w:noWrap/>
            <w:vAlign w:val="bottom"/>
            <w:hideMark/>
          </w:tcPr>
          <w:p w14:paraId="5B55DD1A"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2,000</w:t>
            </w:r>
          </w:p>
        </w:tc>
        <w:tc>
          <w:tcPr>
            <w:tcW w:w="1155" w:type="dxa"/>
            <w:shd w:val="clear" w:color="auto" w:fill="auto"/>
            <w:noWrap/>
            <w:vAlign w:val="bottom"/>
            <w:hideMark/>
          </w:tcPr>
          <w:p w14:paraId="081014BA"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xml:space="preserve"> 4,000 </w:t>
            </w:r>
          </w:p>
        </w:tc>
      </w:tr>
      <w:tr w:rsidR="00A12811" w:rsidRPr="005324E5" w14:paraId="42684192" w14:textId="77777777" w:rsidTr="00AA3C64">
        <w:trPr>
          <w:trHeight w:val="280"/>
          <w:jc w:val="center"/>
        </w:trPr>
        <w:tc>
          <w:tcPr>
            <w:tcW w:w="3435" w:type="dxa"/>
            <w:shd w:val="clear" w:color="auto" w:fill="auto"/>
            <w:noWrap/>
            <w:vAlign w:val="bottom"/>
            <w:hideMark/>
          </w:tcPr>
          <w:p w14:paraId="1DA89D0B"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xml:space="preserve">Newsletter </w:t>
            </w:r>
          </w:p>
        </w:tc>
        <w:tc>
          <w:tcPr>
            <w:tcW w:w="1455" w:type="dxa"/>
            <w:shd w:val="clear" w:color="auto" w:fill="auto"/>
            <w:noWrap/>
            <w:hideMark/>
          </w:tcPr>
          <w:p w14:paraId="689D6EC2"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N/A</w:t>
            </w:r>
          </w:p>
        </w:tc>
        <w:tc>
          <w:tcPr>
            <w:tcW w:w="2070" w:type="dxa"/>
            <w:vAlign w:val="bottom"/>
          </w:tcPr>
          <w:p w14:paraId="7AAEF86B"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In-kind UNEP ROLAC</w:t>
            </w:r>
          </w:p>
        </w:tc>
        <w:tc>
          <w:tcPr>
            <w:tcW w:w="900" w:type="dxa"/>
            <w:shd w:val="clear" w:color="auto" w:fill="auto"/>
            <w:noWrap/>
            <w:vAlign w:val="bottom"/>
            <w:hideMark/>
          </w:tcPr>
          <w:p w14:paraId="257D08F3"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c>
          <w:tcPr>
            <w:tcW w:w="990" w:type="dxa"/>
            <w:shd w:val="clear" w:color="auto" w:fill="auto"/>
            <w:noWrap/>
            <w:vAlign w:val="bottom"/>
            <w:hideMark/>
          </w:tcPr>
          <w:p w14:paraId="48CD114B"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c>
          <w:tcPr>
            <w:tcW w:w="1155" w:type="dxa"/>
            <w:shd w:val="clear" w:color="auto" w:fill="auto"/>
            <w:noWrap/>
            <w:vAlign w:val="bottom"/>
            <w:hideMark/>
          </w:tcPr>
          <w:p w14:paraId="7E1D3ADE"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0</w:t>
            </w:r>
          </w:p>
        </w:tc>
      </w:tr>
      <w:tr w:rsidR="00A12811" w:rsidRPr="005324E5" w14:paraId="0BFD7D49" w14:textId="77777777" w:rsidTr="00AA3C64">
        <w:trPr>
          <w:trHeight w:val="280"/>
          <w:jc w:val="center"/>
        </w:trPr>
        <w:tc>
          <w:tcPr>
            <w:tcW w:w="3435" w:type="dxa"/>
            <w:shd w:val="clear" w:color="auto" w:fill="auto"/>
            <w:noWrap/>
            <w:vAlign w:val="bottom"/>
            <w:hideMark/>
          </w:tcPr>
          <w:p w14:paraId="34A85FAC"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Publications</w:t>
            </w:r>
          </w:p>
        </w:tc>
        <w:tc>
          <w:tcPr>
            <w:tcW w:w="1455" w:type="dxa"/>
            <w:shd w:val="clear" w:color="auto" w:fill="auto"/>
            <w:noWrap/>
            <w:hideMark/>
          </w:tcPr>
          <w:p w14:paraId="3A6B16F6"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N/A</w:t>
            </w:r>
          </w:p>
        </w:tc>
        <w:tc>
          <w:tcPr>
            <w:tcW w:w="2070" w:type="dxa"/>
            <w:vAlign w:val="bottom"/>
          </w:tcPr>
          <w:p w14:paraId="395CAE2A"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Upon demand</w:t>
            </w:r>
          </w:p>
        </w:tc>
        <w:tc>
          <w:tcPr>
            <w:tcW w:w="900" w:type="dxa"/>
            <w:shd w:val="clear" w:color="auto" w:fill="auto"/>
            <w:noWrap/>
            <w:vAlign w:val="bottom"/>
            <w:hideMark/>
          </w:tcPr>
          <w:p w14:paraId="33925015" w14:textId="77777777" w:rsidR="00A12811" w:rsidRPr="00AA3C64" w:rsidRDefault="00A12811" w:rsidP="00AA3C64">
            <w:pPr>
              <w:rPr>
                <w:rFonts w:ascii="Calibri" w:eastAsia="Times New Roman" w:hAnsi="Calibri" w:cs="Times New Roman"/>
                <w:color w:val="000000"/>
                <w:sz w:val="20"/>
                <w:szCs w:val="20"/>
              </w:rPr>
            </w:pPr>
          </w:p>
        </w:tc>
        <w:tc>
          <w:tcPr>
            <w:tcW w:w="990" w:type="dxa"/>
            <w:shd w:val="clear" w:color="auto" w:fill="auto"/>
            <w:noWrap/>
            <w:vAlign w:val="bottom"/>
            <w:hideMark/>
          </w:tcPr>
          <w:p w14:paraId="0F1712C5" w14:textId="77777777" w:rsidR="00A12811" w:rsidRPr="00AA3C64" w:rsidRDefault="00A12811" w:rsidP="00AA3C64">
            <w:pPr>
              <w:rPr>
                <w:rFonts w:ascii="Calibri" w:eastAsia="Times New Roman" w:hAnsi="Calibri" w:cs="Times New Roman"/>
                <w:color w:val="000000"/>
                <w:sz w:val="20"/>
                <w:szCs w:val="20"/>
              </w:rPr>
            </w:pPr>
          </w:p>
        </w:tc>
        <w:tc>
          <w:tcPr>
            <w:tcW w:w="1155" w:type="dxa"/>
            <w:shd w:val="clear" w:color="auto" w:fill="auto"/>
            <w:noWrap/>
            <w:vAlign w:val="bottom"/>
            <w:hideMark/>
          </w:tcPr>
          <w:p w14:paraId="0337BA94" w14:textId="77777777" w:rsidR="00A12811" w:rsidRPr="00AA3C64" w:rsidRDefault="00A12811" w:rsidP="00AA3C64">
            <w:pPr>
              <w:jc w:val="right"/>
              <w:rPr>
                <w:rFonts w:ascii="Calibri" w:eastAsia="Times New Roman" w:hAnsi="Calibri" w:cs="Times New Roman"/>
                <w:color w:val="FF0000"/>
                <w:sz w:val="20"/>
                <w:szCs w:val="20"/>
              </w:rPr>
            </w:pPr>
          </w:p>
        </w:tc>
      </w:tr>
      <w:tr w:rsidR="00A12811" w:rsidRPr="005324E5" w14:paraId="2C42ADEC" w14:textId="77777777" w:rsidTr="00AA3C64">
        <w:trPr>
          <w:trHeight w:val="280"/>
          <w:jc w:val="center"/>
        </w:trPr>
        <w:tc>
          <w:tcPr>
            <w:tcW w:w="3435" w:type="dxa"/>
            <w:shd w:val="clear" w:color="auto" w:fill="auto"/>
            <w:noWrap/>
            <w:vAlign w:val="bottom"/>
            <w:hideMark/>
          </w:tcPr>
          <w:p w14:paraId="16BC11DF" w14:textId="77777777" w:rsidR="00A12811" w:rsidRPr="00AA3C64" w:rsidRDefault="00A12811" w:rsidP="00AA3C64">
            <w:pPr>
              <w:rPr>
                <w:rFonts w:ascii="Calibri" w:eastAsia="Times New Roman" w:hAnsi="Calibri" w:cs="Times New Roman"/>
                <w:color w:val="000000"/>
                <w:sz w:val="20"/>
                <w:szCs w:val="20"/>
              </w:rPr>
            </w:pPr>
            <w:proofErr w:type="spellStart"/>
            <w:r w:rsidRPr="00AA3C64">
              <w:rPr>
                <w:rFonts w:ascii="Calibri" w:eastAsia="Times New Roman" w:hAnsi="Calibri" w:cs="Times New Roman"/>
                <w:color w:val="000000"/>
                <w:sz w:val="20"/>
                <w:szCs w:val="20"/>
              </w:rPr>
              <w:t>GoToWebinar</w:t>
            </w:r>
            <w:proofErr w:type="spellEnd"/>
            <w:r w:rsidRPr="00AA3C64">
              <w:rPr>
                <w:rFonts w:ascii="Calibri" w:eastAsia="Times New Roman" w:hAnsi="Calibri" w:cs="Times New Roman"/>
                <w:color w:val="000000"/>
                <w:sz w:val="20"/>
                <w:szCs w:val="20"/>
              </w:rPr>
              <w:t xml:space="preserve"> platform (webinars)</w:t>
            </w:r>
          </w:p>
        </w:tc>
        <w:tc>
          <w:tcPr>
            <w:tcW w:w="1455" w:type="dxa"/>
            <w:shd w:val="clear" w:color="auto" w:fill="auto"/>
            <w:noWrap/>
            <w:hideMark/>
          </w:tcPr>
          <w:p w14:paraId="480652E5"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N/A</w:t>
            </w:r>
          </w:p>
        </w:tc>
        <w:tc>
          <w:tcPr>
            <w:tcW w:w="2070" w:type="dxa"/>
            <w:vAlign w:val="bottom"/>
          </w:tcPr>
          <w:p w14:paraId="35A7034E"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Co-funding UNEP ROLAC</w:t>
            </w:r>
          </w:p>
        </w:tc>
        <w:tc>
          <w:tcPr>
            <w:tcW w:w="900" w:type="dxa"/>
            <w:shd w:val="clear" w:color="auto" w:fill="auto"/>
            <w:noWrap/>
            <w:vAlign w:val="bottom"/>
            <w:hideMark/>
          </w:tcPr>
          <w:p w14:paraId="63369CE7"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200</w:t>
            </w:r>
          </w:p>
        </w:tc>
        <w:tc>
          <w:tcPr>
            <w:tcW w:w="990" w:type="dxa"/>
            <w:shd w:val="clear" w:color="auto" w:fill="auto"/>
            <w:noWrap/>
            <w:vAlign w:val="bottom"/>
            <w:hideMark/>
          </w:tcPr>
          <w:p w14:paraId="412E3464"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200</w:t>
            </w:r>
          </w:p>
        </w:tc>
        <w:tc>
          <w:tcPr>
            <w:tcW w:w="1155" w:type="dxa"/>
            <w:shd w:val="clear" w:color="auto" w:fill="auto"/>
            <w:noWrap/>
            <w:vAlign w:val="bottom"/>
            <w:hideMark/>
          </w:tcPr>
          <w:p w14:paraId="249CBE71" w14:textId="77777777" w:rsidR="00A12811" w:rsidRPr="00AA3C64" w:rsidRDefault="00A12811" w:rsidP="00AA3C64">
            <w:pPr>
              <w:jc w:val="right"/>
              <w:rPr>
                <w:rFonts w:ascii="Calibri" w:eastAsia="Times New Roman" w:hAnsi="Calibri" w:cs="Times New Roman"/>
                <w:sz w:val="20"/>
                <w:szCs w:val="20"/>
              </w:rPr>
            </w:pPr>
            <w:r w:rsidRPr="00AA3C64">
              <w:rPr>
                <w:rFonts w:ascii="Calibri" w:eastAsia="Times New Roman" w:hAnsi="Calibri" w:cs="Times New Roman"/>
                <w:sz w:val="20"/>
                <w:szCs w:val="20"/>
              </w:rPr>
              <w:t xml:space="preserve"> 400 </w:t>
            </w:r>
          </w:p>
        </w:tc>
      </w:tr>
      <w:tr w:rsidR="00A12811" w:rsidRPr="005324E5" w14:paraId="7A9B95C7" w14:textId="77777777" w:rsidTr="00AA3C64">
        <w:trPr>
          <w:trHeight w:val="280"/>
          <w:jc w:val="center"/>
        </w:trPr>
        <w:tc>
          <w:tcPr>
            <w:tcW w:w="3435" w:type="dxa"/>
            <w:shd w:val="clear" w:color="auto" w:fill="auto"/>
            <w:noWrap/>
            <w:vAlign w:val="bottom"/>
            <w:hideMark/>
          </w:tcPr>
          <w:p w14:paraId="15170B68"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Translations</w:t>
            </w:r>
          </w:p>
        </w:tc>
        <w:tc>
          <w:tcPr>
            <w:tcW w:w="1455" w:type="dxa"/>
            <w:shd w:val="clear" w:color="auto" w:fill="auto"/>
            <w:noWrap/>
            <w:hideMark/>
          </w:tcPr>
          <w:p w14:paraId="301D5200"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N/A</w:t>
            </w:r>
          </w:p>
        </w:tc>
        <w:tc>
          <w:tcPr>
            <w:tcW w:w="2070" w:type="dxa"/>
            <w:vAlign w:val="bottom"/>
          </w:tcPr>
          <w:p w14:paraId="6FDF8CD5"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Third-party</w:t>
            </w:r>
          </w:p>
        </w:tc>
        <w:tc>
          <w:tcPr>
            <w:tcW w:w="900" w:type="dxa"/>
            <w:shd w:val="clear" w:color="auto" w:fill="auto"/>
            <w:noWrap/>
            <w:vAlign w:val="bottom"/>
            <w:hideMark/>
          </w:tcPr>
          <w:p w14:paraId="6E2AC87A"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3,000</w:t>
            </w:r>
          </w:p>
        </w:tc>
        <w:tc>
          <w:tcPr>
            <w:tcW w:w="990" w:type="dxa"/>
            <w:shd w:val="clear" w:color="auto" w:fill="auto"/>
            <w:noWrap/>
            <w:vAlign w:val="bottom"/>
            <w:hideMark/>
          </w:tcPr>
          <w:p w14:paraId="7A59EF52"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3,000</w:t>
            </w:r>
          </w:p>
        </w:tc>
        <w:tc>
          <w:tcPr>
            <w:tcW w:w="1155" w:type="dxa"/>
            <w:shd w:val="clear" w:color="auto" w:fill="auto"/>
            <w:noWrap/>
            <w:vAlign w:val="bottom"/>
            <w:hideMark/>
          </w:tcPr>
          <w:p w14:paraId="673F187E" w14:textId="77777777" w:rsidR="00A12811" w:rsidRPr="00AA3C64" w:rsidRDefault="00A12811" w:rsidP="00AA3C64">
            <w:pPr>
              <w:jc w:val="right"/>
              <w:rPr>
                <w:rFonts w:ascii="Calibri" w:eastAsia="Times New Roman" w:hAnsi="Calibri" w:cs="Times New Roman"/>
                <w:sz w:val="20"/>
                <w:szCs w:val="20"/>
              </w:rPr>
            </w:pPr>
            <w:r w:rsidRPr="00AA3C64">
              <w:rPr>
                <w:rFonts w:ascii="Calibri" w:eastAsia="Times New Roman" w:hAnsi="Calibri" w:cs="Times New Roman"/>
                <w:sz w:val="20"/>
                <w:szCs w:val="20"/>
              </w:rPr>
              <w:t xml:space="preserve"> 6,000 </w:t>
            </w:r>
          </w:p>
        </w:tc>
      </w:tr>
      <w:tr w:rsidR="00A12811" w:rsidRPr="005324E5" w14:paraId="1996A71C" w14:textId="77777777" w:rsidTr="00AA3C64">
        <w:trPr>
          <w:trHeight w:val="580"/>
          <w:jc w:val="center"/>
        </w:trPr>
        <w:tc>
          <w:tcPr>
            <w:tcW w:w="3435" w:type="dxa"/>
            <w:shd w:val="clear" w:color="auto" w:fill="auto"/>
            <w:noWrap/>
            <w:vAlign w:val="bottom"/>
            <w:hideMark/>
          </w:tcPr>
          <w:p w14:paraId="3DCDE4BC"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xml:space="preserve">Design, edition services (newsletter, </w:t>
            </w:r>
            <w:proofErr w:type="spellStart"/>
            <w:r w:rsidRPr="00AA3C64">
              <w:rPr>
                <w:rFonts w:ascii="Calibri" w:eastAsia="Times New Roman" w:hAnsi="Calibri" w:cs="Times New Roman"/>
                <w:color w:val="000000"/>
                <w:sz w:val="20"/>
                <w:szCs w:val="20"/>
              </w:rPr>
              <w:t>etc</w:t>
            </w:r>
            <w:proofErr w:type="spellEnd"/>
            <w:r w:rsidRPr="00AA3C64">
              <w:rPr>
                <w:rFonts w:ascii="Calibri" w:eastAsia="Times New Roman" w:hAnsi="Calibri" w:cs="Times New Roman"/>
                <w:color w:val="000000"/>
                <w:sz w:val="20"/>
                <w:szCs w:val="20"/>
              </w:rPr>
              <w:t>)</w:t>
            </w:r>
          </w:p>
        </w:tc>
        <w:tc>
          <w:tcPr>
            <w:tcW w:w="1455" w:type="dxa"/>
            <w:shd w:val="clear" w:color="auto" w:fill="auto"/>
            <w:noWrap/>
            <w:vAlign w:val="bottom"/>
            <w:hideMark/>
          </w:tcPr>
          <w:p w14:paraId="1ECCDA70"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N/A</w:t>
            </w:r>
          </w:p>
        </w:tc>
        <w:tc>
          <w:tcPr>
            <w:tcW w:w="2070" w:type="dxa"/>
            <w:vAlign w:val="bottom"/>
          </w:tcPr>
          <w:p w14:paraId="33E4C1DF"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Third-party</w:t>
            </w:r>
          </w:p>
        </w:tc>
        <w:tc>
          <w:tcPr>
            <w:tcW w:w="900" w:type="dxa"/>
            <w:shd w:val="clear" w:color="auto" w:fill="auto"/>
            <w:noWrap/>
            <w:vAlign w:val="bottom"/>
            <w:hideMark/>
          </w:tcPr>
          <w:p w14:paraId="69EE50EA"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1,000</w:t>
            </w:r>
          </w:p>
        </w:tc>
        <w:tc>
          <w:tcPr>
            <w:tcW w:w="990" w:type="dxa"/>
            <w:shd w:val="clear" w:color="auto" w:fill="auto"/>
            <w:noWrap/>
            <w:vAlign w:val="bottom"/>
            <w:hideMark/>
          </w:tcPr>
          <w:p w14:paraId="76A31717"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1,000</w:t>
            </w:r>
          </w:p>
        </w:tc>
        <w:tc>
          <w:tcPr>
            <w:tcW w:w="1155" w:type="dxa"/>
            <w:shd w:val="clear" w:color="auto" w:fill="auto"/>
            <w:noWrap/>
            <w:vAlign w:val="bottom"/>
            <w:hideMark/>
          </w:tcPr>
          <w:p w14:paraId="69B9D7BF" w14:textId="77777777" w:rsidR="00A12811" w:rsidRPr="00AA3C64" w:rsidRDefault="00A12811" w:rsidP="00AA3C64">
            <w:pPr>
              <w:jc w:val="right"/>
              <w:rPr>
                <w:rFonts w:ascii="Calibri" w:eastAsia="Times New Roman" w:hAnsi="Calibri" w:cs="Times New Roman"/>
                <w:sz w:val="20"/>
                <w:szCs w:val="20"/>
              </w:rPr>
            </w:pPr>
            <w:r w:rsidRPr="00AA3C64">
              <w:rPr>
                <w:rFonts w:ascii="Calibri" w:eastAsia="Times New Roman" w:hAnsi="Calibri" w:cs="Times New Roman"/>
                <w:sz w:val="20"/>
                <w:szCs w:val="20"/>
              </w:rPr>
              <w:t xml:space="preserve"> 2,000 </w:t>
            </w:r>
          </w:p>
        </w:tc>
      </w:tr>
      <w:tr w:rsidR="00A12811" w:rsidRPr="005324E5" w14:paraId="357674C9" w14:textId="77777777" w:rsidTr="00AA3C64">
        <w:trPr>
          <w:trHeight w:val="300"/>
          <w:jc w:val="center"/>
        </w:trPr>
        <w:tc>
          <w:tcPr>
            <w:tcW w:w="3435" w:type="dxa"/>
            <w:shd w:val="clear" w:color="auto" w:fill="auto"/>
            <w:noWrap/>
            <w:vAlign w:val="bottom"/>
            <w:hideMark/>
          </w:tcPr>
          <w:p w14:paraId="4395A627" w14:textId="77777777" w:rsidR="00A12811" w:rsidRPr="00AA3C64" w:rsidRDefault="00A12811" w:rsidP="00AA3C64">
            <w:pP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Sub-total</w:t>
            </w:r>
          </w:p>
        </w:tc>
        <w:tc>
          <w:tcPr>
            <w:tcW w:w="1455" w:type="dxa"/>
            <w:shd w:val="clear" w:color="auto" w:fill="auto"/>
            <w:noWrap/>
            <w:vAlign w:val="bottom"/>
            <w:hideMark/>
          </w:tcPr>
          <w:p w14:paraId="5F13FCDC" w14:textId="77777777" w:rsidR="00A12811" w:rsidRPr="00AA3C64" w:rsidRDefault="00A12811" w:rsidP="00AA3C64">
            <w:pPr>
              <w:rPr>
                <w:rFonts w:ascii="Calibri" w:eastAsia="Times New Roman" w:hAnsi="Calibri" w:cs="Times New Roman"/>
                <w:color w:val="000000"/>
                <w:sz w:val="20"/>
                <w:szCs w:val="20"/>
              </w:rPr>
            </w:pPr>
          </w:p>
        </w:tc>
        <w:tc>
          <w:tcPr>
            <w:tcW w:w="2070" w:type="dxa"/>
            <w:vAlign w:val="bottom"/>
          </w:tcPr>
          <w:p w14:paraId="1CD863D5" w14:textId="77777777" w:rsidR="00A12811" w:rsidRPr="00AA3C64" w:rsidRDefault="00A12811" w:rsidP="00AA3C64">
            <w:pPr>
              <w:rPr>
                <w:rFonts w:ascii="Calibri" w:eastAsia="Times New Roman" w:hAnsi="Calibri" w:cs="Times New Roman"/>
                <w:color w:val="000000"/>
                <w:sz w:val="20"/>
                <w:szCs w:val="20"/>
              </w:rPr>
            </w:pPr>
          </w:p>
        </w:tc>
        <w:tc>
          <w:tcPr>
            <w:tcW w:w="900" w:type="dxa"/>
            <w:shd w:val="clear" w:color="auto" w:fill="auto"/>
            <w:noWrap/>
            <w:vAlign w:val="bottom"/>
            <w:hideMark/>
          </w:tcPr>
          <w:p w14:paraId="347AA90A"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6,200</w:t>
            </w:r>
          </w:p>
        </w:tc>
        <w:tc>
          <w:tcPr>
            <w:tcW w:w="990" w:type="dxa"/>
            <w:shd w:val="clear" w:color="auto" w:fill="auto"/>
            <w:noWrap/>
            <w:vAlign w:val="bottom"/>
            <w:hideMark/>
          </w:tcPr>
          <w:p w14:paraId="60B3A31F"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6,200</w:t>
            </w:r>
          </w:p>
        </w:tc>
        <w:tc>
          <w:tcPr>
            <w:tcW w:w="1155" w:type="dxa"/>
            <w:shd w:val="clear" w:color="auto" w:fill="auto"/>
            <w:noWrap/>
            <w:vAlign w:val="bottom"/>
            <w:hideMark/>
          </w:tcPr>
          <w:p w14:paraId="6685C8D5" w14:textId="77777777" w:rsidR="00A12811" w:rsidRPr="00AA3C64" w:rsidRDefault="00A12811" w:rsidP="00AA3C64">
            <w:pPr>
              <w:jc w:val="right"/>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xml:space="preserve"> 12,400.00 </w:t>
            </w:r>
          </w:p>
        </w:tc>
      </w:tr>
      <w:tr w:rsidR="00A12811" w:rsidRPr="005324E5" w14:paraId="798AA43B" w14:textId="77777777" w:rsidTr="00AA3C64">
        <w:trPr>
          <w:trHeight w:val="300"/>
          <w:jc w:val="center"/>
        </w:trPr>
        <w:tc>
          <w:tcPr>
            <w:tcW w:w="3435" w:type="dxa"/>
            <w:shd w:val="clear" w:color="000000" w:fill="D6DCE4"/>
            <w:noWrap/>
            <w:vAlign w:val="bottom"/>
            <w:hideMark/>
          </w:tcPr>
          <w:p w14:paraId="1C6B21F5" w14:textId="77777777" w:rsidR="00A12811" w:rsidRPr="00AA3C64" w:rsidRDefault="00A12811" w:rsidP="00AA3C64">
            <w:pPr>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Total</w:t>
            </w:r>
          </w:p>
        </w:tc>
        <w:tc>
          <w:tcPr>
            <w:tcW w:w="1455" w:type="dxa"/>
            <w:shd w:val="clear" w:color="000000" w:fill="D6DCE4"/>
            <w:noWrap/>
            <w:vAlign w:val="bottom"/>
            <w:hideMark/>
          </w:tcPr>
          <w:p w14:paraId="55026CCC"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w:t>
            </w:r>
          </w:p>
        </w:tc>
        <w:tc>
          <w:tcPr>
            <w:tcW w:w="2070" w:type="dxa"/>
            <w:shd w:val="clear" w:color="000000" w:fill="D6DCE4"/>
            <w:vAlign w:val="bottom"/>
          </w:tcPr>
          <w:p w14:paraId="5914C22C" w14:textId="77777777" w:rsidR="00A12811" w:rsidRPr="00AA3C64" w:rsidRDefault="00A12811" w:rsidP="00AA3C64">
            <w:pPr>
              <w:rPr>
                <w:rFonts w:ascii="Calibri" w:eastAsia="Times New Roman" w:hAnsi="Calibri" w:cs="Times New Roman"/>
                <w:color w:val="000000"/>
                <w:sz w:val="20"/>
                <w:szCs w:val="20"/>
              </w:rPr>
            </w:pPr>
            <w:r w:rsidRPr="00AA3C64">
              <w:rPr>
                <w:rFonts w:ascii="Calibri" w:eastAsia="Times New Roman" w:hAnsi="Calibri" w:cs="Times New Roman"/>
                <w:color w:val="000000"/>
                <w:sz w:val="20"/>
                <w:szCs w:val="20"/>
              </w:rPr>
              <w:t> </w:t>
            </w:r>
          </w:p>
        </w:tc>
        <w:tc>
          <w:tcPr>
            <w:tcW w:w="900" w:type="dxa"/>
            <w:shd w:val="clear" w:color="000000" w:fill="D6DCE4"/>
            <w:noWrap/>
            <w:vAlign w:val="bottom"/>
            <w:hideMark/>
          </w:tcPr>
          <w:p w14:paraId="0C69F9B0" w14:textId="77777777" w:rsidR="00A12811" w:rsidRPr="00AA3C64" w:rsidRDefault="00A12811" w:rsidP="00AA3C64">
            <w:pPr>
              <w:rPr>
                <w:rFonts w:ascii="Calibri" w:eastAsia="Times New Roman" w:hAnsi="Calibri" w:cs="Times New Roman"/>
                <w:b/>
                <w:color w:val="000000"/>
                <w:sz w:val="20"/>
                <w:szCs w:val="20"/>
              </w:rPr>
            </w:pPr>
            <w:r w:rsidRPr="00AA3C64">
              <w:rPr>
                <w:rFonts w:ascii="Calibri" w:eastAsia="Times New Roman" w:hAnsi="Calibri" w:cs="Times New Roman"/>
                <w:b/>
                <w:color w:val="000000"/>
                <w:sz w:val="20"/>
                <w:szCs w:val="20"/>
              </w:rPr>
              <w:t> 56,200</w:t>
            </w:r>
          </w:p>
        </w:tc>
        <w:tc>
          <w:tcPr>
            <w:tcW w:w="990" w:type="dxa"/>
            <w:shd w:val="clear" w:color="000000" w:fill="D6DCE4"/>
            <w:noWrap/>
            <w:vAlign w:val="bottom"/>
            <w:hideMark/>
          </w:tcPr>
          <w:p w14:paraId="589C9766" w14:textId="77777777" w:rsidR="00A12811" w:rsidRPr="00AA3C64" w:rsidRDefault="00A12811" w:rsidP="00AA3C64">
            <w:pPr>
              <w:jc w:val="right"/>
              <w:rPr>
                <w:rFonts w:ascii="Calibri" w:eastAsia="Times New Roman" w:hAnsi="Calibri" w:cs="Times New Roman"/>
                <w:b/>
                <w:color w:val="000000"/>
                <w:sz w:val="20"/>
                <w:szCs w:val="20"/>
              </w:rPr>
            </w:pPr>
            <w:r w:rsidRPr="00AA3C64">
              <w:rPr>
                <w:rFonts w:ascii="Calibri" w:eastAsia="Times New Roman" w:hAnsi="Calibri" w:cs="Times New Roman"/>
                <w:b/>
                <w:color w:val="000000"/>
                <w:sz w:val="20"/>
                <w:szCs w:val="20"/>
              </w:rPr>
              <w:t> 116,200</w:t>
            </w:r>
          </w:p>
        </w:tc>
        <w:tc>
          <w:tcPr>
            <w:tcW w:w="1155" w:type="dxa"/>
            <w:shd w:val="clear" w:color="auto" w:fill="auto"/>
            <w:noWrap/>
            <w:vAlign w:val="bottom"/>
            <w:hideMark/>
          </w:tcPr>
          <w:p w14:paraId="0A690251" w14:textId="77777777" w:rsidR="00A12811" w:rsidRPr="00AA3C64" w:rsidRDefault="00A12811" w:rsidP="00AA3C64">
            <w:pPr>
              <w:jc w:val="right"/>
              <w:rPr>
                <w:rFonts w:ascii="Calibri" w:eastAsia="Times New Roman" w:hAnsi="Calibri" w:cs="Times New Roman"/>
                <w:b/>
                <w:bCs/>
                <w:color w:val="000000"/>
                <w:sz w:val="20"/>
                <w:szCs w:val="20"/>
              </w:rPr>
            </w:pPr>
            <w:r w:rsidRPr="00AA3C64">
              <w:rPr>
                <w:rFonts w:ascii="Calibri" w:eastAsia="Times New Roman" w:hAnsi="Calibri" w:cs="Times New Roman"/>
                <w:b/>
                <w:bCs/>
                <w:color w:val="000000"/>
                <w:sz w:val="20"/>
                <w:szCs w:val="20"/>
              </w:rPr>
              <w:t xml:space="preserve"> 172,400.00 </w:t>
            </w:r>
          </w:p>
        </w:tc>
      </w:tr>
    </w:tbl>
    <w:p w14:paraId="56CB5E39" w14:textId="77777777" w:rsidR="00A12811" w:rsidRDefault="00A12811" w:rsidP="00A12811">
      <w:pPr>
        <w:pStyle w:val="Heading2"/>
      </w:pPr>
    </w:p>
    <w:p w14:paraId="401F2CB9" w14:textId="77777777" w:rsidR="00A12811" w:rsidRDefault="00A12811" w:rsidP="00A12811">
      <w:pPr>
        <w:pStyle w:val="Heading2"/>
      </w:pPr>
      <w:bookmarkStart w:id="9" w:name="_Toc523242063"/>
      <w:r>
        <w:t>2019-2020 Biennium Action Plan implementation</w:t>
      </w:r>
      <w:bookmarkEnd w:id="9"/>
    </w:p>
    <w:p w14:paraId="070386A9" w14:textId="77777777" w:rsidR="00A12811" w:rsidRDefault="00A12811" w:rsidP="00A12811"/>
    <w:p w14:paraId="2D51AAFB" w14:textId="77777777" w:rsidR="00A12811" w:rsidRDefault="00A12811" w:rsidP="00A12811">
      <w:pPr>
        <w:jc w:val="both"/>
        <w:rPr>
          <w:rFonts w:asciiTheme="majorHAnsi" w:hAnsiTheme="majorHAnsi"/>
        </w:rPr>
      </w:pPr>
      <w:r>
        <w:rPr>
          <w:rFonts w:asciiTheme="majorHAnsi" w:hAnsiTheme="majorHAnsi"/>
        </w:rPr>
        <w:t>The following T</w:t>
      </w:r>
      <w:r w:rsidRPr="00910492">
        <w:rPr>
          <w:rFonts w:asciiTheme="majorHAnsi" w:hAnsiTheme="majorHAnsi"/>
        </w:rPr>
        <w:t xml:space="preserve">able </w:t>
      </w:r>
      <w:r>
        <w:rPr>
          <w:rFonts w:asciiTheme="majorHAnsi" w:hAnsiTheme="majorHAnsi"/>
        </w:rPr>
        <w:t xml:space="preserve">2 </w:t>
      </w:r>
      <w:r w:rsidRPr="00910492">
        <w:rPr>
          <w:rFonts w:asciiTheme="majorHAnsi" w:hAnsiTheme="majorHAnsi"/>
        </w:rPr>
        <w:t xml:space="preserve">provides </w:t>
      </w:r>
      <w:r>
        <w:rPr>
          <w:rFonts w:asciiTheme="majorHAnsi" w:hAnsiTheme="majorHAnsi"/>
        </w:rPr>
        <w:t>a summary of</w:t>
      </w:r>
      <w:r w:rsidRPr="00910492">
        <w:rPr>
          <w:rFonts w:asciiTheme="majorHAnsi" w:hAnsiTheme="majorHAnsi"/>
        </w:rPr>
        <w:t xml:space="preserve"> </w:t>
      </w:r>
      <w:r>
        <w:rPr>
          <w:rFonts w:asciiTheme="majorHAnsi" w:hAnsiTheme="majorHAnsi"/>
        </w:rPr>
        <w:t xml:space="preserve">the type </w:t>
      </w:r>
      <w:r w:rsidRPr="00910492">
        <w:rPr>
          <w:rFonts w:asciiTheme="majorHAnsi" w:hAnsiTheme="majorHAnsi"/>
        </w:rPr>
        <w:t xml:space="preserve">activities </w:t>
      </w:r>
      <w:r>
        <w:rPr>
          <w:rFonts w:asciiTheme="majorHAnsi" w:hAnsiTheme="majorHAnsi"/>
        </w:rPr>
        <w:t xml:space="preserve">that are expected to be implemented under the </w:t>
      </w:r>
      <w:r w:rsidRPr="00910492">
        <w:rPr>
          <w:rFonts w:asciiTheme="majorHAnsi" w:hAnsiTheme="majorHAnsi"/>
        </w:rPr>
        <w:t>201</w:t>
      </w:r>
      <w:r>
        <w:rPr>
          <w:rFonts w:asciiTheme="majorHAnsi" w:hAnsiTheme="majorHAnsi"/>
        </w:rPr>
        <w:t>9</w:t>
      </w:r>
      <w:r w:rsidRPr="00910492">
        <w:rPr>
          <w:rFonts w:asciiTheme="majorHAnsi" w:hAnsiTheme="majorHAnsi"/>
        </w:rPr>
        <w:t>-20</w:t>
      </w:r>
      <w:r>
        <w:rPr>
          <w:rFonts w:asciiTheme="majorHAnsi" w:hAnsiTheme="majorHAnsi"/>
        </w:rPr>
        <w:t>20</w:t>
      </w:r>
      <w:r w:rsidRPr="00910492">
        <w:rPr>
          <w:rFonts w:asciiTheme="majorHAnsi" w:hAnsiTheme="majorHAnsi"/>
        </w:rPr>
        <w:t xml:space="preserve"> Bienn</w:t>
      </w:r>
      <w:r>
        <w:rPr>
          <w:rFonts w:asciiTheme="majorHAnsi" w:hAnsiTheme="majorHAnsi"/>
        </w:rPr>
        <w:t>ial</w:t>
      </w:r>
      <w:r w:rsidRPr="00910492">
        <w:rPr>
          <w:rFonts w:asciiTheme="majorHAnsi" w:hAnsiTheme="majorHAnsi"/>
        </w:rPr>
        <w:t xml:space="preserve"> Action Plan</w:t>
      </w:r>
      <w:r>
        <w:rPr>
          <w:rFonts w:asciiTheme="majorHAnsi" w:hAnsiTheme="majorHAnsi"/>
        </w:rPr>
        <w:t xml:space="preserve">, the related resources and estimated costs. </w:t>
      </w:r>
    </w:p>
    <w:p w14:paraId="311931C1" w14:textId="77777777" w:rsidR="00A12811" w:rsidRDefault="00A12811" w:rsidP="00A12811">
      <w:pPr>
        <w:jc w:val="both"/>
        <w:rPr>
          <w:rFonts w:asciiTheme="majorHAnsi" w:hAnsiTheme="majorHAnsi"/>
        </w:rPr>
      </w:pPr>
    </w:p>
    <w:p w14:paraId="2E969966" w14:textId="77777777" w:rsidR="00A12811" w:rsidRDefault="00A12811" w:rsidP="00A12811">
      <w:pPr>
        <w:jc w:val="both"/>
        <w:rPr>
          <w:rFonts w:asciiTheme="majorHAnsi" w:hAnsiTheme="majorHAnsi"/>
        </w:rPr>
      </w:pPr>
      <w:r w:rsidRPr="0090077F">
        <w:rPr>
          <w:rFonts w:asciiTheme="majorHAnsi" w:hAnsiTheme="majorHAnsi"/>
          <w:b/>
        </w:rPr>
        <w:lastRenderedPageBreak/>
        <w:t>Table 2 –</w:t>
      </w:r>
      <w:r>
        <w:rPr>
          <w:rFonts w:asciiTheme="majorHAnsi" w:hAnsiTheme="majorHAnsi"/>
        </w:rPr>
        <w:t xml:space="preserve"> Summary of activities and estimation of resources needed under the 2019-2020 Biennial Action Plan</w:t>
      </w:r>
    </w:p>
    <w:p w14:paraId="6287A130" w14:textId="77777777" w:rsidR="00A12811" w:rsidRDefault="00A12811" w:rsidP="00A12811">
      <w:pPr>
        <w:jc w:val="both"/>
        <w:rPr>
          <w:rFonts w:asciiTheme="majorHAnsi" w:hAnsiTheme="majorHAnsi"/>
        </w:rPr>
      </w:pPr>
    </w:p>
    <w:tbl>
      <w:tblPr>
        <w:tblStyle w:val="TableGrid"/>
        <w:tblW w:w="10310" w:type="dxa"/>
        <w:tblLook w:val="04A0" w:firstRow="1" w:lastRow="0" w:firstColumn="1" w:lastColumn="0" w:noHBand="0" w:noVBand="1"/>
      </w:tblPr>
      <w:tblGrid>
        <w:gridCol w:w="3618"/>
        <w:gridCol w:w="3510"/>
        <w:gridCol w:w="3182"/>
      </w:tblGrid>
      <w:tr w:rsidR="00A12811" w14:paraId="3ADFAADA" w14:textId="77777777" w:rsidTr="00AA3C64">
        <w:tc>
          <w:tcPr>
            <w:tcW w:w="3618" w:type="dxa"/>
            <w:shd w:val="clear" w:color="auto" w:fill="8EAADB" w:themeFill="accent1" w:themeFillTint="99"/>
          </w:tcPr>
          <w:p w14:paraId="083FA50D" w14:textId="77777777" w:rsidR="00A12811" w:rsidRPr="00522E84" w:rsidRDefault="00A12811" w:rsidP="00AA3C64">
            <w:pPr>
              <w:jc w:val="center"/>
              <w:rPr>
                <w:rFonts w:ascii="Calibri" w:eastAsia="Times New Roman" w:hAnsi="Calibri" w:cs="Times New Roman"/>
                <w:b/>
                <w:bCs/>
                <w:color w:val="000000"/>
                <w:sz w:val="22"/>
                <w:szCs w:val="22"/>
              </w:rPr>
            </w:pPr>
            <w:r>
              <w:rPr>
                <w:rFonts w:ascii="Calibri" w:eastAsia="Times New Roman" w:hAnsi="Calibri" w:cs="Times New Roman"/>
                <w:b/>
                <w:bCs/>
                <w:color w:val="000000"/>
                <w:sz w:val="22"/>
                <w:szCs w:val="22"/>
              </w:rPr>
              <w:t>Type of a</w:t>
            </w:r>
            <w:r w:rsidRPr="00522E84">
              <w:rPr>
                <w:rFonts w:ascii="Calibri" w:eastAsia="Times New Roman" w:hAnsi="Calibri" w:cs="Times New Roman"/>
                <w:b/>
                <w:bCs/>
                <w:color w:val="000000"/>
                <w:sz w:val="22"/>
                <w:szCs w:val="22"/>
              </w:rPr>
              <w:t>ctivity</w:t>
            </w:r>
          </w:p>
        </w:tc>
        <w:tc>
          <w:tcPr>
            <w:tcW w:w="3510" w:type="dxa"/>
            <w:shd w:val="clear" w:color="auto" w:fill="8EAADB" w:themeFill="accent1" w:themeFillTint="99"/>
          </w:tcPr>
          <w:p w14:paraId="0CABABCF" w14:textId="77777777" w:rsidR="00A12811" w:rsidRPr="00522E84" w:rsidRDefault="00A12811" w:rsidP="00AA3C64">
            <w:pPr>
              <w:rPr>
                <w:rFonts w:ascii="Calibri" w:eastAsia="Times New Roman" w:hAnsi="Calibri" w:cs="Times New Roman"/>
                <w:b/>
                <w:bCs/>
                <w:color w:val="000000"/>
                <w:sz w:val="22"/>
                <w:szCs w:val="22"/>
              </w:rPr>
            </w:pPr>
            <w:r w:rsidRPr="00522E84">
              <w:rPr>
                <w:rFonts w:ascii="Calibri" w:eastAsia="Times New Roman" w:hAnsi="Calibri" w:cs="Times New Roman"/>
                <w:b/>
                <w:bCs/>
                <w:color w:val="000000"/>
                <w:sz w:val="22"/>
                <w:szCs w:val="22"/>
              </w:rPr>
              <w:t xml:space="preserve">Resources needed </w:t>
            </w:r>
          </w:p>
        </w:tc>
        <w:tc>
          <w:tcPr>
            <w:tcW w:w="3182" w:type="dxa"/>
            <w:shd w:val="clear" w:color="auto" w:fill="8EAADB" w:themeFill="accent1" w:themeFillTint="99"/>
          </w:tcPr>
          <w:p w14:paraId="30EACDA3" w14:textId="77777777" w:rsidR="00A12811" w:rsidRPr="00522E84" w:rsidRDefault="00A12811" w:rsidP="00AA3C64">
            <w:pPr>
              <w:jc w:val="center"/>
              <w:rPr>
                <w:rFonts w:ascii="Calibri" w:eastAsia="Times New Roman" w:hAnsi="Calibri" w:cs="Times New Roman"/>
                <w:b/>
                <w:bCs/>
                <w:color w:val="000000"/>
                <w:sz w:val="22"/>
                <w:szCs w:val="22"/>
              </w:rPr>
            </w:pPr>
            <w:r w:rsidRPr="00522E84">
              <w:rPr>
                <w:rFonts w:ascii="Calibri" w:eastAsia="Times New Roman" w:hAnsi="Calibri" w:cs="Times New Roman"/>
                <w:b/>
                <w:bCs/>
                <w:color w:val="000000"/>
                <w:sz w:val="22"/>
                <w:szCs w:val="22"/>
              </w:rPr>
              <w:t>Estimated sub-totals</w:t>
            </w:r>
          </w:p>
        </w:tc>
      </w:tr>
      <w:tr w:rsidR="00A12811" w14:paraId="3E031371" w14:textId="77777777" w:rsidTr="00AA3C64">
        <w:tc>
          <w:tcPr>
            <w:tcW w:w="3618" w:type="dxa"/>
          </w:tcPr>
          <w:p w14:paraId="31AA2F5C"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Webinars</w:t>
            </w:r>
          </w:p>
        </w:tc>
        <w:tc>
          <w:tcPr>
            <w:tcW w:w="3510" w:type="dxa"/>
          </w:tcPr>
          <w:p w14:paraId="68E79ECE" w14:textId="77777777" w:rsidR="00A12811" w:rsidRPr="009716F2" w:rsidRDefault="00A12811" w:rsidP="00AA3C64">
            <w:pPr>
              <w:rPr>
                <w:rFonts w:ascii="Calibri" w:eastAsia="Times New Roman" w:hAnsi="Calibri" w:cs="Times New Roman"/>
                <w:color w:val="000000"/>
                <w:sz w:val="22"/>
                <w:szCs w:val="22"/>
              </w:rPr>
            </w:pPr>
            <w:proofErr w:type="spellStart"/>
            <w:r w:rsidRPr="009716F2">
              <w:rPr>
                <w:rFonts w:ascii="Calibri" w:eastAsia="Times New Roman" w:hAnsi="Calibri" w:cs="Times New Roman"/>
                <w:color w:val="000000"/>
                <w:sz w:val="22"/>
                <w:szCs w:val="22"/>
              </w:rPr>
              <w:t>GoToWebinar</w:t>
            </w:r>
            <w:proofErr w:type="spellEnd"/>
            <w:r w:rsidRPr="009716F2">
              <w:rPr>
                <w:rFonts w:ascii="Calibri" w:eastAsia="Times New Roman" w:hAnsi="Calibri" w:cs="Times New Roman"/>
                <w:color w:val="000000"/>
                <w:sz w:val="22"/>
                <w:szCs w:val="22"/>
              </w:rPr>
              <w:t xml:space="preserve"> platform</w:t>
            </w:r>
          </w:p>
          <w:p w14:paraId="18C4427E"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Countries willing to share their experiences</w:t>
            </w:r>
          </w:p>
        </w:tc>
        <w:tc>
          <w:tcPr>
            <w:tcW w:w="3182" w:type="dxa"/>
          </w:tcPr>
          <w:p w14:paraId="3C37A6B4" w14:textId="77777777" w:rsidR="00A12811" w:rsidRPr="00912423" w:rsidRDefault="00A12811" w:rsidP="00AA3C64">
            <w:pPr>
              <w:rPr>
                <w:rFonts w:ascii="Calibri" w:eastAsia="Times New Roman" w:hAnsi="Calibri" w:cs="Times New Roman"/>
                <w:color w:val="000000"/>
                <w:sz w:val="22"/>
                <w:szCs w:val="22"/>
              </w:rPr>
            </w:pPr>
            <w:r w:rsidRPr="00912423">
              <w:rPr>
                <w:rFonts w:ascii="Calibri" w:eastAsia="Times New Roman" w:hAnsi="Calibri" w:cs="Times New Roman"/>
                <w:color w:val="000000"/>
                <w:sz w:val="22"/>
                <w:szCs w:val="22"/>
              </w:rPr>
              <w:t xml:space="preserve">Costs included under technical coordinator and </w:t>
            </w:r>
            <w:proofErr w:type="spellStart"/>
            <w:r w:rsidRPr="00912423">
              <w:rPr>
                <w:rFonts w:ascii="Calibri" w:eastAsia="Times New Roman" w:hAnsi="Calibri" w:cs="Times New Roman"/>
                <w:color w:val="000000"/>
                <w:sz w:val="22"/>
                <w:szCs w:val="22"/>
              </w:rPr>
              <w:t>GoToWebinar</w:t>
            </w:r>
            <w:proofErr w:type="spellEnd"/>
            <w:r w:rsidRPr="00912423">
              <w:rPr>
                <w:rFonts w:ascii="Calibri" w:eastAsia="Times New Roman" w:hAnsi="Calibri" w:cs="Times New Roman"/>
                <w:color w:val="000000"/>
                <w:sz w:val="22"/>
                <w:szCs w:val="22"/>
              </w:rPr>
              <w:t xml:space="preserve"> platform costs in Table 1</w:t>
            </w:r>
          </w:p>
        </w:tc>
      </w:tr>
      <w:tr w:rsidR="00A12811" w14:paraId="1A42F5D8" w14:textId="77777777" w:rsidTr="00AA3C64">
        <w:tc>
          <w:tcPr>
            <w:tcW w:w="3618" w:type="dxa"/>
          </w:tcPr>
          <w:p w14:paraId="170DBDE7"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High-level presentations during Forum of Ministers</w:t>
            </w:r>
          </w:p>
        </w:tc>
        <w:tc>
          <w:tcPr>
            <w:tcW w:w="3510" w:type="dxa"/>
          </w:tcPr>
          <w:p w14:paraId="053B1752"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Event logistics</w:t>
            </w:r>
          </w:p>
          <w:p w14:paraId="46FA5472"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Travel of regional coordinator</w:t>
            </w:r>
            <w:r>
              <w:rPr>
                <w:rFonts w:ascii="Calibri" w:eastAsia="Times New Roman" w:hAnsi="Calibri" w:cs="Times New Roman"/>
                <w:color w:val="000000"/>
                <w:sz w:val="22"/>
                <w:szCs w:val="22"/>
              </w:rPr>
              <w:t xml:space="preserve"> and Chair of the Steering Committee</w:t>
            </w:r>
          </w:p>
        </w:tc>
        <w:tc>
          <w:tcPr>
            <w:tcW w:w="3182" w:type="dxa"/>
          </w:tcPr>
          <w:p w14:paraId="0C8660F9" w14:textId="77777777" w:rsidR="00A12811" w:rsidRPr="00912423" w:rsidRDefault="00A12811" w:rsidP="00AA3C64">
            <w:pPr>
              <w:rPr>
                <w:rFonts w:ascii="Calibri" w:eastAsia="Times New Roman" w:hAnsi="Calibri" w:cs="Times New Roman"/>
                <w:color w:val="000000"/>
                <w:sz w:val="22"/>
                <w:szCs w:val="22"/>
              </w:rPr>
            </w:pPr>
            <w:r w:rsidRPr="00912423">
              <w:rPr>
                <w:rFonts w:ascii="Calibri" w:eastAsia="Times New Roman" w:hAnsi="Calibri" w:cs="Times New Roman"/>
                <w:color w:val="000000"/>
                <w:sz w:val="22"/>
                <w:szCs w:val="22"/>
              </w:rPr>
              <w:t>12,000 USD per event</w:t>
            </w:r>
          </w:p>
        </w:tc>
      </w:tr>
      <w:tr w:rsidR="00A12811" w14:paraId="082E9F03" w14:textId="77777777" w:rsidTr="00AA3C64">
        <w:tc>
          <w:tcPr>
            <w:tcW w:w="3618" w:type="dxa"/>
          </w:tcPr>
          <w:p w14:paraId="15DE1A97"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Project proposals to different funds and donors</w:t>
            </w:r>
          </w:p>
        </w:tc>
        <w:tc>
          <w:tcPr>
            <w:tcW w:w="3510" w:type="dxa"/>
          </w:tcPr>
          <w:p w14:paraId="04AED266"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Consultancy resources to develop the proposal and moving it forward</w:t>
            </w:r>
          </w:p>
        </w:tc>
        <w:tc>
          <w:tcPr>
            <w:tcW w:w="3182" w:type="dxa"/>
          </w:tcPr>
          <w:p w14:paraId="41CA47BB" w14:textId="77777777" w:rsidR="00A12811" w:rsidRPr="00912423" w:rsidRDefault="00A12811" w:rsidP="00AA3C64">
            <w:pPr>
              <w:rPr>
                <w:rFonts w:ascii="Calibri" w:eastAsia="Times New Roman" w:hAnsi="Calibri" w:cs="Times New Roman"/>
                <w:color w:val="000000"/>
                <w:sz w:val="22"/>
                <w:szCs w:val="22"/>
              </w:rPr>
            </w:pPr>
            <w:r w:rsidRPr="00912423">
              <w:rPr>
                <w:rFonts w:ascii="Calibri" w:eastAsia="Times New Roman" w:hAnsi="Calibri" w:cs="Times New Roman"/>
                <w:color w:val="000000"/>
                <w:sz w:val="22"/>
                <w:szCs w:val="22"/>
              </w:rPr>
              <w:t>4,000 USD per proposal</w:t>
            </w:r>
          </w:p>
        </w:tc>
      </w:tr>
      <w:tr w:rsidR="00A12811" w14:paraId="61F0ED18" w14:textId="77777777" w:rsidTr="00AA3C64">
        <w:tc>
          <w:tcPr>
            <w:tcW w:w="3618" w:type="dxa"/>
          </w:tcPr>
          <w:p w14:paraId="7F96F3E7"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Regional face-to-face trainings and workshops</w:t>
            </w:r>
          </w:p>
        </w:tc>
        <w:tc>
          <w:tcPr>
            <w:tcW w:w="3510" w:type="dxa"/>
          </w:tcPr>
          <w:p w14:paraId="5D17DF80"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Event logistics</w:t>
            </w:r>
          </w:p>
          <w:p w14:paraId="77E611A1"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Participants’ travel and DSA</w:t>
            </w:r>
          </w:p>
          <w:p w14:paraId="503F4F6A"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Trainers’ travel, DSA and honorariums</w:t>
            </w:r>
          </w:p>
          <w:p w14:paraId="27D66E26"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Simultaneous translation</w:t>
            </w:r>
          </w:p>
          <w:p w14:paraId="684C7D12"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Translation of documents</w:t>
            </w:r>
          </w:p>
        </w:tc>
        <w:tc>
          <w:tcPr>
            <w:tcW w:w="3182" w:type="dxa"/>
          </w:tcPr>
          <w:p w14:paraId="59671080" w14:textId="77777777" w:rsidR="00A12811" w:rsidRPr="00912423" w:rsidRDefault="00A12811" w:rsidP="00AA3C64">
            <w:pPr>
              <w:rPr>
                <w:rFonts w:ascii="Calibri" w:eastAsia="Times New Roman" w:hAnsi="Calibri" w:cs="Times New Roman"/>
                <w:color w:val="000000"/>
                <w:sz w:val="22"/>
                <w:szCs w:val="22"/>
              </w:rPr>
            </w:pPr>
            <w:r w:rsidRPr="00912423">
              <w:rPr>
                <w:rFonts w:ascii="Calibri" w:eastAsia="Times New Roman" w:hAnsi="Calibri" w:cs="Times New Roman"/>
                <w:color w:val="000000"/>
                <w:sz w:val="22"/>
                <w:szCs w:val="22"/>
              </w:rPr>
              <w:t>80,000 USD per training/workshop</w:t>
            </w:r>
          </w:p>
        </w:tc>
      </w:tr>
      <w:tr w:rsidR="00A12811" w14:paraId="703D3E51" w14:textId="77777777" w:rsidTr="00AA3C64">
        <w:tc>
          <w:tcPr>
            <w:tcW w:w="3618" w:type="dxa"/>
          </w:tcPr>
          <w:p w14:paraId="72C48F74"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Regional in-depth trainings (5 days or more)</w:t>
            </w:r>
          </w:p>
        </w:tc>
        <w:tc>
          <w:tcPr>
            <w:tcW w:w="3510" w:type="dxa"/>
          </w:tcPr>
          <w:p w14:paraId="79C037E5"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Event logistics</w:t>
            </w:r>
          </w:p>
          <w:p w14:paraId="5E2D359D"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Participants’ travel and DSA</w:t>
            </w:r>
          </w:p>
          <w:p w14:paraId="076EB7C2"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Trainers’ travel, DSA and honorariums</w:t>
            </w:r>
          </w:p>
          <w:p w14:paraId="3D8C3A49"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Simultaneous translation</w:t>
            </w:r>
          </w:p>
          <w:p w14:paraId="47A4CDD3"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Translation of documents</w:t>
            </w:r>
          </w:p>
        </w:tc>
        <w:tc>
          <w:tcPr>
            <w:tcW w:w="3182" w:type="dxa"/>
          </w:tcPr>
          <w:p w14:paraId="1878E030" w14:textId="77777777" w:rsidR="00A12811" w:rsidRPr="00912423" w:rsidRDefault="00A12811" w:rsidP="00AA3C64">
            <w:pPr>
              <w:rPr>
                <w:rFonts w:ascii="Calibri" w:eastAsia="Times New Roman" w:hAnsi="Calibri" w:cs="Times New Roman"/>
                <w:color w:val="000000"/>
                <w:sz w:val="22"/>
                <w:szCs w:val="22"/>
              </w:rPr>
            </w:pPr>
            <w:r w:rsidRPr="00912423">
              <w:rPr>
                <w:rFonts w:ascii="Calibri" w:eastAsia="Times New Roman" w:hAnsi="Calibri" w:cs="Times New Roman"/>
                <w:color w:val="000000"/>
                <w:sz w:val="22"/>
                <w:szCs w:val="22"/>
              </w:rPr>
              <w:t>100,000 USD per training</w:t>
            </w:r>
          </w:p>
        </w:tc>
      </w:tr>
      <w:tr w:rsidR="00A12811" w14:paraId="1774A42B" w14:textId="77777777" w:rsidTr="00AA3C64">
        <w:tc>
          <w:tcPr>
            <w:tcW w:w="3618" w:type="dxa"/>
          </w:tcPr>
          <w:p w14:paraId="788CA20F"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Development and dissemination of a post-graduate in-depth technical training</w:t>
            </w:r>
          </w:p>
        </w:tc>
        <w:tc>
          <w:tcPr>
            <w:tcW w:w="3510" w:type="dxa"/>
          </w:tcPr>
          <w:p w14:paraId="4632045F"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 xml:space="preserve">Resources to design the training programme. </w:t>
            </w:r>
          </w:p>
          <w:p w14:paraId="07DE9226"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Resources to deliver the training</w:t>
            </w:r>
          </w:p>
        </w:tc>
        <w:tc>
          <w:tcPr>
            <w:tcW w:w="3182" w:type="dxa"/>
          </w:tcPr>
          <w:p w14:paraId="009962EC" w14:textId="77777777" w:rsidR="00A12811" w:rsidRPr="00912423" w:rsidRDefault="00A12811" w:rsidP="00AA3C64">
            <w:pPr>
              <w:rPr>
                <w:rFonts w:ascii="Calibri" w:eastAsia="Times New Roman" w:hAnsi="Calibri" w:cs="Times New Roman"/>
                <w:color w:val="000000"/>
                <w:sz w:val="22"/>
                <w:szCs w:val="22"/>
              </w:rPr>
            </w:pPr>
            <w:r w:rsidRPr="00912423">
              <w:rPr>
                <w:rFonts w:ascii="Calibri" w:eastAsia="Times New Roman" w:hAnsi="Calibri" w:cs="Times New Roman"/>
                <w:color w:val="000000"/>
                <w:sz w:val="22"/>
                <w:szCs w:val="22"/>
              </w:rPr>
              <w:t>15,000 USD</w:t>
            </w:r>
          </w:p>
        </w:tc>
      </w:tr>
      <w:tr w:rsidR="00A12811" w14:paraId="7964891E" w14:textId="77777777" w:rsidTr="00AA3C64">
        <w:tc>
          <w:tcPr>
            <w:tcW w:w="3618" w:type="dxa"/>
          </w:tcPr>
          <w:p w14:paraId="70CAD472"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To hold public educational and awareness-raising campaign</w:t>
            </w:r>
          </w:p>
        </w:tc>
        <w:tc>
          <w:tcPr>
            <w:tcW w:w="3510" w:type="dxa"/>
          </w:tcPr>
          <w:p w14:paraId="3045020D"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Resources to design and implement the campaign</w:t>
            </w:r>
          </w:p>
        </w:tc>
        <w:tc>
          <w:tcPr>
            <w:tcW w:w="3182" w:type="dxa"/>
          </w:tcPr>
          <w:p w14:paraId="626C8CDB" w14:textId="77777777" w:rsidR="00A12811" w:rsidRPr="00912423" w:rsidRDefault="00A12811" w:rsidP="00AA3C64">
            <w:pPr>
              <w:rPr>
                <w:rFonts w:ascii="Calibri" w:eastAsia="Times New Roman" w:hAnsi="Calibri" w:cs="Times New Roman"/>
                <w:color w:val="000000"/>
                <w:sz w:val="22"/>
                <w:szCs w:val="22"/>
              </w:rPr>
            </w:pPr>
            <w:r w:rsidRPr="00912423">
              <w:rPr>
                <w:rFonts w:ascii="Calibri" w:eastAsia="Times New Roman" w:hAnsi="Calibri" w:cs="Times New Roman"/>
                <w:color w:val="000000"/>
                <w:sz w:val="22"/>
                <w:szCs w:val="22"/>
              </w:rPr>
              <w:t>6,000 USD per campaign</w:t>
            </w:r>
          </w:p>
        </w:tc>
      </w:tr>
      <w:tr w:rsidR="00A12811" w14:paraId="6A261BFF" w14:textId="77777777" w:rsidTr="00AA3C64">
        <w:trPr>
          <w:trHeight w:val="363"/>
        </w:trPr>
        <w:tc>
          <w:tcPr>
            <w:tcW w:w="3618" w:type="dxa"/>
          </w:tcPr>
          <w:p w14:paraId="20ED42C1"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Development of awareness-raising material</w:t>
            </w:r>
          </w:p>
        </w:tc>
        <w:tc>
          <w:tcPr>
            <w:tcW w:w="3510" w:type="dxa"/>
          </w:tcPr>
          <w:p w14:paraId="4926AD85"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Resources to design, develop and upload the material</w:t>
            </w:r>
          </w:p>
          <w:p w14:paraId="6BDBA520" w14:textId="77777777" w:rsidR="00A12811" w:rsidRPr="009716F2" w:rsidRDefault="00A12811" w:rsidP="00AA3C64">
            <w:pPr>
              <w:rPr>
                <w:rFonts w:ascii="Calibri" w:eastAsia="Times New Roman" w:hAnsi="Calibri" w:cs="Times New Roman"/>
                <w:color w:val="000000"/>
                <w:sz w:val="22"/>
                <w:szCs w:val="22"/>
              </w:rPr>
            </w:pPr>
          </w:p>
          <w:p w14:paraId="645AA659"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Network website</w:t>
            </w:r>
          </w:p>
        </w:tc>
        <w:tc>
          <w:tcPr>
            <w:tcW w:w="3182" w:type="dxa"/>
          </w:tcPr>
          <w:p w14:paraId="04AC8990" w14:textId="77777777" w:rsidR="00A12811" w:rsidRPr="00912423" w:rsidRDefault="00A12811" w:rsidP="00AA3C64">
            <w:pPr>
              <w:rPr>
                <w:rFonts w:ascii="Calibri" w:eastAsia="Times New Roman" w:hAnsi="Calibri" w:cs="Times New Roman"/>
                <w:color w:val="000000"/>
                <w:sz w:val="22"/>
                <w:szCs w:val="22"/>
              </w:rPr>
            </w:pPr>
            <w:r w:rsidRPr="00912423">
              <w:rPr>
                <w:rFonts w:ascii="Calibri" w:eastAsia="Times New Roman" w:hAnsi="Calibri" w:cs="Times New Roman"/>
                <w:color w:val="000000"/>
                <w:sz w:val="22"/>
                <w:szCs w:val="22"/>
              </w:rPr>
              <w:t>4,000 USD per material package</w:t>
            </w:r>
          </w:p>
        </w:tc>
      </w:tr>
      <w:tr w:rsidR="00A12811" w14:paraId="4854CD85" w14:textId="77777777" w:rsidTr="00AA3C64">
        <w:trPr>
          <w:trHeight w:val="680"/>
        </w:trPr>
        <w:tc>
          <w:tcPr>
            <w:tcW w:w="3618" w:type="dxa"/>
          </w:tcPr>
          <w:p w14:paraId="530CF8CD"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 xml:space="preserve">To adapt </w:t>
            </w:r>
            <w:r>
              <w:rPr>
                <w:rFonts w:ascii="Calibri" w:eastAsia="Times New Roman" w:hAnsi="Calibri" w:cs="Times New Roman"/>
                <w:color w:val="000000"/>
                <w:sz w:val="22"/>
                <w:szCs w:val="22"/>
              </w:rPr>
              <w:t>international</w:t>
            </w:r>
            <w:r w:rsidRPr="009716F2">
              <w:rPr>
                <w:rFonts w:ascii="Calibri" w:eastAsia="Times New Roman" w:hAnsi="Calibri" w:cs="Times New Roman"/>
                <w:color w:val="000000"/>
                <w:sz w:val="22"/>
                <w:szCs w:val="22"/>
              </w:rPr>
              <w:t xml:space="preserve"> guidelines to the region</w:t>
            </w:r>
          </w:p>
        </w:tc>
        <w:tc>
          <w:tcPr>
            <w:tcW w:w="3510" w:type="dxa"/>
          </w:tcPr>
          <w:p w14:paraId="33B1B148"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Resources to work on adapting the guidelines</w:t>
            </w:r>
          </w:p>
        </w:tc>
        <w:tc>
          <w:tcPr>
            <w:tcW w:w="3182" w:type="dxa"/>
          </w:tcPr>
          <w:p w14:paraId="42EAE4B5" w14:textId="77777777" w:rsidR="00A12811" w:rsidRPr="00912423" w:rsidRDefault="00A12811" w:rsidP="00AA3C64">
            <w:pPr>
              <w:rPr>
                <w:rFonts w:ascii="Calibri" w:eastAsia="Times New Roman" w:hAnsi="Calibri" w:cs="Times New Roman"/>
                <w:color w:val="000000"/>
                <w:sz w:val="22"/>
                <w:szCs w:val="22"/>
              </w:rPr>
            </w:pPr>
            <w:r w:rsidRPr="00912423">
              <w:rPr>
                <w:rFonts w:ascii="Calibri" w:eastAsia="Times New Roman" w:hAnsi="Calibri" w:cs="Times New Roman"/>
                <w:color w:val="000000"/>
                <w:sz w:val="22"/>
                <w:szCs w:val="22"/>
              </w:rPr>
              <w:t>10,000 USD</w:t>
            </w:r>
          </w:p>
        </w:tc>
      </w:tr>
      <w:tr w:rsidR="00A12811" w14:paraId="1809DBF0" w14:textId="77777777" w:rsidTr="00AA3C64">
        <w:trPr>
          <w:trHeight w:val="922"/>
        </w:trPr>
        <w:tc>
          <w:tcPr>
            <w:tcW w:w="3618" w:type="dxa"/>
          </w:tcPr>
          <w:p w14:paraId="785D3204"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Development of national and regional assessments</w:t>
            </w:r>
          </w:p>
        </w:tc>
        <w:tc>
          <w:tcPr>
            <w:tcW w:w="3510" w:type="dxa"/>
          </w:tcPr>
          <w:p w14:paraId="2A54C754"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 xml:space="preserve">Resources to develop the assessments </w:t>
            </w:r>
          </w:p>
          <w:p w14:paraId="116FAF5F"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 xml:space="preserve"> </w:t>
            </w:r>
          </w:p>
          <w:p w14:paraId="04A7786D" w14:textId="77777777" w:rsidR="00A12811" w:rsidRPr="009716F2" w:rsidRDefault="00A12811" w:rsidP="00AA3C64">
            <w:pPr>
              <w:rPr>
                <w:rFonts w:ascii="Calibri" w:eastAsia="Times New Roman" w:hAnsi="Calibri" w:cs="Times New Roman"/>
                <w:color w:val="000000"/>
                <w:sz w:val="22"/>
                <w:szCs w:val="22"/>
              </w:rPr>
            </w:pPr>
            <w:r w:rsidRPr="009716F2">
              <w:rPr>
                <w:rFonts w:ascii="Calibri" w:eastAsia="Times New Roman" w:hAnsi="Calibri" w:cs="Times New Roman"/>
                <w:color w:val="000000"/>
                <w:sz w:val="22"/>
                <w:szCs w:val="22"/>
              </w:rPr>
              <w:t>Resources to disseminate the assessments</w:t>
            </w:r>
          </w:p>
        </w:tc>
        <w:tc>
          <w:tcPr>
            <w:tcW w:w="3182" w:type="dxa"/>
          </w:tcPr>
          <w:p w14:paraId="27C3A7D2" w14:textId="77777777" w:rsidR="00A12811" w:rsidRPr="00912423" w:rsidRDefault="00A12811" w:rsidP="00AA3C64">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25</w:t>
            </w:r>
            <w:r w:rsidRPr="00912423">
              <w:rPr>
                <w:rFonts w:ascii="Calibri" w:eastAsia="Times New Roman" w:hAnsi="Calibri" w:cs="Times New Roman"/>
                <w:color w:val="000000"/>
                <w:sz w:val="22"/>
                <w:szCs w:val="22"/>
              </w:rPr>
              <w:t>,000 USD</w:t>
            </w:r>
          </w:p>
        </w:tc>
      </w:tr>
    </w:tbl>
    <w:p w14:paraId="4D4745F3" w14:textId="77777777" w:rsidR="00A12811" w:rsidRDefault="00A12811" w:rsidP="00A12811">
      <w:pPr>
        <w:jc w:val="both"/>
        <w:rPr>
          <w:rFonts w:asciiTheme="majorHAnsi" w:hAnsiTheme="majorHAnsi"/>
        </w:rPr>
      </w:pPr>
    </w:p>
    <w:p w14:paraId="42536B38" w14:textId="77777777" w:rsidR="00A12811" w:rsidRPr="00AA3C64" w:rsidRDefault="00A12811" w:rsidP="00A12811">
      <w:pPr>
        <w:pStyle w:val="HTMLPreformatted"/>
        <w:shd w:val="clear" w:color="auto" w:fill="FFFFFF"/>
        <w:jc w:val="both"/>
        <w:rPr>
          <w:rFonts w:asciiTheme="majorHAnsi" w:eastAsiaTheme="minorEastAsia" w:hAnsiTheme="majorHAnsi" w:cstheme="minorBidi"/>
          <w:sz w:val="24"/>
          <w:szCs w:val="24"/>
          <w:lang w:eastAsia="fr-FR"/>
        </w:rPr>
      </w:pPr>
      <w:r w:rsidRPr="00AA3C64">
        <w:rPr>
          <w:rFonts w:asciiTheme="majorHAnsi" w:eastAsiaTheme="minorEastAsia" w:hAnsiTheme="majorHAnsi" w:cstheme="minorBidi"/>
          <w:sz w:val="24"/>
          <w:szCs w:val="24"/>
          <w:lang w:eastAsia="fr-FR"/>
        </w:rPr>
        <w:t>According to the estimations above, the overall funding to implement the activities included in the current draft of the regional action plan would be around US$ 678.800. The detail of the resource estimates needed for the different actions and sub-themes in the current version of the Plan can be seen in Annex I. It is important to note that the detailed planning of each activity will require appropriate adjustments in the cost estimate.</w:t>
      </w:r>
    </w:p>
    <w:p w14:paraId="15452B6C" w14:textId="77777777" w:rsidR="00A12811" w:rsidRPr="006C5BC0" w:rsidRDefault="00A12811" w:rsidP="00A12811">
      <w:pPr>
        <w:pStyle w:val="Heading1"/>
        <w:jc w:val="both"/>
      </w:pPr>
      <w:bookmarkStart w:id="10" w:name="_Toc523242064"/>
      <w:bookmarkStart w:id="11" w:name="_Toc511038079"/>
      <w:r w:rsidRPr="00AA3C64">
        <w:lastRenderedPageBreak/>
        <w:t>Donors and potential partners</w:t>
      </w:r>
      <w:bookmarkEnd w:id="10"/>
      <w:r w:rsidRPr="00AA3C64">
        <w:t xml:space="preserve"> </w:t>
      </w:r>
      <w:bookmarkEnd w:id="11"/>
    </w:p>
    <w:p w14:paraId="199F8D2D" w14:textId="77777777" w:rsidR="00A12811" w:rsidRDefault="00A12811" w:rsidP="00A12811"/>
    <w:p w14:paraId="18F7C101" w14:textId="77777777" w:rsidR="00A12811" w:rsidRDefault="00A12811" w:rsidP="00A12811">
      <w:pPr>
        <w:jc w:val="both"/>
        <w:rPr>
          <w:rFonts w:asciiTheme="majorHAnsi" w:hAnsiTheme="majorHAnsi"/>
        </w:rPr>
      </w:pPr>
      <w:r>
        <w:rPr>
          <w:rFonts w:asciiTheme="majorHAnsi" w:hAnsiTheme="majorHAnsi"/>
        </w:rPr>
        <w:t xml:space="preserve">While the Network will strive to maximize in-kind contributions and South-South cooperation within the region to cover several of its costs, a parallel effort to find external funding from relevant donors will be crucial to deliver all activities planned for the biennium and to ensure the operation costs of the Network are fully covered. Similarly, the support by different partners from the United Nations and other sectors will be crucial on providing important in-kind technical guidance and tools to the Network that are needed to address priority issues in the region to move forward the chemicals and waste-related goals of the 2030 Sustainable Development Agenda. </w:t>
      </w:r>
    </w:p>
    <w:p w14:paraId="73B40C0A" w14:textId="77777777" w:rsidR="00A12811" w:rsidRDefault="00A12811" w:rsidP="00A12811">
      <w:pPr>
        <w:jc w:val="both"/>
        <w:rPr>
          <w:rFonts w:asciiTheme="majorHAnsi" w:hAnsiTheme="majorHAnsi"/>
        </w:rPr>
      </w:pPr>
    </w:p>
    <w:p w14:paraId="5D3EE32D" w14:textId="77777777" w:rsidR="00A12811" w:rsidRPr="00912423" w:rsidRDefault="00A12811" w:rsidP="00A12811">
      <w:pPr>
        <w:jc w:val="both"/>
        <w:rPr>
          <w:rFonts w:asciiTheme="majorHAnsi" w:hAnsiTheme="majorHAnsi"/>
          <w:b/>
        </w:rPr>
      </w:pPr>
      <w:r w:rsidRPr="00912423">
        <w:rPr>
          <w:rFonts w:asciiTheme="majorHAnsi" w:hAnsiTheme="majorHAnsi"/>
          <w:b/>
        </w:rPr>
        <w:t>Trust Funds: GEF</w:t>
      </w:r>
      <w:r>
        <w:rPr>
          <w:rFonts w:asciiTheme="majorHAnsi" w:hAnsiTheme="majorHAnsi"/>
          <w:b/>
        </w:rPr>
        <w:t>,</w:t>
      </w:r>
      <w:r w:rsidRPr="00912423">
        <w:rPr>
          <w:rFonts w:asciiTheme="majorHAnsi" w:hAnsiTheme="majorHAnsi"/>
          <w:b/>
        </w:rPr>
        <w:t xml:space="preserve"> Special Programme</w:t>
      </w:r>
      <w:r>
        <w:rPr>
          <w:rFonts w:asciiTheme="majorHAnsi" w:hAnsiTheme="majorHAnsi"/>
          <w:b/>
        </w:rPr>
        <w:t>, Specific International Programme (Minamata)</w:t>
      </w:r>
    </w:p>
    <w:p w14:paraId="509E25D0" w14:textId="77777777" w:rsidR="00A12811" w:rsidRDefault="00A12811" w:rsidP="00A12811">
      <w:pPr>
        <w:jc w:val="both"/>
        <w:rPr>
          <w:rFonts w:asciiTheme="majorHAnsi" w:hAnsiTheme="majorHAnsi"/>
        </w:rPr>
      </w:pPr>
    </w:p>
    <w:p w14:paraId="5E1D8F0D" w14:textId="77777777" w:rsidR="00A12811" w:rsidRDefault="00A12811" w:rsidP="00A12811">
      <w:pPr>
        <w:jc w:val="both"/>
        <w:rPr>
          <w:rFonts w:asciiTheme="majorHAnsi" w:hAnsiTheme="majorHAnsi"/>
        </w:rPr>
      </w:pPr>
      <w:r>
        <w:rPr>
          <w:rFonts w:asciiTheme="majorHAnsi" w:hAnsiTheme="majorHAnsi"/>
        </w:rPr>
        <w:t xml:space="preserve">Global trust funds are available to support implementation of the MEAs on chemicals and waste. For instance, the Global Environment Facility (GEF) works as a financial mechanism for, among others, the Stockholm Convention on Persistent Organic Pollutants (POPs) and the Minamata Convention on Mercury. </w:t>
      </w:r>
      <w:r w:rsidRPr="00AA3C64">
        <w:rPr>
          <w:rFonts w:asciiTheme="majorHAnsi" w:hAnsiTheme="majorHAnsi"/>
        </w:rPr>
        <w:t>The GEF-7 Programming Guidelines should provide details about what the Focal Area Strategies are for the new replenishment period starting in 2018.</w:t>
      </w:r>
    </w:p>
    <w:p w14:paraId="2F05D48B" w14:textId="77777777" w:rsidR="00A12811" w:rsidRDefault="00A12811" w:rsidP="00A12811">
      <w:pPr>
        <w:jc w:val="both"/>
        <w:rPr>
          <w:rFonts w:asciiTheme="majorHAnsi" w:hAnsiTheme="majorHAnsi"/>
        </w:rPr>
      </w:pPr>
      <w:r w:rsidRPr="00C1617E">
        <w:rPr>
          <w:rFonts w:asciiTheme="majorHAnsi" w:hAnsiTheme="majorHAnsi"/>
        </w:rPr>
        <w:t>GEF-7</w:t>
      </w:r>
      <w:r>
        <w:rPr>
          <w:rStyle w:val="FootnoteReference"/>
          <w:rFonts w:asciiTheme="majorHAnsi" w:hAnsiTheme="majorHAnsi"/>
        </w:rPr>
        <w:footnoteReference w:id="1"/>
      </w:r>
      <w:r>
        <w:rPr>
          <w:rFonts w:asciiTheme="majorHAnsi" w:hAnsiTheme="majorHAnsi"/>
        </w:rPr>
        <w:t xml:space="preserve"> </w:t>
      </w:r>
      <w:r w:rsidRPr="00C1617E">
        <w:rPr>
          <w:rFonts w:asciiTheme="majorHAnsi" w:hAnsiTheme="majorHAnsi"/>
        </w:rPr>
        <w:t>Programming Directions should provide details by then on what are the GEF Focal Area Strategies</w:t>
      </w:r>
      <w:r>
        <w:rPr>
          <w:rFonts w:asciiTheme="majorHAnsi" w:hAnsiTheme="majorHAnsi"/>
        </w:rPr>
        <w:t xml:space="preserve"> for the new period</w:t>
      </w:r>
      <w:r w:rsidRPr="00C1617E">
        <w:rPr>
          <w:rFonts w:asciiTheme="majorHAnsi" w:hAnsiTheme="majorHAnsi"/>
        </w:rPr>
        <w:t xml:space="preserve">. </w:t>
      </w:r>
    </w:p>
    <w:p w14:paraId="0DB7A4C7" w14:textId="77777777" w:rsidR="00A12811" w:rsidRPr="00EE40FE" w:rsidRDefault="00A12811" w:rsidP="00A12811">
      <w:pPr>
        <w:jc w:val="both"/>
        <w:rPr>
          <w:rFonts w:asciiTheme="majorHAnsi" w:hAnsiTheme="majorHAnsi"/>
        </w:rPr>
      </w:pPr>
    </w:p>
    <w:p w14:paraId="59391652" w14:textId="77777777" w:rsidR="00A12811" w:rsidRDefault="00A12811" w:rsidP="00A12811">
      <w:pPr>
        <w:jc w:val="both"/>
        <w:rPr>
          <w:rFonts w:asciiTheme="majorHAnsi" w:hAnsiTheme="majorHAnsi"/>
        </w:rPr>
      </w:pPr>
      <w:r w:rsidRPr="00C1617E">
        <w:rPr>
          <w:rFonts w:asciiTheme="majorHAnsi" w:hAnsiTheme="majorHAnsi"/>
        </w:rPr>
        <w:t xml:space="preserve">The Chemicals and Waste Focal Area Strategy currently (GEF-6) supports </w:t>
      </w:r>
      <w:r>
        <w:rPr>
          <w:rFonts w:asciiTheme="majorHAnsi" w:hAnsiTheme="majorHAnsi"/>
        </w:rPr>
        <w:t>6 programs</w:t>
      </w:r>
      <w:r>
        <w:rPr>
          <w:rStyle w:val="FootnoteReference"/>
          <w:rFonts w:asciiTheme="majorHAnsi" w:hAnsiTheme="majorHAnsi"/>
        </w:rPr>
        <w:footnoteReference w:id="2"/>
      </w:r>
      <w:r>
        <w:rPr>
          <w:rFonts w:asciiTheme="majorHAnsi" w:hAnsiTheme="majorHAnsi"/>
        </w:rPr>
        <w:t>. According to the GEF’s current objectives and what may be the objectives for the next financing period, the Network could prepare various project proposals to the GEF on the following topics:</w:t>
      </w:r>
    </w:p>
    <w:p w14:paraId="7E1A322F" w14:textId="77777777" w:rsidR="00A12811" w:rsidRPr="00A6446D" w:rsidRDefault="00A12811" w:rsidP="00A12811">
      <w:pPr>
        <w:pStyle w:val="ListParagraph"/>
        <w:numPr>
          <w:ilvl w:val="0"/>
          <w:numId w:val="6"/>
        </w:numPr>
        <w:jc w:val="both"/>
        <w:rPr>
          <w:rFonts w:asciiTheme="majorHAnsi" w:hAnsiTheme="majorHAnsi"/>
        </w:rPr>
      </w:pPr>
      <w:r w:rsidRPr="00A6446D">
        <w:rPr>
          <w:rFonts w:asciiTheme="majorHAnsi" w:hAnsiTheme="majorHAnsi"/>
        </w:rPr>
        <w:t>risk evaluation for chemicals</w:t>
      </w:r>
      <w:r>
        <w:rPr>
          <w:rFonts w:asciiTheme="majorHAnsi" w:hAnsiTheme="majorHAnsi"/>
        </w:rPr>
        <w:t xml:space="preserve"> (including POPs and Mercury)</w:t>
      </w:r>
      <w:r w:rsidRPr="00A6446D">
        <w:rPr>
          <w:rFonts w:asciiTheme="majorHAnsi" w:hAnsiTheme="majorHAnsi"/>
        </w:rPr>
        <w:t xml:space="preserve">, </w:t>
      </w:r>
    </w:p>
    <w:p w14:paraId="4E043294" w14:textId="77777777" w:rsidR="00A12811" w:rsidRPr="00A6446D" w:rsidRDefault="00A12811" w:rsidP="00A12811">
      <w:pPr>
        <w:pStyle w:val="ListParagraph"/>
        <w:numPr>
          <w:ilvl w:val="0"/>
          <w:numId w:val="6"/>
        </w:numPr>
        <w:jc w:val="both"/>
        <w:rPr>
          <w:rFonts w:ascii="Times" w:eastAsia="Times New Roman" w:hAnsi="Times" w:cs="Times New Roman"/>
          <w:sz w:val="20"/>
          <w:szCs w:val="20"/>
        </w:rPr>
      </w:pPr>
      <w:r w:rsidRPr="00A6446D">
        <w:rPr>
          <w:rFonts w:asciiTheme="majorHAnsi" w:hAnsiTheme="majorHAnsi"/>
        </w:rPr>
        <w:t>creating chemical registers</w:t>
      </w:r>
      <w:r>
        <w:rPr>
          <w:rFonts w:asciiTheme="majorHAnsi" w:hAnsiTheme="majorHAnsi"/>
        </w:rPr>
        <w:t xml:space="preserve"> (including POPs and Mercury)</w:t>
      </w:r>
      <w:r w:rsidRPr="00A6446D">
        <w:rPr>
          <w:rFonts w:asciiTheme="majorHAnsi" w:hAnsiTheme="majorHAnsi"/>
        </w:rPr>
        <w:t>,</w:t>
      </w:r>
    </w:p>
    <w:p w14:paraId="12153B33" w14:textId="77777777" w:rsidR="00A12811" w:rsidRPr="00A6446D" w:rsidRDefault="00A12811" w:rsidP="00A12811">
      <w:pPr>
        <w:pStyle w:val="ListParagraph"/>
        <w:numPr>
          <w:ilvl w:val="0"/>
          <w:numId w:val="6"/>
        </w:numPr>
        <w:jc w:val="both"/>
        <w:rPr>
          <w:rFonts w:ascii="Times" w:eastAsia="Times New Roman" w:hAnsi="Times" w:cs="Times New Roman"/>
          <w:sz w:val="20"/>
          <w:szCs w:val="20"/>
        </w:rPr>
      </w:pPr>
      <w:r w:rsidRPr="00A6446D">
        <w:rPr>
          <w:rFonts w:asciiTheme="majorHAnsi" w:hAnsiTheme="majorHAnsi"/>
        </w:rPr>
        <w:t xml:space="preserve">development of inventories on new POPs, </w:t>
      </w:r>
    </w:p>
    <w:p w14:paraId="538CC86D" w14:textId="77777777" w:rsidR="00A12811" w:rsidRPr="00A6446D" w:rsidRDefault="00A12811" w:rsidP="00A12811">
      <w:pPr>
        <w:pStyle w:val="ListParagraph"/>
        <w:numPr>
          <w:ilvl w:val="0"/>
          <w:numId w:val="6"/>
        </w:numPr>
        <w:jc w:val="both"/>
        <w:rPr>
          <w:rFonts w:ascii="Times" w:eastAsia="Times New Roman" w:hAnsi="Times" w:cs="Times New Roman"/>
          <w:sz w:val="20"/>
          <w:szCs w:val="20"/>
        </w:rPr>
      </w:pPr>
      <w:r w:rsidRPr="00A6446D">
        <w:rPr>
          <w:rFonts w:asciiTheme="majorHAnsi" w:hAnsiTheme="majorHAnsi"/>
        </w:rPr>
        <w:t>implementation of the BAT and BEP under the Stockholm Convention,</w:t>
      </w:r>
    </w:p>
    <w:p w14:paraId="5AF1E094" w14:textId="77777777" w:rsidR="00A12811" w:rsidRPr="00A6446D" w:rsidRDefault="00A12811" w:rsidP="00A12811">
      <w:pPr>
        <w:pStyle w:val="ListParagraph"/>
        <w:numPr>
          <w:ilvl w:val="0"/>
          <w:numId w:val="6"/>
        </w:numPr>
        <w:jc w:val="both"/>
        <w:rPr>
          <w:rFonts w:ascii="Times" w:eastAsia="Times New Roman" w:hAnsi="Times" w:cs="Times New Roman"/>
          <w:sz w:val="20"/>
          <w:szCs w:val="20"/>
        </w:rPr>
      </w:pPr>
      <w:r w:rsidRPr="00A6446D">
        <w:rPr>
          <w:rFonts w:asciiTheme="majorHAnsi" w:hAnsiTheme="majorHAnsi"/>
        </w:rPr>
        <w:t>regional sound management of mercury, electronic and other waste</w:t>
      </w:r>
      <w:r>
        <w:rPr>
          <w:rFonts w:asciiTheme="majorHAnsi" w:hAnsiTheme="majorHAnsi"/>
        </w:rPr>
        <w:t xml:space="preserve">; </w:t>
      </w:r>
      <w:r w:rsidRPr="00A6446D">
        <w:rPr>
          <w:rFonts w:asciiTheme="majorHAnsi" w:hAnsiTheme="majorHAnsi"/>
        </w:rPr>
        <w:t xml:space="preserve">and </w:t>
      </w:r>
    </w:p>
    <w:p w14:paraId="0C416596" w14:textId="77777777" w:rsidR="00A12811" w:rsidRPr="00D4268E" w:rsidRDefault="00A12811" w:rsidP="00A12811">
      <w:pPr>
        <w:pStyle w:val="ListParagraph"/>
        <w:numPr>
          <w:ilvl w:val="0"/>
          <w:numId w:val="6"/>
        </w:numPr>
        <w:jc w:val="both"/>
        <w:rPr>
          <w:rFonts w:ascii="Times" w:eastAsia="Times New Roman" w:hAnsi="Times" w:cs="Times New Roman"/>
          <w:sz w:val="20"/>
          <w:szCs w:val="20"/>
        </w:rPr>
      </w:pPr>
      <w:r w:rsidRPr="00A6446D">
        <w:rPr>
          <w:rFonts w:asciiTheme="majorHAnsi" w:hAnsiTheme="majorHAnsi"/>
        </w:rPr>
        <w:t>alternatives to amalgamation</w:t>
      </w:r>
      <w:r>
        <w:rPr>
          <w:rFonts w:asciiTheme="majorHAnsi" w:hAnsiTheme="majorHAnsi"/>
        </w:rPr>
        <w:t xml:space="preserve"> with mercury</w:t>
      </w:r>
      <w:r w:rsidRPr="00A6446D">
        <w:rPr>
          <w:rFonts w:asciiTheme="majorHAnsi" w:hAnsiTheme="majorHAnsi"/>
        </w:rPr>
        <w:t xml:space="preserve"> in A</w:t>
      </w:r>
      <w:r>
        <w:rPr>
          <w:rFonts w:asciiTheme="majorHAnsi" w:hAnsiTheme="majorHAnsi"/>
        </w:rPr>
        <w:t xml:space="preserve">rtisanal and </w:t>
      </w:r>
      <w:r w:rsidRPr="00A6446D">
        <w:rPr>
          <w:rFonts w:asciiTheme="majorHAnsi" w:hAnsiTheme="majorHAnsi"/>
        </w:rPr>
        <w:t>S</w:t>
      </w:r>
      <w:r>
        <w:rPr>
          <w:rFonts w:asciiTheme="majorHAnsi" w:hAnsiTheme="majorHAnsi"/>
        </w:rPr>
        <w:t xml:space="preserve">mall-scale </w:t>
      </w:r>
      <w:r w:rsidRPr="00A6446D">
        <w:rPr>
          <w:rFonts w:asciiTheme="majorHAnsi" w:hAnsiTheme="majorHAnsi"/>
        </w:rPr>
        <w:t>G</w:t>
      </w:r>
      <w:r>
        <w:rPr>
          <w:rFonts w:asciiTheme="majorHAnsi" w:hAnsiTheme="majorHAnsi"/>
        </w:rPr>
        <w:t>old Mining (ASGM)</w:t>
      </w:r>
      <w:r w:rsidRPr="00A6446D">
        <w:rPr>
          <w:rFonts w:asciiTheme="majorHAnsi" w:hAnsiTheme="majorHAnsi"/>
        </w:rPr>
        <w:t>.</w:t>
      </w:r>
    </w:p>
    <w:p w14:paraId="43E2DA79" w14:textId="77777777" w:rsidR="00A12811" w:rsidRDefault="00A12811" w:rsidP="00A12811">
      <w:pPr>
        <w:jc w:val="both"/>
        <w:rPr>
          <w:rFonts w:ascii="Times" w:eastAsia="Times New Roman" w:hAnsi="Times" w:cs="Times New Roman"/>
          <w:sz w:val="20"/>
          <w:szCs w:val="20"/>
        </w:rPr>
      </w:pPr>
    </w:p>
    <w:p w14:paraId="70E42986" w14:textId="77777777" w:rsidR="00A12811" w:rsidRDefault="00A12811" w:rsidP="00A12811">
      <w:pPr>
        <w:jc w:val="both"/>
        <w:rPr>
          <w:rFonts w:asciiTheme="majorHAnsi" w:hAnsiTheme="majorHAnsi"/>
        </w:rPr>
      </w:pPr>
      <w:r w:rsidRPr="00D4268E">
        <w:rPr>
          <w:rFonts w:asciiTheme="majorHAnsi" w:hAnsiTheme="majorHAnsi"/>
        </w:rPr>
        <w:t xml:space="preserve">In parallel, the Special Programme </w:t>
      </w:r>
      <w:r>
        <w:rPr>
          <w:rFonts w:asciiTheme="majorHAnsi" w:hAnsiTheme="majorHAnsi"/>
        </w:rPr>
        <w:t xml:space="preserve">(SP) </w:t>
      </w:r>
      <w:r w:rsidRPr="00D4268E">
        <w:rPr>
          <w:rFonts w:asciiTheme="majorHAnsi" w:hAnsiTheme="majorHAnsi"/>
        </w:rPr>
        <w:t xml:space="preserve">is </w:t>
      </w:r>
      <w:r>
        <w:rPr>
          <w:rFonts w:asciiTheme="majorHAnsi" w:hAnsiTheme="majorHAnsi"/>
        </w:rPr>
        <w:t>a</w:t>
      </w:r>
      <w:r w:rsidRPr="00D4268E">
        <w:rPr>
          <w:rFonts w:asciiTheme="majorHAnsi" w:hAnsiTheme="majorHAnsi"/>
        </w:rPr>
        <w:t xml:space="preserve"> trust fund that </w:t>
      </w:r>
      <w:r>
        <w:rPr>
          <w:rFonts w:asciiTheme="majorHAnsi" w:hAnsiTheme="majorHAnsi"/>
        </w:rPr>
        <w:t>focuses on</w:t>
      </w:r>
      <w:r w:rsidRPr="00ED6B97">
        <w:rPr>
          <w:rFonts w:asciiTheme="majorHAnsi" w:hAnsiTheme="majorHAnsi"/>
        </w:rPr>
        <w:t xml:space="preserve"> support</w:t>
      </w:r>
      <w:r>
        <w:rPr>
          <w:rFonts w:asciiTheme="majorHAnsi" w:hAnsiTheme="majorHAnsi"/>
        </w:rPr>
        <w:t>ing</w:t>
      </w:r>
      <w:r w:rsidRPr="00ED6B97">
        <w:rPr>
          <w:rFonts w:asciiTheme="majorHAnsi" w:hAnsiTheme="majorHAnsi"/>
        </w:rPr>
        <w:t xml:space="preserve"> institutional strengthening at the national level</w:t>
      </w:r>
      <w:r>
        <w:rPr>
          <w:rFonts w:asciiTheme="majorHAnsi" w:hAnsiTheme="majorHAnsi"/>
        </w:rPr>
        <w:t xml:space="preserve"> to </w:t>
      </w:r>
      <w:r w:rsidRPr="00ED6B97">
        <w:rPr>
          <w:rFonts w:asciiTheme="majorHAnsi" w:hAnsiTheme="majorHAnsi"/>
        </w:rPr>
        <w:t xml:space="preserve">promote </w:t>
      </w:r>
      <w:r>
        <w:rPr>
          <w:rFonts w:asciiTheme="majorHAnsi" w:hAnsiTheme="majorHAnsi"/>
        </w:rPr>
        <w:t xml:space="preserve">policy </w:t>
      </w:r>
      <w:r w:rsidRPr="00ED6B97">
        <w:rPr>
          <w:rFonts w:asciiTheme="majorHAnsi" w:hAnsiTheme="majorHAnsi"/>
        </w:rPr>
        <w:t>measures to support all aspects of the sound management of chemicals and wastes</w:t>
      </w:r>
      <w:r>
        <w:rPr>
          <w:rFonts w:asciiTheme="majorHAnsi" w:hAnsiTheme="majorHAnsi"/>
        </w:rPr>
        <w:t xml:space="preserve"> and</w:t>
      </w:r>
      <w:r w:rsidRPr="00ED6B97">
        <w:rPr>
          <w:rFonts w:asciiTheme="majorHAnsi" w:hAnsiTheme="majorHAnsi"/>
        </w:rPr>
        <w:t xml:space="preserve"> implementation of the Basel, Rotterdam and Stockholm Conventions, the Minamata convention and the Strategic Approach to International Chemicals Management (SAICM)</w:t>
      </w:r>
      <w:r w:rsidRPr="00015C8A">
        <w:rPr>
          <w:vertAlign w:val="superscript"/>
        </w:rPr>
        <w:footnoteReference w:id="3"/>
      </w:r>
      <w:r w:rsidRPr="00015C8A">
        <w:rPr>
          <w:rFonts w:asciiTheme="majorHAnsi" w:hAnsiTheme="majorHAnsi"/>
          <w:vertAlign w:val="superscript"/>
        </w:rPr>
        <w:t>.</w:t>
      </w:r>
      <w:r w:rsidRPr="00960A78">
        <w:rPr>
          <w:rFonts w:asciiTheme="majorHAnsi" w:hAnsiTheme="majorHAnsi"/>
        </w:rPr>
        <w:t xml:space="preserve">The </w:t>
      </w:r>
      <w:r>
        <w:rPr>
          <w:rFonts w:asciiTheme="majorHAnsi" w:hAnsiTheme="majorHAnsi"/>
        </w:rPr>
        <w:t xml:space="preserve">2019-2020 biennium </w:t>
      </w:r>
      <w:r w:rsidRPr="00960A78">
        <w:rPr>
          <w:rFonts w:asciiTheme="majorHAnsi" w:hAnsiTheme="majorHAnsi"/>
        </w:rPr>
        <w:t xml:space="preserve">regional action plan includes a </w:t>
      </w:r>
      <w:r>
        <w:rPr>
          <w:rFonts w:asciiTheme="majorHAnsi" w:hAnsiTheme="majorHAnsi"/>
        </w:rPr>
        <w:t>work area</w:t>
      </w:r>
      <w:r w:rsidRPr="00960A78">
        <w:rPr>
          <w:rFonts w:asciiTheme="majorHAnsi" w:hAnsiTheme="majorHAnsi"/>
        </w:rPr>
        <w:t xml:space="preserve"> on governance, which includes various activities on institutional strengthening. The Network could seek support from the Special Programme on mainstreaming, strengthening of national coordination groups on chemicals and waste management, </w:t>
      </w:r>
      <w:r>
        <w:rPr>
          <w:rFonts w:asciiTheme="majorHAnsi" w:hAnsiTheme="majorHAnsi"/>
        </w:rPr>
        <w:t xml:space="preserve">and </w:t>
      </w:r>
      <w:r w:rsidRPr="00960A78">
        <w:rPr>
          <w:rFonts w:asciiTheme="majorHAnsi" w:hAnsiTheme="majorHAnsi"/>
        </w:rPr>
        <w:t xml:space="preserve">to strengthen capacities at the national level to negotiate under the international conventions on chemicals and waste. The SP </w:t>
      </w:r>
      <w:r w:rsidRPr="00960A78">
        <w:rPr>
          <w:rFonts w:asciiTheme="majorHAnsi" w:hAnsiTheme="majorHAnsi"/>
        </w:rPr>
        <w:lastRenderedPageBreak/>
        <w:t xml:space="preserve">could also support initiatives by the Network on </w:t>
      </w:r>
      <w:r>
        <w:rPr>
          <w:rFonts w:asciiTheme="majorHAnsi" w:hAnsiTheme="majorHAnsi"/>
        </w:rPr>
        <w:t>addressing policy issues related to</w:t>
      </w:r>
      <w:r w:rsidRPr="00960A78">
        <w:rPr>
          <w:rFonts w:asciiTheme="majorHAnsi" w:hAnsiTheme="majorHAnsi"/>
        </w:rPr>
        <w:t xml:space="preserve"> </w:t>
      </w:r>
      <w:r>
        <w:rPr>
          <w:rFonts w:asciiTheme="majorHAnsi" w:hAnsiTheme="majorHAnsi"/>
        </w:rPr>
        <w:t xml:space="preserve">the </w:t>
      </w:r>
      <w:r w:rsidRPr="00960A78">
        <w:rPr>
          <w:rFonts w:asciiTheme="majorHAnsi" w:hAnsiTheme="majorHAnsi"/>
        </w:rPr>
        <w:t xml:space="preserve">control </w:t>
      </w:r>
      <w:r>
        <w:rPr>
          <w:rFonts w:asciiTheme="majorHAnsi" w:hAnsiTheme="majorHAnsi"/>
        </w:rPr>
        <w:t xml:space="preserve">of chemicals </w:t>
      </w:r>
      <w:r w:rsidRPr="00960A78">
        <w:rPr>
          <w:rFonts w:asciiTheme="majorHAnsi" w:hAnsiTheme="majorHAnsi"/>
        </w:rPr>
        <w:t>illegal trade in the region</w:t>
      </w:r>
      <w:r>
        <w:rPr>
          <w:rFonts w:asciiTheme="majorHAnsi" w:hAnsiTheme="majorHAnsi"/>
        </w:rPr>
        <w:t>.</w:t>
      </w:r>
    </w:p>
    <w:p w14:paraId="7C19E426" w14:textId="77777777" w:rsidR="00A12811" w:rsidRDefault="00A12811" w:rsidP="00A12811">
      <w:pPr>
        <w:jc w:val="both"/>
        <w:rPr>
          <w:rFonts w:asciiTheme="majorHAnsi" w:hAnsiTheme="majorHAnsi"/>
        </w:rPr>
      </w:pPr>
    </w:p>
    <w:p w14:paraId="08528A5B" w14:textId="77777777" w:rsidR="00A12811" w:rsidRDefault="00A12811" w:rsidP="00A12811">
      <w:pPr>
        <w:jc w:val="both"/>
        <w:rPr>
          <w:rFonts w:asciiTheme="majorHAnsi" w:hAnsiTheme="majorHAnsi"/>
        </w:rPr>
      </w:pPr>
      <w:r>
        <w:rPr>
          <w:rFonts w:asciiTheme="majorHAnsi" w:hAnsiTheme="majorHAnsi"/>
        </w:rPr>
        <w:t xml:space="preserve">Within the framework of the Minamata Convention on Mercury, a trust fund has also been established </w:t>
      </w:r>
      <w:r w:rsidRPr="00DA3694">
        <w:rPr>
          <w:rFonts w:asciiTheme="majorHAnsi" w:hAnsiTheme="majorHAnsi"/>
        </w:rPr>
        <w:t xml:space="preserve">for the </w:t>
      </w:r>
      <w:r>
        <w:rPr>
          <w:rFonts w:asciiTheme="majorHAnsi" w:hAnsiTheme="majorHAnsi"/>
        </w:rPr>
        <w:t>S</w:t>
      </w:r>
      <w:r w:rsidRPr="00DA3694">
        <w:rPr>
          <w:rFonts w:asciiTheme="majorHAnsi" w:hAnsiTheme="majorHAnsi"/>
        </w:rPr>
        <w:t xml:space="preserve">pecific </w:t>
      </w:r>
      <w:r>
        <w:rPr>
          <w:rFonts w:asciiTheme="majorHAnsi" w:hAnsiTheme="majorHAnsi"/>
        </w:rPr>
        <w:t>I</w:t>
      </w:r>
      <w:r w:rsidRPr="00DA3694">
        <w:rPr>
          <w:rFonts w:asciiTheme="majorHAnsi" w:hAnsiTheme="majorHAnsi"/>
        </w:rPr>
        <w:t xml:space="preserve">nternational </w:t>
      </w:r>
      <w:r>
        <w:rPr>
          <w:rFonts w:asciiTheme="majorHAnsi" w:hAnsiTheme="majorHAnsi"/>
        </w:rPr>
        <w:t>P</w:t>
      </w:r>
      <w:r w:rsidRPr="00DA3694">
        <w:rPr>
          <w:rFonts w:asciiTheme="majorHAnsi" w:hAnsiTheme="majorHAnsi"/>
        </w:rPr>
        <w:t>rogramme, to support capacity-building and technical assistance in accordance with article 13</w:t>
      </w:r>
      <w:r>
        <w:rPr>
          <w:rFonts w:asciiTheme="majorHAnsi" w:hAnsiTheme="majorHAnsi"/>
        </w:rPr>
        <w:t xml:space="preserve">. Pledges and contributions are already taking place, which will contribute to implement the programme of work adopted by the Minamata COP1, and synergies could be identified with priority actions of the Network on mercury. </w:t>
      </w:r>
    </w:p>
    <w:p w14:paraId="619284F9" w14:textId="77777777" w:rsidR="00A12811" w:rsidRDefault="00A12811" w:rsidP="00A12811">
      <w:pPr>
        <w:jc w:val="both"/>
        <w:rPr>
          <w:rFonts w:asciiTheme="majorHAnsi" w:hAnsiTheme="majorHAnsi"/>
        </w:rPr>
      </w:pPr>
    </w:p>
    <w:p w14:paraId="4D041BF9" w14:textId="77777777" w:rsidR="00A12811" w:rsidRPr="00B166A5" w:rsidRDefault="00A12811" w:rsidP="00A12811">
      <w:pPr>
        <w:jc w:val="both"/>
        <w:rPr>
          <w:rFonts w:asciiTheme="majorHAnsi" w:hAnsiTheme="majorHAnsi"/>
          <w:b/>
        </w:rPr>
      </w:pPr>
      <w:r w:rsidRPr="00B166A5">
        <w:rPr>
          <w:rFonts w:asciiTheme="majorHAnsi" w:hAnsiTheme="majorHAnsi"/>
          <w:b/>
        </w:rPr>
        <w:t>Bilateral cooperation</w:t>
      </w:r>
    </w:p>
    <w:p w14:paraId="31B1FF4B" w14:textId="77777777" w:rsidR="00A12811" w:rsidRDefault="00A12811" w:rsidP="00A12811">
      <w:pPr>
        <w:jc w:val="both"/>
        <w:rPr>
          <w:rFonts w:asciiTheme="majorHAnsi" w:hAnsiTheme="majorHAnsi"/>
        </w:rPr>
      </w:pPr>
    </w:p>
    <w:p w14:paraId="149B9FF0" w14:textId="77777777" w:rsidR="00A12811" w:rsidRDefault="00A12811" w:rsidP="00A12811">
      <w:pPr>
        <w:jc w:val="both"/>
        <w:rPr>
          <w:rFonts w:asciiTheme="majorHAnsi" w:hAnsiTheme="majorHAnsi"/>
        </w:rPr>
      </w:pPr>
      <w:r>
        <w:rPr>
          <w:rFonts w:asciiTheme="majorHAnsi" w:hAnsiTheme="majorHAnsi"/>
        </w:rPr>
        <w:t xml:space="preserve">While many donor countries contribute financially to the chemicals and waste management agenda through global trust funds as those mentioned above, there is also bilateral support directly provided from these countries through their specialized agencies. Such is the case of the Swedish Chemicals Agency (KEMI), the Swiss Agency for Development and Cooperation, the German Federal Environment Agency (UBA), the Spanish Cooperation Agency, the Japan International Cooperation Agency (JICA), the United States Environmental Protection Agency (USEPA), the United States Agency for International Development (USAID), the DG Environment and the EuropeAid. </w:t>
      </w:r>
    </w:p>
    <w:p w14:paraId="31537CCD" w14:textId="77777777" w:rsidR="00A12811" w:rsidRDefault="00A12811" w:rsidP="00A12811">
      <w:pPr>
        <w:jc w:val="both"/>
        <w:rPr>
          <w:rFonts w:asciiTheme="majorHAnsi" w:hAnsiTheme="majorHAnsi"/>
        </w:rPr>
      </w:pPr>
    </w:p>
    <w:p w14:paraId="6AE78A4E" w14:textId="77777777" w:rsidR="00A12811" w:rsidRDefault="00A12811" w:rsidP="00A12811">
      <w:pPr>
        <w:jc w:val="both"/>
        <w:rPr>
          <w:rFonts w:asciiTheme="majorHAnsi" w:hAnsiTheme="majorHAnsi"/>
        </w:rPr>
      </w:pPr>
      <w:r>
        <w:rPr>
          <w:rFonts w:asciiTheme="majorHAnsi" w:hAnsiTheme="majorHAnsi"/>
        </w:rPr>
        <w:t>All these agencies have historically contributed generously to specific activities on chemicals and waste management in different countries and regions. The Network could receive important financial and technical support from these agencies to implement specific projects from the action plan. In addition, these agencies could be interested in supporting the operation of the Network if it is presented as a full programme to facilitate the sound management of chemicals and waste in the LAC region, according to their cooperation objectives. This might cover also operation costs of the Network.</w:t>
      </w:r>
    </w:p>
    <w:p w14:paraId="4FB1B744" w14:textId="77777777" w:rsidR="00A12811" w:rsidRDefault="00A12811" w:rsidP="00A12811">
      <w:pPr>
        <w:jc w:val="both"/>
        <w:rPr>
          <w:rFonts w:asciiTheme="majorHAnsi" w:hAnsiTheme="majorHAnsi"/>
        </w:rPr>
      </w:pPr>
    </w:p>
    <w:p w14:paraId="6FD078F4" w14:textId="77777777" w:rsidR="00A12811" w:rsidRPr="00B166A5" w:rsidRDefault="00A12811" w:rsidP="00A12811">
      <w:pPr>
        <w:jc w:val="both"/>
        <w:rPr>
          <w:rFonts w:asciiTheme="majorHAnsi" w:hAnsiTheme="majorHAnsi"/>
          <w:b/>
        </w:rPr>
      </w:pPr>
      <w:r w:rsidRPr="00B166A5">
        <w:rPr>
          <w:rFonts w:asciiTheme="majorHAnsi" w:hAnsiTheme="majorHAnsi"/>
          <w:b/>
        </w:rPr>
        <w:t>Development Banks</w:t>
      </w:r>
    </w:p>
    <w:p w14:paraId="2BBD0CE5" w14:textId="77777777" w:rsidR="00A12811" w:rsidRDefault="00A12811" w:rsidP="00A12811">
      <w:pPr>
        <w:jc w:val="both"/>
        <w:rPr>
          <w:rFonts w:asciiTheme="majorHAnsi" w:hAnsiTheme="majorHAnsi"/>
        </w:rPr>
      </w:pPr>
    </w:p>
    <w:p w14:paraId="0EA48888" w14:textId="77777777" w:rsidR="00A12811" w:rsidRPr="00D4268E" w:rsidRDefault="00A12811" w:rsidP="00A12811">
      <w:pPr>
        <w:jc w:val="both"/>
        <w:rPr>
          <w:rFonts w:asciiTheme="majorHAnsi" w:hAnsiTheme="majorHAnsi"/>
        </w:rPr>
      </w:pPr>
      <w:r>
        <w:rPr>
          <w:rFonts w:asciiTheme="majorHAnsi" w:hAnsiTheme="majorHAnsi"/>
        </w:rPr>
        <w:t xml:space="preserve">Beyond multilateral and bilateral national and regional agreements, the Network could also seek support from key development banks. The World Bank, for example, has considerable experience in assisting countries to address the sound management of chemicals, as it has acted as a GEF implementing agency since the adoption of the Stockholm Convention on POPs. Other donors could be explored, such as the Development Bank of Latin America (CAF), the Central American Bank for Economic Integration (BCIE) or the Caribbean Development Bank (CDB). Although these banks do not have historically hosted portfolios on chemicals and waste management, they could be interested to support certain initiatives under </w:t>
      </w:r>
      <w:proofErr w:type="spellStart"/>
      <w:r>
        <w:rPr>
          <w:rFonts w:asciiTheme="majorHAnsi" w:hAnsiTheme="majorHAnsi"/>
        </w:rPr>
        <w:t>programmes</w:t>
      </w:r>
      <w:proofErr w:type="spellEnd"/>
      <w:r>
        <w:rPr>
          <w:rFonts w:asciiTheme="majorHAnsi" w:hAnsiTheme="majorHAnsi"/>
        </w:rPr>
        <w:t xml:space="preserve"> such as the community disaster risk reduction initiatives or the public-private partnerships. </w:t>
      </w:r>
    </w:p>
    <w:p w14:paraId="59168CFE" w14:textId="77777777" w:rsidR="00A12811" w:rsidRDefault="00A12811" w:rsidP="00A12811">
      <w:pPr>
        <w:rPr>
          <w:rFonts w:ascii="Calibri" w:eastAsia="Times New Roman" w:hAnsi="Calibri" w:cs="Times New Roman"/>
          <w:b/>
          <w:bCs/>
          <w:color w:val="000000"/>
          <w:sz w:val="22"/>
          <w:szCs w:val="22"/>
        </w:rPr>
      </w:pPr>
    </w:p>
    <w:p w14:paraId="512BBFF8" w14:textId="77777777" w:rsidR="00A12811" w:rsidRPr="001615E3" w:rsidRDefault="00A12811" w:rsidP="00A12811">
      <w:pPr>
        <w:jc w:val="both"/>
        <w:rPr>
          <w:rFonts w:asciiTheme="majorHAnsi" w:hAnsiTheme="majorHAnsi"/>
          <w:b/>
        </w:rPr>
      </w:pPr>
      <w:r w:rsidRPr="001615E3">
        <w:rPr>
          <w:rFonts w:asciiTheme="majorHAnsi" w:hAnsiTheme="majorHAnsi"/>
          <w:b/>
        </w:rPr>
        <w:t>IOMC and other UN agencies</w:t>
      </w:r>
    </w:p>
    <w:p w14:paraId="167062D1" w14:textId="77777777" w:rsidR="00A12811" w:rsidRDefault="00A12811" w:rsidP="00A12811">
      <w:pPr>
        <w:rPr>
          <w:rFonts w:ascii="Calibri" w:eastAsia="Times New Roman" w:hAnsi="Calibri" w:cs="Times New Roman"/>
          <w:b/>
          <w:bCs/>
          <w:color w:val="000000"/>
          <w:sz w:val="22"/>
          <w:szCs w:val="22"/>
        </w:rPr>
      </w:pPr>
    </w:p>
    <w:p w14:paraId="708B979B" w14:textId="77777777" w:rsidR="00A12811" w:rsidRPr="00AA7F14" w:rsidRDefault="00A12811" w:rsidP="00A12811">
      <w:pPr>
        <w:jc w:val="both"/>
        <w:rPr>
          <w:rFonts w:asciiTheme="majorHAnsi" w:hAnsiTheme="majorHAnsi"/>
        </w:rPr>
      </w:pPr>
      <w:r w:rsidRPr="00AA7F14">
        <w:rPr>
          <w:rFonts w:asciiTheme="majorHAnsi" w:hAnsiTheme="majorHAnsi"/>
        </w:rPr>
        <w:t>Key partners to implement the 201</w:t>
      </w:r>
      <w:r>
        <w:rPr>
          <w:rFonts w:asciiTheme="majorHAnsi" w:hAnsiTheme="majorHAnsi"/>
        </w:rPr>
        <w:t>9</w:t>
      </w:r>
      <w:r w:rsidRPr="00AA7F14">
        <w:rPr>
          <w:rFonts w:asciiTheme="majorHAnsi" w:hAnsiTheme="majorHAnsi"/>
        </w:rPr>
        <w:t>-201</w:t>
      </w:r>
      <w:r>
        <w:rPr>
          <w:rFonts w:asciiTheme="majorHAnsi" w:hAnsiTheme="majorHAnsi"/>
        </w:rPr>
        <w:t xml:space="preserve">20 </w:t>
      </w:r>
      <w:r w:rsidRPr="00AA7F14">
        <w:rPr>
          <w:rFonts w:asciiTheme="majorHAnsi" w:hAnsiTheme="majorHAnsi"/>
        </w:rPr>
        <w:t>Biennium Action Plan are the member agencies of the Inter-Organization Programme for the Sound Management of Chemicals (IOMC). Comprising the</w:t>
      </w:r>
      <w:r>
        <w:rPr>
          <w:rFonts w:asciiTheme="majorHAnsi" w:hAnsiTheme="majorHAnsi"/>
        </w:rPr>
        <w:t xml:space="preserve"> </w:t>
      </w:r>
      <w:r>
        <w:rPr>
          <w:rFonts w:asciiTheme="majorHAnsi" w:hAnsiTheme="majorHAnsi"/>
        </w:rPr>
        <w:lastRenderedPageBreak/>
        <w:t>United Nations</w:t>
      </w:r>
      <w:r w:rsidRPr="00AA7F14">
        <w:rPr>
          <w:rFonts w:asciiTheme="majorHAnsi" w:hAnsiTheme="majorHAnsi"/>
        </w:rPr>
        <w:t xml:space="preserve"> Food and Agriculture Organization (FAO), the International </w:t>
      </w:r>
      <w:proofErr w:type="spellStart"/>
      <w:r w:rsidRPr="00AA7F14">
        <w:rPr>
          <w:rFonts w:asciiTheme="majorHAnsi" w:hAnsiTheme="majorHAnsi"/>
        </w:rPr>
        <w:t>Labour</w:t>
      </w:r>
      <w:proofErr w:type="spellEnd"/>
      <w:r w:rsidRPr="00AA7F14">
        <w:rPr>
          <w:rFonts w:asciiTheme="majorHAnsi" w:hAnsiTheme="majorHAnsi"/>
        </w:rPr>
        <w:t xml:space="preserve"> Organization (ILO), the United Nations Development Programme (UNDP), UN Environment, the United Nations Industrial Development Organization (UNIDO), the United Nations Institute for Training and Research (UNITAR), the World Health Organization (WHO), the World Bank and the </w:t>
      </w:r>
      <w:proofErr w:type="spellStart"/>
      <w:r w:rsidRPr="00AA7F14">
        <w:rPr>
          <w:rFonts w:asciiTheme="majorHAnsi" w:hAnsiTheme="majorHAnsi"/>
        </w:rPr>
        <w:t>Organisation</w:t>
      </w:r>
      <w:proofErr w:type="spellEnd"/>
      <w:r w:rsidRPr="00AA7F14">
        <w:rPr>
          <w:rFonts w:asciiTheme="majorHAnsi" w:hAnsiTheme="majorHAnsi"/>
        </w:rPr>
        <w:t xml:space="preserve"> for Economic Co-operation and Development (OECD), the IOMC has the purpose of promoting coordination of policies and activities on chemicals management supported by all member agencies. </w:t>
      </w:r>
    </w:p>
    <w:p w14:paraId="3644118A" w14:textId="77777777" w:rsidR="00A12811" w:rsidRPr="00AA7F14" w:rsidRDefault="00A12811" w:rsidP="00A12811">
      <w:pPr>
        <w:jc w:val="both"/>
        <w:rPr>
          <w:rFonts w:asciiTheme="majorHAnsi" w:hAnsiTheme="majorHAnsi"/>
        </w:rPr>
      </w:pPr>
    </w:p>
    <w:p w14:paraId="6C61BB43" w14:textId="77777777" w:rsidR="00A12811" w:rsidRPr="00AA7F14" w:rsidRDefault="00A12811" w:rsidP="00A12811">
      <w:pPr>
        <w:jc w:val="both"/>
        <w:rPr>
          <w:rFonts w:asciiTheme="majorHAnsi" w:hAnsiTheme="majorHAnsi"/>
        </w:rPr>
      </w:pPr>
      <w:r w:rsidRPr="00AA7F14">
        <w:rPr>
          <w:rFonts w:asciiTheme="majorHAnsi" w:hAnsiTheme="majorHAnsi"/>
        </w:rPr>
        <w:t xml:space="preserve">Each member agency from the IOMC has </w:t>
      </w:r>
      <w:r>
        <w:rPr>
          <w:rFonts w:asciiTheme="majorHAnsi" w:hAnsiTheme="majorHAnsi"/>
        </w:rPr>
        <w:t xml:space="preserve">broad </w:t>
      </w:r>
      <w:r w:rsidRPr="00AA7F14">
        <w:rPr>
          <w:rFonts w:asciiTheme="majorHAnsi" w:hAnsiTheme="majorHAnsi"/>
        </w:rPr>
        <w:t xml:space="preserve">experience on </w:t>
      </w:r>
      <w:r>
        <w:rPr>
          <w:rFonts w:asciiTheme="majorHAnsi" w:hAnsiTheme="majorHAnsi"/>
        </w:rPr>
        <w:t>several aspects of</w:t>
      </w:r>
      <w:r w:rsidRPr="00AA7F14">
        <w:rPr>
          <w:rFonts w:asciiTheme="majorHAnsi" w:hAnsiTheme="majorHAnsi"/>
        </w:rPr>
        <w:t xml:space="preserve"> chemicals </w:t>
      </w:r>
      <w:r>
        <w:rPr>
          <w:rFonts w:asciiTheme="majorHAnsi" w:hAnsiTheme="majorHAnsi"/>
        </w:rPr>
        <w:t>and waste management. Th</w:t>
      </w:r>
      <w:r w:rsidRPr="00AA7F14">
        <w:rPr>
          <w:rFonts w:asciiTheme="majorHAnsi" w:hAnsiTheme="majorHAnsi"/>
        </w:rPr>
        <w:t>e Network would benefit from partnering with these agencies to receive technical</w:t>
      </w:r>
      <w:r>
        <w:rPr>
          <w:rFonts w:asciiTheme="majorHAnsi" w:hAnsiTheme="majorHAnsi"/>
        </w:rPr>
        <w:t xml:space="preserve"> guidance and</w:t>
      </w:r>
      <w:r w:rsidRPr="00AA7F14">
        <w:rPr>
          <w:rFonts w:asciiTheme="majorHAnsi" w:hAnsiTheme="majorHAnsi"/>
        </w:rPr>
        <w:t xml:space="preserve"> support</w:t>
      </w:r>
      <w:r>
        <w:rPr>
          <w:rFonts w:asciiTheme="majorHAnsi" w:hAnsiTheme="majorHAnsi"/>
        </w:rPr>
        <w:t>. Examples of some of the specific topics supported by these agencies are</w:t>
      </w:r>
      <w:r w:rsidRPr="00AA7F14">
        <w:rPr>
          <w:rFonts w:asciiTheme="majorHAnsi" w:hAnsiTheme="majorHAnsi"/>
        </w:rPr>
        <w:t>:</w:t>
      </w:r>
    </w:p>
    <w:p w14:paraId="7C59FB43" w14:textId="77777777" w:rsidR="00A12811" w:rsidRPr="00AA7F14" w:rsidRDefault="00A12811" w:rsidP="00A12811">
      <w:pPr>
        <w:jc w:val="both"/>
        <w:rPr>
          <w:rFonts w:asciiTheme="majorHAnsi" w:hAnsiTheme="majorHAnsi"/>
        </w:rPr>
      </w:pPr>
    </w:p>
    <w:p w14:paraId="23093858" w14:textId="77777777" w:rsidR="00A12811" w:rsidRDefault="00A12811" w:rsidP="00A12811">
      <w:pPr>
        <w:pStyle w:val="ListParagraph"/>
        <w:numPr>
          <w:ilvl w:val="0"/>
          <w:numId w:val="3"/>
        </w:numPr>
        <w:jc w:val="both"/>
        <w:rPr>
          <w:rFonts w:asciiTheme="majorHAnsi" w:hAnsiTheme="majorHAnsi"/>
        </w:rPr>
      </w:pPr>
      <w:r>
        <w:rPr>
          <w:rFonts w:asciiTheme="majorHAnsi" w:hAnsiTheme="majorHAnsi"/>
        </w:rPr>
        <w:t xml:space="preserve">FAO works with many countries on the sound management of POPs waste to reduce stocks of obsolete pesticides. It also builds capacities in countries for a correct pest management to achieve improved agriculture productivity but in a sustainable and ecologically sound manner. </w:t>
      </w:r>
    </w:p>
    <w:p w14:paraId="33C35D50" w14:textId="77777777" w:rsidR="00A12811" w:rsidRDefault="00A12811" w:rsidP="00A12811">
      <w:pPr>
        <w:pStyle w:val="ListParagraph"/>
        <w:jc w:val="both"/>
        <w:rPr>
          <w:rFonts w:asciiTheme="majorHAnsi" w:hAnsiTheme="majorHAnsi"/>
        </w:rPr>
      </w:pPr>
    </w:p>
    <w:p w14:paraId="68DF9BA1" w14:textId="77777777" w:rsidR="00A12811" w:rsidRDefault="00A12811" w:rsidP="00A12811">
      <w:pPr>
        <w:pStyle w:val="ListParagraph"/>
        <w:numPr>
          <w:ilvl w:val="0"/>
          <w:numId w:val="3"/>
        </w:numPr>
        <w:jc w:val="both"/>
        <w:rPr>
          <w:rFonts w:asciiTheme="majorHAnsi" w:hAnsiTheme="majorHAnsi"/>
        </w:rPr>
      </w:pPr>
      <w:r w:rsidRPr="003E7FB5">
        <w:rPr>
          <w:rFonts w:asciiTheme="majorHAnsi" w:hAnsiTheme="majorHAnsi"/>
        </w:rPr>
        <w:t xml:space="preserve">The </w:t>
      </w:r>
      <w:proofErr w:type="spellStart"/>
      <w:r w:rsidRPr="003E7FB5">
        <w:rPr>
          <w:rFonts w:asciiTheme="majorHAnsi" w:hAnsiTheme="majorHAnsi"/>
        </w:rPr>
        <w:t>PanAmerican</w:t>
      </w:r>
      <w:proofErr w:type="spellEnd"/>
      <w:r w:rsidRPr="003E7FB5">
        <w:rPr>
          <w:rFonts w:asciiTheme="majorHAnsi" w:hAnsiTheme="majorHAnsi"/>
        </w:rPr>
        <w:t xml:space="preserve"> Health Organization </w:t>
      </w:r>
      <w:r>
        <w:rPr>
          <w:rFonts w:asciiTheme="majorHAnsi" w:hAnsiTheme="majorHAnsi"/>
        </w:rPr>
        <w:t xml:space="preserve">(PAHO) is the WHO regional office for the Americas. As part of its broad agenda of </w:t>
      </w:r>
      <w:proofErr w:type="spellStart"/>
      <w:r>
        <w:rPr>
          <w:rFonts w:asciiTheme="majorHAnsi" w:hAnsiTheme="majorHAnsi"/>
        </w:rPr>
        <w:t>programmes</w:t>
      </w:r>
      <w:proofErr w:type="spellEnd"/>
      <w:r>
        <w:rPr>
          <w:rFonts w:asciiTheme="majorHAnsi" w:hAnsiTheme="majorHAnsi"/>
        </w:rPr>
        <w:t xml:space="preserve"> on human health, this agency supports capacity-building activities in countries to understand</w:t>
      </w:r>
      <w:r w:rsidRPr="003E7FB5">
        <w:rPr>
          <w:rFonts w:asciiTheme="majorHAnsi" w:hAnsiTheme="majorHAnsi"/>
        </w:rPr>
        <w:t xml:space="preserve"> chemical risk</w:t>
      </w:r>
      <w:r>
        <w:rPr>
          <w:rFonts w:asciiTheme="majorHAnsi" w:hAnsiTheme="majorHAnsi"/>
        </w:rPr>
        <w:t>s to human health. For example, PAHO recently</w:t>
      </w:r>
      <w:r w:rsidRPr="003E7FB5">
        <w:rPr>
          <w:rFonts w:asciiTheme="majorHAnsi" w:hAnsiTheme="majorHAnsi"/>
        </w:rPr>
        <w:t xml:space="preserve"> launched an online course on exposure to chemicals and human health, which provides guidance on methodologies for assessing risks to human health due to chemical exposure in contaminated areas. </w:t>
      </w:r>
      <w:r>
        <w:rPr>
          <w:rFonts w:asciiTheme="majorHAnsi" w:hAnsiTheme="majorHAnsi"/>
        </w:rPr>
        <w:t xml:space="preserve">The online platform by </w:t>
      </w:r>
      <w:r w:rsidRPr="003E7FB5">
        <w:rPr>
          <w:rFonts w:asciiTheme="majorHAnsi" w:hAnsiTheme="majorHAnsi"/>
        </w:rPr>
        <w:t>PAHO</w:t>
      </w:r>
      <w:r>
        <w:rPr>
          <w:rFonts w:asciiTheme="majorHAnsi" w:hAnsiTheme="majorHAnsi"/>
        </w:rPr>
        <w:t xml:space="preserve"> to train different stakeholders on chemical risks could be a valuable tool for the Network. PAHO</w:t>
      </w:r>
      <w:r w:rsidRPr="003E7FB5">
        <w:rPr>
          <w:rFonts w:asciiTheme="majorHAnsi" w:hAnsiTheme="majorHAnsi"/>
        </w:rPr>
        <w:t xml:space="preserve"> and WHO also work with countries on understanding and training health personnel on the roles of the health sector under the Minamata Convention. </w:t>
      </w:r>
    </w:p>
    <w:p w14:paraId="656259F6" w14:textId="77777777" w:rsidR="00A12811" w:rsidRPr="003E7FB5" w:rsidRDefault="00A12811" w:rsidP="00A12811">
      <w:pPr>
        <w:pStyle w:val="ListParagraph"/>
        <w:jc w:val="both"/>
        <w:rPr>
          <w:rFonts w:asciiTheme="majorHAnsi" w:hAnsiTheme="majorHAnsi"/>
        </w:rPr>
      </w:pPr>
    </w:p>
    <w:p w14:paraId="0922107B" w14:textId="77777777" w:rsidR="00A12811" w:rsidRPr="003E7FB5" w:rsidRDefault="00A12811" w:rsidP="00A12811">
      <w:pPr>
        <w:pStyle w:val="ListParagraph"/>
        <w:numPr>
          <w:ilvl w:val="0"/>
          <w:numId w:val="3"/>
        </w:numPr>
        <w:jc w:val="both"/>
        <w:rPr>
          <w:rFonts w:asciiTheme="majorHAnsi" w:hAnsiTheme="majorHAnsi"/>
        </w:rPr>
      </w:pPr>
      <w:r w:rsidRPr="003E7FB5">
        <w:rPr>
          <w:rFonts w:asciiTheme="majorHAnsi" w:hAnsiTheme="majorHAnsi"/>
        </w:rPr>
        <w:t xml:space="preserve">UNDP’s programme on mainstreaming, which supports countries to integrate chemicals management priorities into national environmental and poverty reduction planning frameworks using the UNDP SMC mainstreaming methodology. UNDP also supports countries on POPs and mercury waste management. </w:t>
      </w:r>
    </w:p>
    <w:p w14:paraId="7ADEF78D" w14:textId="77777777" w:rsidR="00A12811" w:rsidRPr="00AA7F14" w:rsidRDefault="00A12811" w:rsidP="00A12811">
      <w:pPr>
        <w:jc w:val="both"/>
        <w:rPr>
          <w:rFonts w:asciiTheme="majorHAnsi" w:hAnsiTheme="majorHAnsi"/>
        </w:rPr>
      </w:pPr>
    </w:p>
    <w:p w14:paraId="56CBD741" w14:textId="77777777" w:rsidR="00A12811" w:rsidRDefault="00A12811" w:rsidP="00A12811">
      <w:pPr>
        <w:pStyle w:val="ListParagraph"/>
        <w:numPr>
          <w:ilvl w:val="0"/>
          <w:numId w:val="3"/>
        </w:numPr>
        <w:jc w:val="both"/>
        <w:rPr>
          <w:rFonts w:asciiTheme="majorHAnsi" w:hAnsiTheme="majorHAnsi"/>
        </w:rPr>
      </w:pPr>
      <w:r w:rsidRPr="00996AFC">
        <w:rPr>
          <w:rFonts w:asciiTheme="majorHAnsi" w:hAnsiTheme="majorHAnsi"/>
        </w:rPr>
        <w:t>UN Environment supports various capacity-building activities in countries</w:t>
      </w:r>
      <w:r>
        <w:rPr>
          <w:rFonts w:asciiTheme="majorHAnsi" w:hAnsiTheme="majorHAnsi"/>
        </w:rPr>
        <w:t xml:space="preserve"> as part of its Chemicals and Waste Programme. In addition, UN Environment hosts the </w:t>
      </w:r>
      <w:r w:rsidRPr="00996AFC">
        <w:rPr>
          <w:rFonts w:asciiTheme="majorHAnsi" w:hAnsiTheme="majorHAnsi"/>
        </w:rPr>
        <w:t>Secretariat</w:t>
      </w:r>
      <w:r>
        <w:rPr>
          <w:rFonts w:asciiTheme="majorHAnsi" w:hAnsiTheme="majorHAnsi"/>
        </w:rPr>
        <w:t>s</w:t>
      </w:r>
      <w:r w:rsidRPr="00996AFC">
        <w:rPr>
          <w:rFonts w:asciiTheme="majorHAnsi" w:hAnsiTheme="majorHAnsi"/>
        </w:rPr>
        <w:t xml:space="preserve"> for the B</w:t>
      </w:r>
      <w:r>
        <w:rPr>
          <w:rFonts w:asciiTheme="majorHAnsi" w:hAnsiTheme="majorHAnsi"/>
        </w:rPr>
        <w:t xml:space="preserve">asel, </w:t>
      </w:r>
      <w:r w:rsidRPr="00996AFC">
        <w:rPr>
          <w:rFonts w:asciiTheme="majorHAnsi" w:hAnsiTheme="majorHAnsi"/>
        </w:rPr>
        <w:t>R</w:t>
      </w:r>
      <w:r>
        <w:rPr>
          <w:rFonts w:asciiTheme="majorHAnsi" w:hAnsiTheme="majorHAnsi"/>
        </w:rPr>
        <w:t xml:space="preserve">otterdam, </w:t>
      </w:r>
      <w:r w:rsidRPr="00996AFC">
        <w:rPr>
          <w:rFonts w:asciiTheme="majorHAnsi" w:hAnsiTheme="majorHAnsi"/>
        </w:rPr>
        <w:t>S</w:t>
      </w:r>
      <w:r>
        <w:rPr>
          <w:rFonts w:asciiTheme="majorHAnsi" w:hAnsiTheme="majorHAnsi"/>
        </w:rPr>
        <w:t>tockholm</w:t>
      </w:r>
      <w:r w:rsidRPr="00996AFC">
        <w:rPr>
          <w:rFonts w:asciiTheme="majorHAnsi" w:hAnsiTheme="majorHAnsi"/>
        </w:rPr>
        <w:t xml:space="preserve"> and Minamata Conventions. </w:t>
      </w:r>
      <w:r>
        <w:rPr>
          <w:rFonts w:asciiTheme="majorHAnsi" w:hAnsiTheme="majorHAnsi"/>
        </w:rPr>
        <w:t xml:space="preserve">Each Secretariat has several capacity-building </w:t>
      </w:r>
      <w:proofErr w:type="spellStart"/>
      <w:r>
        <w:rPr>
          <w:rFonts w:asciiTheme="majorHAnsi" w:hAnsiTheme="majorHAnsi"/>
        </w:rPr>
        <w:t>programmes</w:t>
      </w:r>
      <w:proofErr w:type="spellEnd"/>
      <w:r>
        <w:rPr>
          <w:rFonts w:asciiTheme="majorHAnsi" w:hAnsiTheme="majorHAnsi"/>
        </w:rPr>
        <w:t xml:space="preserve"> and activities specific to the technical aspects of each convention. In addition, the Basel and Stockholm Secretariats are supported by regional coordinating centers in each region of the world, which provide close and practical technical support to countries. </w:t>
      </w:r>
      <w:r w:rsidRPr="00996AFC">
        <w:rPr>
          <w:rFonts w:asciiTheme="majorHAnsi" w:hAnsiTheme="majorHAnsi"/>
        </w:rPr>
        <w:t>As host of these chemical conventions, U</w:t>
      </w:r>
      <w:r>
        <w:rPr>
          <w:rFonts w:asciiTheme="majorHAnsi" w:hAnsiTheme="majorHAnsi"/>
        </w:rPr>
        <w:t>N Environment supports, for example, capacity-building activities on</w:t>
      </w:r>
      <w:r w:rsidRPr="00996AFC">
        <w:rPr>
          <w:rFonts w:asciiTheme="majorHAnsi" w:hAnsiTheme="majorHAnsi"/>
        </w:rPr>
        <w:t xml:space="preserve"> implementing BAT and BEP in </w:t>
      </w:r>
      <w:r>
        <w:rPr>
          <w:rFonts w:asciiTheme="majorHAnsi" w:hAnsiTheme="majorHAnsi"/>
        </w:rPr>
        <w:t>industry</w:t>
      </w:r>
      <w:r w:rsidRPr="00996AFC">
        <w:rPr>
          <w:rFonts w:asciiTheme="majorHAnsi" w:hAnsiTheme="majorHAnsi"/>
        </w:rPr>
        <w:t xml:space="preserve">, development of inventories of chemicals of concern, such as mercury and POPs, the sound management of hazardous waste in general, among many others. </w:t>
      </w:r>
    </w:p>
    <w:p w14:paraId="650DBC57" w14:textId="77777777" w:rsidR="00A12811" w:rsidRPr="00996AFC" w:rsidRDefault="00A12811" w:rsidP="00A12811">
      <w:pPr>
        <w:jc w:val="both"/>
        <w:rPr>
          <w:rFonts w:asciiTheme="majorHAnsi" w:hAnsiTheme="majorHAnsi"/>
        </w:rPr>
      </w:pPr>
    </w:p>
    <w:p w14:paraId="5AFF4CBD" w14:textId="77777777" w:rsidR="00A12811" w:rsidRDefault="00A12811" w:rsidP="00A12811">
      <w:pPr>
        <w:pStyle w:val="ListParagraph"/>
        <w:numPr>
          <w:ilvl w:val="0"/>
          <w:numId w:val="3"/>
        </w:numPr>
        <w:jc w:val="both"/>
        <w:rPr>
          <w:rFonts w:asciiTheme="majorHAnsi" w:hAnsiTheme="majorHAnsi"/>
        </w:rPr>
      </w:pPr>
      <w:r w:rsidRPr="00996AFC">
        <w:rPr>
          <w:rFonts w:asciiTheme="majorHAnsi" w:hAnsiTheme="majorHAnsi"/>
        </w:rPr>
        <w:lastRenderedPageBreak/>
        <w:t xml:space="preserve">UNIDO has worked in many initiatives on mercury management, and more specifically on introduction of mercury-free technologies in ASGM. Knowledge and lessons learned </w:t>
      </w:r>
      <w:r>
        <w:rPr>
          <w:rFonts w:asciiTheme="majorHAnsi" w:hAnsiTheme="majorHAnsi"/>
        </w:rPr>
        <w:t>from</w:t>
      </w:r>
      <w:r w:rsidRPr="00996AFC">
        <w:rPr>
          <w:rFonts w:asciiTheme="majorHAnsi" w:hAnsiTheme="majorHAnsi"/>
        </w:rPr>
        <w:t xml:space="preserve"> this agency would be valuable to the ASGM work of the Network. </w:t>
      </w:r>
      <w:r>
        <w:rPr>
          <w:rFonts w:asciiTheme="majorHAnsi" w:hAnsiTheme="majorHAnsi"/>
        </w:rPr>
        <w:t xml:space="preserve">As per its main mandate, this agency also works closely with the industry sector to improve practices towards a sound management of chemicals and waste. It has strong knowledge on public-private partnerships. </w:t>
      </w:r>
    </w:p>
    <w:p w14:paraId="0F2FE786" w14:textId="77777777" w:rsidR="00A12811" w:rsidRPr="00996AFC" w:rsidRDefault="00A12811" w:rsidP="00A12811">
      <w:pPr>
        <w:jc w:val="both"/>
        <w:rPr>
          <w:rFonts w:asciiTheme="majorHAnsi" w:hAnsiTheme="majorHAnsi"/>
        </w:rPr>
      </w:pPr>
    </w:p>
    <w:p w14:paraId="3BD1B2A2" w14:textId="77777777" w:rsidR="00A12811" w:rsidRPr="003E7FB5" w:rsidRDefault="00A12811" w:rsidP="00A12811">
      <w:pPr>
        <w:pStyle w:val="ListParagraph"/>
        <w:numPr>
          <w:ilvl w:val="0"/>
          <w:numId w:val="3"/>
        </w:numPr>
        <w:jc w:val="both"/>
        <w:rPr>
          <w:rFonts w:asciiTheme="majorHAnsi" w:hAnsiTheme="majorHAnsi"/>
        </w:rPr>
      </w:pPr>
      <w:r>
        <w:rPr>
          <w:rFonts w:asciiTheme="majorHAnsi" w:hAnsiTheme="majorHAnsi"/>
        </w:rPr>
        <w:t>Through its</w:t>
      </w:r>
      <w:r w:rsidRPr="003E7FB5">
        <w:rPr>
          <w:rFonts w:asciiTheme="majorHAnsi" w:hAnsiTheme="majorHAnsi"/>
        </w:rPr>
        <w:t xml:space="preserve"> Pollutant Release and Transfer Registers (PRTRs</w:t>
      </w:r>
      <w:r>
        <w:rPr>
          <w:rFonts w:asciiTheme="majorHAnsi" w:hAnsiTheme="majorHAnsi"/>
        </w:rPr>
        <w:t>) programme, UNITAR</w:t>
      </w:r>
      <w:r w:rsidRPr="003E7FB5">
        <w:rPr>
          <w:rFonts w:asciiTheme="majorHAnsi" w:hAnsiTheme="majorHAnsi"/>
        </w:rPr>
        <w:t xml:space="preserve"> supports countries into a step-by-step methodology to create an open-access database of releases and transfers of harmful chemicals to the environment. OECD also </w:t>
      </w:r>
      <w:r>
        <w:rPr>
          <w:rFonts w:asciiTheme="majorHAnsi" w:hAnsiTheme="majorHAnsi"/>
        </w:rPr>
        <w:t xml:space="preserve">supports the implementation of PRTRs through its PRTR Working Group, which could provide valuable </w:t>
      </w:r>
      <w:r w:rsidRPr="003E7FB5">
        <w:rPr>
          <w:rFonts w:asciiTheme="majorHAnsi" w:hAnsiTheme="majorHAnsi"/>
        </w:rPr>
        <w:t xml:space="preserve">technical guidance on designing this kind of register. </w:t>
      </w:r>
    </w:p>
    <w:p w14:paraId="76BEB81B" w14:textId="77777777" w:rsidR="00A12811" w:rsidRPr="00AA7F14" w:rsidRDefault="00A12811" w:rsidP="00A12811">
      <w:pPr>
        <w:jc w:val="both"/>
        <w:rPr>
          <w:rFonts w:asciiTheme="majorHAnsi" w:hAnsiTheme="majorHAnsi"/>
        </w:rPr>
      </w:pPr>
    </w:p>
    <w:p w14:paraId="0DA9DA0D" w14:textId="77777777" w:rsidR="00A12811" w:rsidRDefault="00A12811" w:rsidP="00A12811">
      <w:pPr>
        <w:jc w:val="both"/>
        <w:rPr>
          <w:rFonts w:asciiTheme="majorHAnsi" w:hAnsiTheme="majorHAnsi"/>
        </w:rPr>
      </w:pPr>
    </w:p>
    <w:p w14:paraId="481ECA1D" w14:textId="77777777" w:rsidR="00A12811" w:rsidRDefault="00A12811" w:rsidP="00A12811">
      <w:pPr>
        <w:jc w:val="both"/>
        <w:rPr>
          <w:rFonts w:asciiTheme="majorHAnsi" w:hAnsiTheme="majorHAnsi"/>
        </w:rPr>
      </w:pPr>
      <w:r>
        <w:rPr>
          <w:rFonts w:asciiTheme="majorHAnsi" w:hAnsiTheme="majorHAnsi"/>
        </w:rPr>
        <w:t xml:space="preserve">Beyond the IOMC, there are other organizations with specific areas of work on chemicals and waste management, such as the United Nations Economic Commission for Europe (UNECE). This agency hosts the Secretariat of the Globally Harmonized System of Classification and Labelling of Chemicals (GHS) and the Kiev Protocol on Pollutant Release and Transfer Registers (PRTR), both key areas in the Network’s action plan.  </w:t>
      </w:r>
    </w:p>
    <w:p w14:paraId="603C8683" w14:textId="77777777" w:rsidR="00A12811" w:rsidRDefault="00A12811" w:rsidP="00A12811">
      <w:pPr>
        <w:jc w:val="both"/>
        <w:rPr>
          <w:rFonts w:asciiTheme="majorHAnsi" w:hAnsiTheme="majorHAnsi"/>
        </w:rPr>
      </w:pPr>
    </w:p>
    <w:p w14:paraId="01AD667B" w14:textId="77777777" w:rsidR="00A12811" w:rsidRPr="00B166A5" w:rsidRDefault="00A12811" w:rsidP="00A12811">
      <w:pPr>
        <w:jc w:val="both"/>
        <w:rPr>
          <w:rFonts w:asciiTheme="majorHAnsi" w:hAnsiTheme="majorHAnsi"/>
          <w:b/>
        </w:rPr>
      </w:pPr>
      <w:r w:rsidRPr="00B166A5">
        <w:rPr>
          <w:rFonts w:asciiTheme="majorHAnsi" w:hAnsiTheme="majorHAnsi"/>
          <w:b/>
        </w:rPr>
        <w:t>NGOs</w:t>
      </w:r>
    </w:p>
    <w:p w14:paraId="74412BF6" w14:textId="77777777" w:rsidR="00A12811" w:rsidRDefault="00A12811" w:rsidP="00A12811">
      <w:pPr>
        <w:jc w:val="both"/>
        <w:rPr>
          <w:rFonts w:asciiTheme="majorHAnsi" w:hAnsiTheme="majorHAnsi"/>
        </w:rPr>
      </w:pPr>
    </w:p>
    <w:p w14:paraId="03406DD1" w14:textId="77777777" w:rsidR="00A12811" w:rsidRDefault="00A12811" w:rsidP="00A12811">
      <w:pPr>
        <w:jc w:val="both"/>
        <w:rPr>
          <w:rFonts w:asciiTheme="majorHAnsi" w:hAnsiTheme="majorHAnsi"/>
        </w:rPr>
      </w:pPr>
      <w:r>
        <w:rPr>
          <w:rFonts w:asciiTheme="majorHAnsi" w:hAnsiTheme="majorHAnsi"/>
        </w:rPr>
        <w:t xml:space="preserve">The Network can also seek support from non-governmental organizations, such as Health Care without Harm and the International POPs Elimination Network (IPEN). Each of these, under its own scope of work, supports many activities on the sound management of chemicals. Being non-governmental organizations, these agencies can support work with a strong civil society presence, including awareness-raising campaigns. </w:t>
      </w:r>
    </w:p>
    <w:p w14:paraId="59C18F44" w14:textId="77777777" w:rsidR="00A12811" w:rsidRDefault="00A12811" w:rsidP="00A12811">
      <w:pPr>
        <w:jc w:val="both"/>
        <w:rPr>
          <w:rFonts w:asciiTheme="majorHAnsi" w:hAnsiTheme="majorHAnsi"/>
        </w:rPr>
      </w:pPr>
    </w:p>
    <w:p w14:paraId="71A20137" w14:textId="77777777" w:rsidR="00A12811" w:rsidRPr="006E3831" w:rsidRDefault="00A12811" w:rsidP="00A12811">
      <w:pPr>
        <w:jc w:val="both"/>
        <w:rPr>
          <w:rFonts w:asciiTheme="majorHAnsi" w:hAnsiTheme="majorHAnsi"/>
          <w:b/>
        </w:rPr>
      </w:pPr>
      <w:r w:rsidRPr="006E3831">
        <w:rPr>
          <w:rFonts w:asciiTheme="majorHAnsi" w:hAnsiTheme="majorHAnsi"/>
          <w:b/>
        </w:rPr>
        <w:t>Private sector</w:t>
      </w:r>
    </w:p>
    <w:p w14:paraId="6F157FD5" w14:textId="77777777" w:rsidR="00A12811" w:rsidRDefault="00A12811" w:rsidP="00A12811">
      <w:pPr>
        <w:jc w:val="both"/>
        <w:rPr>
          <w:rFonts w:asciiTheme="majorHAnsi" w:hAnsiTheme="majorHAnsi"/>
        </w:rPr>
      </w:pPr>
    </w:p>
    <w:p w14:paraId="26D5FB1A" w14:textId="77777777" w:rsidR="00A12811" w:rsidRDefault="00A12811" w:rsidP="00A12811">
      <w:pPr>
        <w:jc w:val="both"/>
        <w:rPr>
          <w:rFonts w:asciiTheme="majorHAnsi" w:hAnsiTheme="majorHAnsi"/>
        </w:rPr>
      </w:pPr>
      <w:r>
        <w:rPr>
          <w:rFonts w:asciiTheme="majorHAnsi" w:hAnsiTheme="majorHAnsi"/>
        </w:rPr>
        <w:t xml:space="preserve">Industry involved on chemicals production or import is a partner that could be highly interested in supporting the Network’s scope of work and its initiatives, in case this could contribute to its environmental and social responsibility programs. There are different multinational chemical facilities in the region, as well as other smaller local enterprises, which the Network could approach to propose a joint regional chemicals management, under a public-private partnership spirit. Some examples of potential partners from this sector are Braskem, </w:t>
      </w:r>
      <w:proofErr w:type="spellStart"/>
      <w:r>
        <w:rPr>
          <w:rFonts w:asciiTheme="majorHAnsi" w:hAnsiTheme="majorHAnsi"/>
        </w:rPr>
        <w:t>Mexichem</w:t>
      </w:r>
      <w:proofErr w:type="spellEnd"/>
      <w:r>
        <w:rPr>
          <w:rFonts w:asciiTheme="majorHAnsi" w:hAnsiTheme="majorHAnsi"/>
        </w:rPr>
        <w:t xml:space="preserve">, ALPEK, </w:t>
      </w:r>
      <w:proofErr w:type="spellStart"/>
      <w:r>
        <w:rPr>
          <w:rFonts w:asciiTheme="majorHAnsi" w:hAnsiTheme="majorHAnsi"/>
        </w:rPr>
        <w:t>Oxiteno</w:t>
      </w:r>
      <w:proofErr w:type="spellEnd"/>
      <w:r>
        <w:rPr>
          <w:rFonts w:asciiTheme="majorHAnsi" w:hAnsiTheme="majorHAnsi"/>
        </w:rPr>
        <w:t xml:space="preserve">, among others. Suitable partners might be chemical industry associations, such as ABIQUIM (Brazil), ANIQ (Mexico), CIQYP (Argentina), or CropLife, who might support capacity building activities. Others may include the Latin American Network on Chemicals (RELAQ) and the Latin American Petrochemical and Chemical Association (APLA). </w:t>
      </w:r>
    </w:p>
    <w:p w14:paraId="7A0EDD7F" w14:textId="64CECAB6" w:rsidR="00A12811" w:rsidRDefault="00A12811" w:rsidP="00A12811">
      <w:pPr>
        <w:jc w:val="both"/>
        <w:rPr>
          <w:rFonts w:asciiTheme="majorHAnsi" w:hAnsiTheme="majorHAnsi"/>
        </w:rPr>
      </w:pPr>
    </w:p>
    <w:p w14:paraId="6C439B34" w14:textId="78A61A17" w:rsidR="00A264F9" w:rsidRDefault="00A264F9" w:rsidP="00A12811">
      <w:pPr>
        <w:jc w:val="both"/>
        <w:rPr>
          <w:rFonts w:asciiTheme="majorHAnsi" w:hAnsiTheme="majorHAnsi"/>
        </w:rPr>
      </w:pPr>
    </w:p>
    <w:p w14:paraId="1743DC78" w14:textId="216DA1AA" w:rsidR="00A264F9" w:rsidRDefault="00A264F9" w:rsidP="00A12811">
      <w:pPr>
        <w:jc w:val="both"/>
        <w:rPr>
          <w:rFonts w:asciiTheme="majorHAnsi" w:hAnsiTheme="majorHAnsi"/>
        </w:rPr>
      </w:pPr>
    </w:p>
    <w:p w14:paraId="05DFC7D6" w14:textId="7501FE62" w:rsidR="00A264F9" w:rsidRDefault="00A264F9" w:rsidP="00A12811">
      <w:pPr>
        <w:jc w:val="both"/>
        <w:rPr>
          <w:rFonts w:asciiTheme="majorHAnsi" w:hAnsiTheme="majorHAnsi"/>
        </w:rPr>
      </w:pPr>
    </w:p>
    <w:p w14:paraId="6888E4CB" w14:textId="77777777" w:rsidR="00A264F9" w:rsidRDefault="00A264F9" w:rsidP="00A12811">
      <w:pPr>
        <w:jc w:val="both"/>
        <w:rPr>
          <w:rFonts w:asciiTheme="majorHAnsi" w:hAnsiTheme="majorHAnsi"/>
        </w:rPr>
      </w:pPr>
    </w:p>
    <w:p w14:paraId="2754552A" w14:textId="77777777" w:rsidR="00A12811" w:rsidRPr="00B166A5" w:rsidRDefault="00A12811" w:rsidP="00A12811">
      <w:pPr>
        <w:jc w:val="both"/>
        <w:rPr>
          <w:rFonts w:asciiTheme="majorHAnsi" w:hAnsiTheme="majorHAnsi"/>
          <w:b/>
        </w:rPr>
      </w:pPr>
      <w:r w:rsidRPr="00B166A5">
        <w:rPr>
          <w:rFonts w:asciiTheme="majorHAnsi" w:hAnsiTheme="majorHAnsi"/>
          <w:b/>
        </w:rPr>
        <w:t>Network Trust Fund</w:t>
      </w:r>
    </w:p>
    <w:p w14:paraId="6953E1D4" w14:textId="77777777" w:rsidR="00A12811" w:rsidRDefault="00A12811" w:rsidP="00A12811">
      <w:pPr>
        <w:jc w:val="both"/>
        <w:rPr>
          <w:rFonts w:asciiTheme="majorHAnsi" w:hAnsiTheme="majorHAnsi"/>
        </w:rPr>
      </w:pPr>
    </w:p>
    <w:p w14:paraId="520B7D59" w14:textId="77777777" w:rsidR="00A12811" w:rsidRPr="00AA7F14" w:rsidRDefault="00A12811" w:rsidP="00A12811">
      <w:pPr>
        <w:jc w:val="both"/>
        <w:rPr>
          <w:rFonts w:asciiTheme="majorHAnsi" w:hAnsiTheme="majorHAnsi"/>
        </w:rPr>
      </w:pPr>
      <w:r>
        <w:rPr>
          <w:rFonts w:asciiTheme="majorHAnsi" w:hAnsiTheme="majorHAnsi"/>
        </w:rPr>
        <w:t xml:space="preserve">It is important to note that </w:t>
      </w:r>
      <w:proofErr w:type="gramStart"/>
      <w:r>
        <w:rPr>
          <w:rFonts w:asciiTheme="majorHAnsi" w:hAnsiTheme="majorHAnsi"/>
        </w:rPr>
        <w:t>in order to</w:t>
      </w:r>
      <w:proofErr w:type="gramEnd"/>
      <w:r>
        <w:rPr>
          <w:rFonts w:asciiTheme="majorHAnsi" w:hAnsiTheme="majorHAnsi"/>
        </w:rPr>
        <w:t xml:space="preserve"> cover its operation costs, the Network could also discuss a potential Trust Fund, as a scheme of financial contributions by its member countries. The Trust Fund could partially cover operating costs, depending on the contributions by the Network’s member countries. This mechanism already operates for the regional network on Environmental Education, which was also established by the LAC Forum of Ministers of Environment.</w:t>
      </w:r>
    </w:p>
    <w:p w14:paraId="1DD4986D" w14:textId="77777777" w:rsidR="00A12811" w:rsidRDefault="00A12811" w:rsidP="00A12811">
      <w:pPr>
        <w:pStyle w:val="Heading1"/>
      </w:pPr>
      <w:bookmarkStart w:id="12" w:name="_Toc523242065"/>
      <w:r>
        <w:t>Next steps and actions</w:t>
      </w:r>
      <w:bookmarkEnd w:id="12"/>
    </w:p>
    <w:p w14:paraId="7FE83FF2" w14:textId="77777777" w:rsidR="00A12811" w:rsidRDefault="00A12811" w:rsidP="00A12811"/>
    <w:p w14:paraId="0BEA2985" w14:textId="77777777" w:rsidR="00A12811" w:rsidRPr="00DC6AB3" w:rsidRDefault="00A12811" w:rsidP="00A12811">
      <w:pPr>
        <w:jc w:val="both"/>
        <w:rPr>
          <w:rFonts w:asciiTheme="majorHAnsi" w:hAnsiTheme="majorHAnsi"/>
        </w:rPr>
      </w:pPr>
      <w:r w:rsidRPr="00DC6AB3">
        <w:rPr>
          <w:rFonts w:asciiTheme="majorHAnsi" w:hAnsiTheme="majorHAnsi"/>
        </w:rPr>
        <w:t xml:space="preserve">Considering the resource needs identified in this document for the operation of the Network and the implementation of its action plan, as well as the potential donors and partners, the </w:t>
      </w:r>
      <w:r>
        <w:rPr>
          <w:rFonts w:asciiTheme="majorHAnsi" w:hAnsiTheme="majorHAnsi"/>
        </w:rPr>
        <w:t xml:space="preserve">following actions are proposed for the </w:t>
      </w:r>
      <w:r w:rsidRPr="00DC6AB3">
        <w:rPr>
          <w:rFonts w:asciiTheme="majorHAnsi" w:hAnsiTheme="majorHAnsi"/>
        </w:rPr>
        <w:t>Network:</w:t>
      </w:r>
    </w:p>
    <w:p w14:paraId="31477782" w14:textId="77777777" w:rsidR="00A12811" w:rsidRDefault="00A12811" w:rsidP="00A12811">
      <w:pPr>
        <w:jc w:val="both"/>
      </w:pPr>
    </w:p>
    <w:p w14:paraId="1DC085CE" w14:textId="77777777" w:rsidR="00A12811" w:rsidRPr="00EE6F39" w:rsidRDefault="00A12811" w:rsidP="00A12811">
      <w:pPr>
        <w:pStyle w:val="ListParagraph"/>
        <w:numPr>
          <w:ilvl w:val="0"/>
          <w:numId w:val="4"/>
        </w:numPr>
        <w:jc w:val="both"/>
        <w:rPr>
          <w:rFonts w:asciiTheme="majorHAnsi" w:hAnsiTheme="majorHAnsi"/>
        </w:rPr>
      </w:pPr>
      <w:r w:rsidRPr="00EE6F39">
        <w:rPr>
          <w:rFonts w:asciiTheme="majorHAnsi" w:hAnsiTheme="majorHAnsi"/>
        </w:rPr>
        <w:t xml:space="preserve">Discuss </w:t>
      </w:r>
      <w:r>
        <w:rPr>
          <w:rFonts w:asciiTheme="majorHAnsi" w:hAnsiTheme="majorHAnsi"/>
        </w:rPr>
        <w:t>and decide on potential funding</w:t>
      </w:r>
      <w:r w:rsidRPr="00EE6F39">
        <w:rPr>
          <w:rFonts w:asciiTheme="majorHAnsi" w:hAnsiTheme="majorHAnsi"/>
        </w:rPr>
        <w:t xml:space="preserve"> scenarios</w:t>
      </w:r>
      <w:r>
        <w:rPr>
          <w:rFonts w:asciiTheme="majorHAnsi" w:hAnsiTheme="majorHAnsi"/>
        </w:rPr>
        <w:t xml:space="preserve"> – donor based vs. </w:t>
      </w:r>
      <w:r w:rsidRPr="00EE6F39">
        <w:rPr>
          <w:rFonts w:asciiTheme="majorHAnsi" w:hAnsiTheme="majorHAnsi"/>
        </w:rPr>
        <w:t>trust fund</w:t>
      </w:r>
      <w:r>
        <w:rPr>
          <w:rFonts w:asciiTheme="majorHAnsi" w:hAnsiTheme="majorHAnsi"/>
        </w:rPr>
        <w:t xml:space="preserve"> or both</w:t>
      </w:r>
    </w:p>
    <w:p w14:paraId="7DD9DF90" w14:textId="3501DA99" w:rsidR="00A12811" w:rsidRDefault="00A12811" w:rsidP="00A12811">
      <w:pPr>
        <w:pStyle w:val="ListParagraph"/>
        <w:numPr>
          <w:ilvl w:val="0"/>
          <w:numId w:val="4"/>
        </w:numPr>
        <w:jc w:val="both"/>
        <w:rPr>
          <w:rFonts w:asciiTheme="majorHAnsi" w:hAnsiTheme="majorHAnsi"/>
        </w:rPr>
      </w:pPr>
      <w:r w:rsidRPr="00EE6F39">
        <w:rPr>
          <w:rFonts w:asciiTheme="majorHAnsi" w:hAnsiTheme="majorHAnsi"/>
        </w:rPr>
        <w:t xml:space="preserve">Define a visual </w:t>
      </w:r>
      <w:r w:rsidR="00570E29">
        <w:rPr>
          <w:rFonts w:asciiTheme="majorHAnsi" w:hAnsiTheme="majorHAnsi"/>
        </w:rPr>
        <w:t>identi</w:t>
      </w:r>
      <w:r w:rsidR="00A264F9">
        <w:rPr>
          <w:rFonts w:asciiTheme="majorHAnsi" w:hAnsiTheme="majorHAnsi"/>
        </w:rPr>
        <w:t>f</w:t>
      </w:r>
      <w:r w:rsidR="00570E29">
        <w:rPr>
          <w:rFonts w:asciiTheme="majorHAnsi" w:hAnsiTheme="majorHAnsi"/>
        </w:rPr>
        <w:t>y</w:t>
      </w:r>
      <w:r w:rsidRPr="00EE6F39">
        <w:rPr>
          <w:rFonts w:asciiTheme="majorHAnsi" w:hAnsiTheme="majorHAnsi"/>
        </w:rPr>
        <w:t xml:space="preserve"> of the Network (for communication purposes)</w:t>
      </w:r>
    </w:p>
    <w:p w14:paraId="2A628C34" w14:textId="77777777" w:rsidR="00A12811" w:rsidRDefault="00A12811" w:rsidP="00A12811">
      <w:pPr>
        <w:pStyle w:val="ListParagraph"/>
        <w:numPr>
          <w:ilvl w:val="0"/>
          <w:numId w:val="4"/>
        </w:numPr>
        <w:jc w:val="both"/>
        <w:rPr>
          <w:rFonts w:asciiTheme="majorHAnsi" w:hAnsiTheme="majorHAnsi"/>
        </w:rPr>
      </w:pPr>
      <w:r w:rsidRPr="00EE6F39">
        <w:rPr>
          <w:rFonts w:asciiTheme="majorHAnsi" w:hAnsiTheme="majorHAnsi"/>
        </w:rPr>
        <w:t xml:space="preserve">Invest in communications to </w:t>
      </w:r>
      <w:r>
        <w:rPr>
          <w:rFonts w:asciiTheme="majorHAnsi" w:hAnsiTheme="majorHAnsi"/>
        </w:rPr>
        <w:t xml:space="preserve">introduce the Network to </w:t>
      </w:r>
      <w:r w:rsidRPr="00EE6F39">
        <w:rPr>
          <w:rFonts w:asciiTheme="majorHAnsi" w:hAnsiTheme="majorHAnsi"/>
        </w:rPr>
        <w:t>donors</w:t>
      </w:r>
      <w:r>
        <w:rPr>
          <w:rFonts w:asciiTheme="majorHAnsi" w:hAnsiTheme="majorHAnsi"/>
        </w:rPr>
        <w:t xml:space="preserve"> and partners</w:t>
      </w:r>
    </w:p>
    <w:p w14:paraId="21A96828" w14:textId="77777777" w:rsidR="00A12811" w:rsidRDefault="00A12811" w:rsidP="00A12811">
      <w:pPr>
        <w:pStyle w:val="ListParagraph"/>
        <w:numPr>
          <w:ilvl w:val="0"/>
          <w:numId w:val="4"/>
        </w:numPr>
        <w:jc w:val="both"/>
        <w:rPr>
          <w:rFonts w:asciiTheme="majorHAnsi" w:hAnsiTheme="majorHAnsi"/>
        </w:rPr>
      </w:pPr>
      <w:r>
        <w:rPr>
          <w:rFonts w:asciiTheme="majorHAnsi" w:hAnsiTheme="majorHAnsi"/>
        </w:rPr>
        <w:t>To map and contact donors potentially interested in supporting or “sponsoring” the Network, contributing to its operating costs and specific chemicals and waste management events and activities included within the Biennium Action Plan</w:t>
      </w:r>
    </w:p>
    <w:p w14:paraId="7B0D8205" w14:textId="77777777" w:rsidR="00A12811" w:rsidRPr="00AA3C64" w:rsidRDefault="00A12811" w:rsidP="00A12811">
      <w:pPr>
        <w:pStyle w:val="HTMLPreformatted"/>
        <w:numPr>
          <w:ilvl w:val="0"/>
          <w:numId w:val="4"/>
        </w:numPr>
        <w:jc w:val="both"/>
        <w:rPr>
          <w:rFonts w:asciiTheme="majorHAnsi" w:eastAsiaTheme="minorEastAsia" w:hAnsiTheme="majorHAnsi" w:cstheme="minorBidi"/>
          <w:sz w:val="24"/>
          <w:szCs w:val="24"/>
          <w:lang w:eastAsia="fr-FR"/>
        </w:rPr>
      </w:pPr>
      <w:r w:rsidRPr="00AA3C64">
        <w:rPr>
          <w:rFonts w:asciiTheme="majorHAnsi" w:eastAsiaTheme="minorEastAsia" w:hAnsiTheme="majorHAnsi" w:cstheme="minorBidi"/>
          <w:sz w:val="24"/>
          <w:szCs w:val="24"/>
          <w:lang w:eastAsia="fr-FR"/>
        </w:rPr>
        <w:t xml:space="preserve">Provide guidance to the members of the Network for the development of </w:t>
      </w:r>
      <w:proofErr w:type="spellStart"/>
      <w:r w:rsidRPr="00AA3C64">
        <w:rPr>
          <w:rFonts w:asciiTheme="majorHAnsi" w:eastAsiaTheme="minorEastAsia" w:hAnsiTheme="majorHAnsi" w:cstheme="minorBidi"/>
          <w:sz w:val="24"/>
          <w:szCs w:val="24"/>
          <w:lang w:eastAsia="fr-FR"/>
        </w:rPr>
        <w:t>subregional</w:t>
      </w:r>
      <w:proofErr w:type="spellEnd"/>
      <w:r w:rsidRPr="00AA3C64">
        <w:rPr>
          <w:rFonts w:asciiTheme="majorHAnsi" w:eastAsiaTheme="minorEastAsia" w:hAnsiTheme="majorHAnsi" w:cstheme="minorBidi"/>
          <w:sz w:val="24"/>
          <w:szCs w:val="24"/>
          <w:lang w:eastAsia="fr-FR"/>
        </w:rPr>
        <w:t xml:space="preserve"> and national projects for the GEF and the Special Program, on activities related to the </w:t>
      </w:r>
      <w:r w:rsidR="00570E29">
        <w:rPr>
          <w:rFonts w:asciiTheme="majorHAnsi" w:eastAsiaTheme="minorEastAsia" w:hAnsiTheme="majorHAnsi" w:cstheme="minorBidi"/>
          <w:sz w:val="24"/>
          <w:szCs w:val="24"/>
          <w:lang w:eastAsia="fr-FR"/>
        </w:rPr>
        <w:t xml:space="preserve">Action </w:t>
      </w:r>
      <w:r w:rsidRPr="00AA3C64">
        <w:rPr>
          <w:rFonts w:asciiTheme="majorHAnsi" w:eastAsiaTheme="minorEastAsia" w:hAnsiTheme="majorHAnsi" w:cstheme="minorBidi"/>
          <w:sz w:val="24"/>
          <w:szCs w:val="24"/>
          <w:lang w:eastAsia="fr-FR"/>
        </w:rPr>
        <w:t xml:space="preserve">Plan (in coordination with the implementing agencies, and </w:t>
      </w:r>
      <w:r w:rsidR="00570E29">
        <w:rPr>
          <w:rFonts w:asciiTheme="majorHAnsi" w:eastAsiaTheme="minorEastAsia" w:hAnsiTheme="majorHAnsi" w:cstheme="minorBidi"/>
          <w:sz w:val="24"/>
          <w:szCs w:val="24"/>
          <w:lang w:eastAsia="fr-FR"/>
        </w:rPr>
        <w:t>executing</w:t>
      </w:r>
      <w:r w:rsidRPr="00AA3C64">
        <w:rPr>
          <w:rFonts w:asciiTheme="majorHAnsi" w:eastAsiaTheme="minorEastAsia" w:hAnsiTheme="majorHAnsi" w:cstheme="minorBidi"/>
          <w:sz w:val="24"/>
          <w:szCs w:val="24"/>
          <w:lang w:eastAsia="fr-FR"/>
        </w:rPr>
        <w:t xml:space="preserve"> agencies, such as the regional </w:t>
      </w:r>
      <w:r w:rsidR="00570E29">
        <w:rPr>
          <w:rFonts w:asciiTheme="majorHAnsi" w:eastAsiaTheme="minorEastAsia" w:hAnsiTheme="majorHAnsi" w:cstheme="minorBidi"/>
          <w:sz w:val="24"/>
          <w:szCs w:val="24"/>
          <w:lang w:eastAsia="fr-FR"/>
        </w:rPr>
        <w:t xml:space="preserve">centers </w:t>
      </w:r>
      <w:r w:rsidRPr="00AA3C64">
        <w:rPr>
          <w:rFonts w:asciiTheme="majorHAnsi" w:eastAsiaTheme="minorEastAsia" w:hAnsiTheme="majorHAnsi" w:cstheme="minorBidi"/>
          <w:sz w:val="24"/>
          <w:szCs w:val="24"/>
          <w:lang w:eastAsia="fr-FR"/>
        </w:rPr>
        <w:t>of the Basel and Stockholm Conventions, as appropriate);</w:t>
      </w:r>
    </w:p>
    <w:p w14:paraId="5042028F" w14:textId="77777777" w:rsidR="00A12811" w:rsidRDefault="00A12811" w:rsidP="00A12811">
      <w:pPr>
        <w:pStyle w:val="ListParagraph"/>
        <w:numPr>
          <w:ilvl w:val="0"/>
          <w:numId w:val="4"/>
        </w:numPr>
        <w:jc w:val="both"/>
        <w:rPr>
          <w:rFonts w:asciiTheme="majorHAnsi" w:hAnsiTheme="majorHAnsi"/>
        </w:rPr>
      </w:pPr>
      <w:r>
        <w:rPr>
          <w:rFonts w:asciiTheme="majorHAnsi" w:hAnsiTheme="majorHAnsi"/>
        </w:rPr>
        <w:t>Contact IOMC agencies, regional centers and other partner agencies to have technical support and guidance on different activities of the 2019-2020 Biennium Action Plan</w:t>
      </w:r>
    </w:p>
    <w:p w14:paraId="0F6914D3" w14:textId="77777777" w:rsidR="00A12811" w:rsidRPr="00AA3C64" w:rsidRDefault="00A12811" w:rsidP="00A12811">
      <w:pPr>
        <w:pStyle w:val="HTMLPreformatted"/>
        <w:numPr>
          <w:ilvl w:val="0"/>
          <w:numId w:val="4"/>
        </w:numPr>
        <w:jc w:val="both"/>
        <w:rPr>
          <w:rFonts w:asciiTheme="majorHAnsi" w:hAnsiTheme="majorHAnsi"/>
        </w:rPr>
      </w:pPr>
      <w:r w:rsidRPr="00AA3C64">
        <w:rPr>
          <w:rFonts w:asciiTheme="majorHAnsi" w:eastAsiaTheme="minorEastAsia" w:hAnsiTheme="majorHAnsi" w:cstheme="minorBidi" w:hint="eastAsia"/>
          <w:sz w:val="24"/>
          <w:szCs w:val="24"/>
          <w:lang w:eastAsia="fr-FR"/>
        </w:rPr>
        <w:t>Promote bilateral or sub-regional agreements on technical and regulatory cooperation among the countries of the region, through the relevant authorities and respective national cooperation agencies</w:t>
      </w:r>
      <w:r>
        <w:rPr>
          <w:rFonts w:asciiTheme="majorHAnsi" w:eastAsiaTheme="minorEastAsia" w:hAnsiTheme="majorHAnsi" w:cstheme="minorBidi"/>
          <w:sz w:val="24"/>
          <w:szCs w:val="24"/>
          <w:lang w:eastAsia="fr-FR"/>
        </w:rPr>
        <w:t xml:space="preserve">. </w:t>
      </w:r>
    </w:p>
    <w:p w14:paraId="4D509335" w14:textId="77777777" w:rsidR="00A12811" w:rsidRDefault="00A12811" w:rsidP="00A12811">
      <w:pPr>
        <w:jc w:val="both"/>
        <w:rPr>
          <w:rFonts w:asciiTheme="majorHAnsi" w:hAnsiTheme="majorHAnsi"/>
        </w:rPr>
      </w:pPr>
    </w:p>
    <w:p w14:paraId="272C26B5" w14:textId="77777777" w:rsidR="00A12811" w:rsidRDefault="00A12811" w:rsidP="00A12811">
      <w:pPr>
        <w:rPr>
          <w:rFonts w:asciiTheme="majorHAnsi" w:hAnsiTheme="majorHAnsi"/>
        </w:rPr>
      </w:pPr>
    </w:p>
    <w:p w14:paraId="63D5A80C" w14:textId="77777777" w:rsidR="00A12811" w:rsidRDefault="00A12811" w:rsidP="00A12811">
      <w:pPr>
        <w:rPr>
          <w:rFonts w:asciiTheme="majorHAnsi" w:hAnsiTheme="majorHAnsi"/>
        </w:rPr>
      </w:pPr>
    </w:p>
    <w:p w14:paraId="169CBA57" w14:textId="77777777" w:rsidR="00A12811" w:rsidRDefault="00A12811" w:rsidP="00A12811">
      <w:pPr>
        <w:rPr>
          <w:rFonts w:asciiTheme="majorHAnsi" w:hAnsiTheme="majorHAnsi"/>
        </w:rPr>
      </w:pPr>
    </w:p>
    <w:p w14:paraId="15A55740" w14:textId="77777777" w:rsidR="00A12811" w:rsidRDefault="00A12811" w:rsidP="00A12811">
      <w:pPr>
        <w:rPr>
          <w:rFonts w:asciiTheme="majorHAnsi" w:hAnsiTheme="majorHAnsi"/>
        </w:rPr>
      </w:pPr>
    </w:p>
    <w:p w14:paraId="0310FC35" w14:textId="77777777" w:rsidR="00A12811" w:rsidRDefault="00A12811" w:rsidP="00A12811">
      <w:pPr>
        <w:rPr>
          <w:rFonts w:asciiTheme="majorHAnsi" w:hAnsiTheme="majorHAnsi"/>
        </w:rPr>
      </w:pPr>
    </w:p>
    <w:p w14:paraId="3DA83B72" w14:textId="77777777" w:rsidR="00A12811" w:rsidRDefault="00A12811" w:rsidP="00A12811">
      <w:pPr>
        <w:rPr>
          <w:rFonts w:asciiTheme="majorHAnsi" w:hAnsiTheme="majorHAnsi"/>
        </w:rPr>
      </w:pPr>
    </w:p>
    <w:p w14:paraId="79FD551C" w14:textId="77777777" w:rsidR="00A12811" w:rsidRDefault="00A12811" w:rsidP="00A12811">
      <w:pPr>
        <w:rPr>
          <w:rFonts w:asciiTheme="majorHAnsi" w:hAnsiTheme="majorHAnsi"/>
        </w:rPr>
      </w:pPr>
    </w:p>
    <w:p w14:paraId="06B71C12" w14:textId="77777777" w:rsidR="00A12811" w:rsidRDefault="00A12811" w:rsidP="00A12811">
      <w:pPr>
        <w:rPr>
          <w:rFonts w:asciiTheme="majorHAnsi" w:hAnsiTheme="majorHAnsi"/>
        </w:rPr>
      </w:pPr>
    </w:p>
    <w:p w14:paraId="39BC8C9F" w14:textId="77777777" w:rsidR="00A12811" w:rsidRDefault="00A12811" w:rsidP="00A12811">
      <w:pPr>
        <w:rPr>
          <w:rFonts w:asciiTheme="majorHAnsi" w:hAnsiTheme="majorHAnsi"/>
        </w:rPr>
      </w:pPr>
    </w:p>
    <w:p w14:paraId="116B7E71" w14:textId="77777777" w:rsidR="00A12811" w:rsidRDefault="00A12811" w:rsidP="00A12811">
      <w:pPr>
        <w:rPr>
          <w:rFonts w:asciiTheme="majorHAnsi" w:hAnsiTheme="majorHAnsi"/>
        </w:rPr>
      </w:pPr>
    </w:p>
    <w:p w14:paraId="63DE5DE3" w14:textId="77777777" w:rsidR="00A12811" w:rsidRDefault="00A12811" w:rsidP="00A12811">
      <w:pPr>
        <w:rPr>
          <w:rFonts w:asciiTheme="majorHAnsi" w:hAnsiTheme="majorHAnsi"/>
        </w:rPr>
      </w:pPr>
    </w:p>
    <w:p w14:paraId="64C4A714" w14:textId="77777777" w:rsidR="00A12811" w:rsidRDefault="00A12811" w:rsidP="00A12811">
      <w:pPr>
        <w:rPr>
          <w:rFonts w:asciiTheme="majorHAnsi" w:hAnsiTheme="majorHAnsi"/>
        </w:rPr>
      </w:pPr>
    </w:p>
    <w:p w14:paraId="674A8D65" w14:textId="77777777" w:rsidR="00A12811" w:rsidRDefault="00A12811" w:rsidP="00A12811">
      <w:pPr>
        <w:rPr>
          <w:rFonts w:asciiTheme="majorHAnsi" w:hAnsiTheme="majorHAnsi"/>
        </w:rPr>
      </w:pPr>
    </w:p>
    <w:p w14:paraId="321F4172" w14:textId="77777777" w:rsidR="00A12811" w:rsidRDefault="00A12811" w:rsidP="00A12811">
      <w:pPr>
        <w:rPr>
          <w:rFonts w:asciiTheme="majorHAnsi" w:hAnsiTheme="majorHAnsi"/>
        </w:rPr>
      </w:pPr>
    </w:p>
    <w:p w14:paraId="741E7F83" w14:textId="77777777" w:rsidR="00A12811" w:rsidRDefault="00A12811" w:rsidP="00A12811">
      <w:pPr>
        <w:rPr>
          <w:rFonts w:asciiTheme="majorHAnsi" w:hAnsiTheme="majorHAnsi"/>
        </w:rPr>
      </w:pPr>
    </w:p>
    <w:p w14:paraId="510EC145" w14:textId="77777777" w:rsidR="00A12811" w:rsidRDefault="00A12811" w:rsidP="00A12811">
      <w:pPr>
        <w:rPr>
          <w:rFonts w:asciiTheme="majorHAnsi" w:hAnsiTheme="majorHAnsi"/>
        </w:rPr>
      </w:pPr>
    </w:p>
    <w:p w14:paraId="3E19577F" w14:textId="77777777" w:rsidR="00A12811" w:rsidRDefault="00A12811" w:rsidP="00A12811">
      <w:pPr>
        <w:rPr>
          <w:rFonts w:asciiTheme="majorHAnsi" w:hAnsiTheme="majorHAnsi"/>
        </w:rPr>
      </w:pPr>
    </w:p>
    <w:p w14:paraId="6D3E7E66" w14:textId="77777777" w:rsidR="00A12811" w:rsidRDefault="00A12811" w:rsidP="00A12811">
      <w:pPr>
        <w:rPr>
          <w:rFonts w:asciiTheme="majorHAnsi" w:hAnsiTheme="majorHAnsi"/>
        </w:rPr>
      </w:pPr>
    </w:p>
    <w:p w14:paraId="1183F20A" w14:textId="77777777" w:rsidR="00A12811" w:rsidRDefault="00A12811" w:rsidP="00A12811">
      <w:pPr>
        <w:rPr>
          <w:rFonts w:asciiTheme="majorHAnsi" w:hAnsiTheme="majorHAnsi"/>
        </w:rPr>
      </w:pPr>
    </w:p>
    <w:p w14:paraId="0DE91B2A" w14:textId="77777777" w:rsidR="00A12811" w:rsidRDefault="00A12811" w:rsidP="00A12811">
      <w:pPr>
        <w:rPr>
          <w:rFonts w:asciiTheme="majorHAnsi" w:hAnsiTheme="majorHAnsi"/>
        </w:rPr>
      </w:pPr>
    </w:p>
    <w:p w14:paraId="42C3D035" w14:textId="77777777" w:rsidR="00A12811" w:rsidRDefault="00A12811" w:rsidP="00A12811">
      <w:pPr>
        <w:rPr>
          <w:rFonts w:asciiTheme="majorHAnsi" w:hAnsiTheme="majorHAnsi"/>
        </w:rPr>
      </w:pPr>
    </w:p>
    <w:p w14:paraId="6D1752B3" w14:textId="77777777" w:rsidR="00A12811" w:rsidRPr="008C6A5A" w:rsidRDefault="00A12811" w:rsidP="00A12811">
      <w:pPr>
        <w:rPr>
          <w:rFonts w:asciiTheme="majorHAnsi" w:hAnsiTheme="majorHAnsi"/>
          <w:lang w:val="en-GB"/>
        </w:rPr>
      </w:pPr>
    </w:p>
    <w:p w14:paraId="32CC87E0" w14:textId="77777777" w:rsidR="00A12811" w:rsidRDefault="00A12811" w:rsidP="00A12811">
      <w:pPr>
        <w:rPr>
          <w:rFonts w:asciiTheme="majorHAnsi" w:hAnsiTheme="majorHAnsi"/>
        </w:rPr>
      </w:pPr>
    </w:p>
    <w:p w14:paraId="6B85771C" w14:textId="77777777" w:rsidR="00A12811" w:rsidRDefault="00A12811" w:rsidP="00A12811">
      <w:pPr>
        <w:rPr>
          <w:rFonts w:asciiTheme="majorHAnsi" w:hAnsiTheme="majorHAnsi"/>
        </w:rPr>
      </w:pPr>
    </w:p>
    <w:p w14:paraId="7A376C19" w14:textId="77777777" w:rsidR="00A12811" w:rsidRDefault="00A12811" w:rsidP="00A12811">
      <w:pPr>
        <w:rPr>
          <w:rFonts w:asciiTheme="majorHAnsi" w:hAnsiTheme="majorHAnsi"/>
        </w:rPr>
      </w:pPr>
    </w:p>
    <w:p w14:paraId="3B3AEFE5" w14:textId="77777777" w:rsidR="00A12811" w:rsidRDefault="00A12811" w:rsidP="00A12811">
      <w:pPr>
        <w:rPr>
          <w:rFonts w:asciiTheme="majorHAnsi" w:hAnsiTheme="majorHAnsi"/>
        </w:rPr>
      </w:pPr>
    </w:p>
    <w:p w14:paraId="5F1204EC" w14:textId="77777777" w:rsidR="00A12811" w:rsidRDefault="00A12811" w:rsidP="00A12811">
      <w:pPr>
        <w:rPr>
          <w:rFonts w:asciiTheme="majorHAnsi" w:hAnsiTheme="majorHAnsi"/>
        </w:rPr>
      </w:pPr>
    </w:p>
    <w:p w14:paraId="5153BEAE" w14:textId="77777777" w:rsidR="00A12811" w:rsidRDefault="00A12811" w:rsidP="00A12811">
      <w:pPr>
        <w:rPr>
          <w:rFonts w:asciiTheme="majorHAnsi" w:hAnsiTheme="majorHAnsi"/>
        </w:rPr>
      </w:pPr>
    </w:p>
    <w:p w14:paraId="14C6F719" w14:textId="77777777" w:rsidR="00A12811" w:rsidRDefault="00A12811" w:rsidP="00A12811">
      <w:pPr>
        <w:rPr>
          <w:rFonts w:asciiTheme="majorHAnsi" w:hAnsiTheme="majorHAnsi"/>
        </w:rPr>
      </w:pPr>
    </w:p>
    <w:p w14:paraId="3002446A" w14:textId="77777777" w:rsidR="00A12811" w:rsidRDefault="00A12811" w:rsidP="00A12811">
      <w:pPr>
        <w:pStyle w:val="Heading1"/>
      </w:pPr>
      <w:bookmarkStart w:id="13" w:name="_Toc523242066"/>
      <w:r>
        <w:t>Annexes</w:t>
      </w:r>
      <w:bookmarkEnd w:id="13"/>
      <w:r>
        <w:t xml:space="preserve"> </w:t>
      </w:r>
    </w:p>
    <w:p w14:paraId="6207512D" w14:textId="77777777" w:rsidR="00A12811" w:rsidRDefault="00A12811" w:rsidP="00A12811">
      <w:pPr>
        <w:pStyle w:val="HTMLPreformatted"/>
        <w:numPr>
          <w:ilvl w:val="0"/>
          <w:numId w:val="7"/>
        </w:numPr>
        <w:rPr>
          <w:rFonts w:asciiTheme="majorHAnsi" w:eastAsiaTheme="minorEastAsia" w:hAnsiTheme="majorHAnsi" w:cstheme="minorBidi"/>
          <w:sz w:val="24"/>
          <w:szCs w:val="24"/>
          <w:lang w:eastAsia="fr-FR"/>
        </w:rPr>
      </w:pPr>
      <w:r w:rsidRPr="00AA3C64">
        <w:rPr>
          <w:rFonts w:asciiTheme="majorHAnsi" w:eastAsiaTheme="minorEastAsia" w:hAnsiTheme="majorHAnsi" w:cstheme="minorBidi"/>
          <w:sz w:val="24"/>
          <w:szCs w:val="24"/>
          <w:lang w:eastAsia="fr-FR"/>
        </w:rPr>
        <w:t>Estimation of resources required for actions of the Action Plan 2019-2020.</w:t>
      </w:r>
    </w:p>
    <w:p w14:paraId="4DC20DCE" w14:textId="77777777" w:rsidR="00A12811" w:rsidRPr="00AA3C64" w:rsidRDefault="00A12811" w:rsidP="00B132C6">
      <w:pPr>
        <w:pStyle w:val="HTMLPreformatted"/>
        <w:ind w:left="1080"/>
        <w:rPr>
          <w:rFonts w:asciiTheme="majorHAnsi" w:eastAsiaTheme="minorEastAsia" w:hAnsiTheme="majorHAnsi" w:cstheme="minorBidi"/>
          <w:sz w:val="24"/>
          <w:szCs w:val="24"/>
          <w:lang w:eastAsia="fr-FR"/>
        </w:rPr>
      </w:pPr>
    </w:p>
    <w:p w14:paraId="2898653D" w14:textId="77777777" w:rsidR="00A12811" w:rsidRPr="001D143F" w:rsidRDefault="00A12811" w:rsidP="00A12811">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Pr>
          <w:noProof/>
        </w:rPr>
        <w:lastRenderedPageBreak/>
        <w:drawing>
          <wp:inline distT="0" distB="0" distL="0" distR="0" wp14:anchorId="70DCDCDA" wp14:editId="64119A65">
            <wp:extent cx="5764228" cy="2774315"/>
            <wp:effectExtent l="0" t="0" r="825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819"/>
                    <a:stretch/>
                  </pic:blipFill>
                  <pic:spPr bwMode="auto">
                    <a:xfrm>
                      <a:off x="0" y="0"/>
                      <a:ext cx="5766482" cy="27754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25CF0A2" wp14:editId="12882576">
            <wp:extent cx="5762625" cy="44202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8305" cy="4424656"/>
                    </a:xfrm>
                    <a:prstGeom prst="rect">
                      <a:avLst/>
                    </a:prstGeom>
                  </pic:spPr>
                </pic:pic>
              </a:graphicData>
            </a:graphic>
          </wp:inline>
        </w:drawing>
      </w:r>
      <w:r>
        <w:rPr>
          <w:noProof/>
        </w:rPr>
        <w:lastRenderedPageBreak/>
        <w:drawing>
          <wp:inline distT="0" distB="0" distL="0" distR="0" wp14:anchorId="0C11D299" wp14:editId="22C8E9F0">
            <wp:extent cx="5648013" cy="4991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49368" cy="4992297"/>
                    </a:xfrm>
                    <a:prstGeom prst="rect">
                      <a:avLst/>
                    </a:prstGeom>
                  </pic:spPr>
                </pic:pic>
              </a:graphicData>
            </a:graphic>
          </wp:inline>
        </w:drawing>
      </w:r>
      <w:r>
        <w:rPr>
          <w:noProof/>
        </w:rPr>
        <w:lastRenderedPageBreak/>
        <w:drawing>
          <wp:inline distT="0" distB="0" distL="0" distR="0" wp14:anchorId="10C35210" wp14:editId="302FFA4B">
            <wp:extent cx="5743575" cy="3439672"/>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43575" cy="3439672"/>
                    </a:xfrm>
                    <a:prstGeom prst="rect">
                      <a:avLst/>
                    </a:prstGeom>
                  </pic:spPr>
                </pic:pic>
              </a:graphicData>
            </a:graphic>
          </wp:inline>
        </w:drawing>
      </w:r>
      <w:r>
        <w:rPr>
          <w:noProof/>
        </w:rPr>
        <w:lastRenderedPageBreak/>
        <w:drawing>
          <wp:inline distT="0" distB="0" distL="0" distR="0" wp14:anchorId="3BA1D7DA" wp14:editId="4AE2A069">
            <wp:extent cx="5867047" cy="528383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67670" cy="5284396"/>
                    </a:xfrm>
                    <a:prstGeom prst="rect">
                      <a:avLst/>
                    </a:prstGeom>
                  </pic:spPr>
                </pic:pic>
              </a:graphicData>
            </a:graphic>
          </wp:inline>
        </w:drawing>
      </w:r>
      <w:r>
        <w:rPr>
          <w:noProof/>
        </w:rPr>
        <w:drawing>
          <wp:inline distT="0" distB="0" distL="0" distR="0" wp14:anchorId="7330AA4B" wp14:editId="2D01EA65">
            <wp:extent cx="5875214" cy="15290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88118" cy="1532438"/>
                    </a:xfrm>
                    <a:prstGeom prst="rect">
                      <a:avLst/>
                    </a:prstGeom>
                  </pic:spPr>
                </pic:pic>
              </a:graphicData>
            </a:graphic>
          </wp:inline>
        </w:drawing>
      </w:r>
      <w:r>
        <w:rPr>
          <w:noProof/>
        </w:rPr>
        <w:lastRenderedPageBreak/>
        <w:drawing>
          <wp:inline distT="0" distB="0" distL="0" distR="0" wp14:anchorId="3D89F4F1" wp14:editId="708689A1">
            <wp:extent cx="5972810" cy="2931795"/>
            <wp:effectExtent l="0" t="0" r="889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72810" cy="2931795"/>
                    </a:xfrm>
                    <a:prstGeom prst="rect">
                      <a:avLst/>
                    </a:prstGeom>
                  </pic:spPr>
                </pic:pic>
              </a:graphicData>
            </a:graphic>
          </wp:inline>
        </w:drawing>
      </w:r>
    </w:p>
    <w:p w14:paraId="7970A0FC" w14:textId="77777777" w:rsidR="00071965" w:rsidRPr="00A12811" w:rsidRDefault="00071965" w:rsidP="00A12811"/>
    <w:sectPr w:rsidR="00071965" w:rsidRPr="00A12811" w:rsidSect="00A264F9">
      <w:headerReference w:type="default" r:id="rId14"/>
      <w:headerReference w:type="first" r:id="rId15"/>
      <w:pgSz w:w="12240" w:h="15840"/>
      <w:pgMar w:top="1417" w:right="1417" w:bottom="1417" w:left="141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7F901" w14:textId="77777777" w:rsidR="002B0407" w:rsidRDefault="002B0407" w:rsidP="00A12811">
      <w:r>
        <w:separator/>
      </w:r>
    </w:p>
  </w:endnote>
  <w:endnote w:type="continuationSeparator" w:id="0">
    <w:p w14:paraId="7149B909" w14:textId="77777777" w:rsidR="002B0407" w:rsidRDefault="002B0407" w:rsidP="00A12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9FB3D1" w14:textId="77777777" w:rsidR="002B0407" w:rsidRDefault="002B0407" w:rsidP="00A12811">
      <w:r>
        <w:separator/>
      </w:r>
    </w:p>
  </w:footnote>
  <w:footnote w:type="continuationSeparator" w:id="0">
    <w:p w14:paraId="3A39855A" w14:textId="77777777" w:rsidR="002B0407" w:rsidRDefault="002B0407" w:rsidP="00A12811">
      <w:r>
        <w:continuationSeparator/>
      </w:r>
    </w:p>
  </w:footnote>
  <w:footnote w:id="1">
    <w:p w14:paraId="7E93953D" w14:textId="77777777" w:rsidR="00A12811" w:rsidRPr="00AA3C64" w:rsidRDefault="00A12811" w:rsidP="00A12811">
      <w:pPr>
        <w:pStyle w:val="FootnoteText"/>
        <w:rPr>
          <w:lang w:val="es-ES_tradnl"/>
        </w:rPr>
      </w:pPr>
      <w:r>
        <w:rPr>
          <w:rStyle w:val="FootnoteReference"/>
        </w:rPr>
        <w:footnoteRef/>
      </w:r>
      <w:r w:rsidRPr="00AA3C64">
        <w:rPr>
          <w:lang w:val="es-ES_tradnl"/>
        </w:rPr>
        <w:t xml:space="preserve"> </w:t>
      </w:r>
      <w:r w:rsidRPr="007A21C2">
        <w:rPr>
          <w:rFonts w:asciiTheme="majorHAnsi" w:hAnsiTheme="majorHAnsi"/>
          <w:sz w:val="16"/>
          <w:szCs w:val="16"/>
          <w:lang w:val="es-ES_tradnl"/>
        </w:rPr>
        <w:t xml:space="preserve"> https://www.thegef.org/events/gef-7-replenishment</w:t>
      </w:r>
    </w:p>
  </w:footnote>
  <w:footnote w:id="2">
    <w:p w14:paraId="7ED13566" w14:textId="77777777" w:rsidR="00A12811" w:rsidRPr="00A6446D" w:rsidRDefault="00A12811" w:rsidP="00A12811">
      <w:pPr>
        <w:pStyle w:val="FootnoteText"/>
        <w:rPr>
          <w:lang w:val="es-ES_tradnl"/>
        </w:rPr>
      </w:pPr>
      <w:r>
        <w:rPr>
          <w:rStyle w:val="FootnoteReference"/>
        </w:rPr>
        <w:footnoteRef/>
      </w:r>
      <w:r w:rsidRPr="00B166A5">
        <w:rPr>
          <w:lang w:val="es-ES_tradnl"/>
        </w:rPr>
        <w:t xml:space="preserve"> </w:t>
      </w:r>
      <w:r w:rsidRPr="00B166A5">
        <w:rPr>
          <w:rFonts w:asciiTheme="majorHAnsi" w:hAnsiTheme="majorHAnsi"/>
          <w:sz w:val="16"/>
          <w:szCs w:val="16"/>
          <w:lang w:val="es-ES_tradnl"/>
        </w:rPr>
        <w:t>https://www.thegef.org/documents/gef-6-programming-directions</w:t>
      </w:r>
    </w:p>
  </w:footnote>
  <w:footnote w:id="3">
    <w:p w14:paraId="3AFA8E27" w14:textId="77777777" w:rsidR="00A12811" w:rsidRPr="00A655C3" w:rsidRDefault="00A12811" w:rsidP="00A12811">
      <w:pPr>
        <w:pStyle w:val="FootnoteText"/>
        <w:rPr>
          <w:lang w:val="es-ES_tradnl"/>
        </w:rPr>
      </w:pPr>
      <w:r>
        <w:rPr>
          <w:rStyle w:val="FootnoteReference"/>
        </w:rPr>
        <w:footnoteRef/>
      </w:r>
      <w:r w:rsidRPr="00B166A5">
        <w:rPr>
          <w:lang w:val="es-ES_tradnl"/>
        </w:rPr>
        <w:t xml:space="preserve"> </w:t>
      </w:r>
      <w:r w:rsidRPr="00B166A5">
        <w:rPr>
          <w:rFonts w:asciiTheme="majorHAnsi" w:hAnsiTheme="majorHAnsi"/>
          <w:sz w:val="16"/>
          <w:szCs w:val="16"/>
          <w:lang w:val="es-ES_tradnl"/>
        </w:rPr>
        <w:t>http://web.unep.org/chemicalsandwaste/special-programme/overview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FD2C3" w14:textId="77777777" w:rsidR="00A264F9" w:rsidRDefault="00A264F9" w:rsidP="00A264F9">
    <w:pPr>
      <w:pStyle w:val="Header"/>
      <w:jc w:val="right"/>
    </w:pPr>
    <w:r w:rsidRPr="00C54C67">
      <w:rPr>
        <w:rFonts w:ascii="Verdana" w:hAnsi="Verdana"/>
        <w:b/>
        <w:bCs/>
        <w:sz w:val="18"/>
        <w:szCs w:val="18"/>
        <w:lang w:val="en-GB" w:eastAsia="es-ES"/>
      </w:rPr>
      <w:t>UNEP/LAC-IG.XXI/4/A</w:t>
    </w:r>
    <w:r>
      <w:rPr>
        <w:rFonts w:ascii="Verdana" w:hAnsi="Verdana"/>
        <w:b/>
        <w:bCs/>
        <w:sz w:val="18"/>
        <w:szCs w:val="18"/>
        <w:lang w:val="en-GB" w:eastAsia="es-ES"/>
      </w:rPr>
      <w:t>d.2</w:t>
    </w:r>
  </w:p>
  <w:p w14:paraId="6DF17406" w14:textId="39606D17" w:rsidR="001E56FB" w:rsidRDefault="002B0407" w:rsidP="00A264F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61811" w14:textId="5166F16F" w:rsidR="00A264F9" w:rsidRDefault="00A264F9" w:rsidP="005B0D62">
    <w:pPr>
      <w:pStyle w:val="Heade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1"/>
      <w:gridCol w:w="5041"/>
    </w:tblGrid>
    <w:tr w:rsidR="00846D55" w14:paraId="16D976B4" w14:textId="77777777" w:rsidTr="00846D55">
      <w:tc>
        <w:tcPr>
          <w:tcW w:w="4741" w:type="dxa"/>
        </w:tcPr>
        <w:p w14:paraId="235BE193" w14:textId="77777777" w:rsidR="00846D55" w:rsidRDefault="00846D55" w:rsidP="00846D55">
          <w:pPr>
            <w:pStyle w:val="Header"/>
          </w:pPr>
          <w:r w:rsidRPr="00CD2BEB">
            <w:rPr>
              <w:noProof/>
              <w:lang w:val="fr-FR" w:eastAsia="zh-CN"/>
            </w:rPr>
            <w:drawing>
              <wp:inline distT="0" distB="0" distL="0" distR="0" wp14:anchorId="0763E182" wp14:editId="1DCEE064">
                <wp:extent cx="2328990" cy="703385"/>
                <wp:effectExtent l="0" t="0" r="0" b="0"/>
                <wp:docPr id="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1298" cy="722203"/>
                        </a:xfrm>
                        <a:prstGeom prst="rect">
                          <a:avLst/>
                        </a:prstGeom>
                        <a:noFill/>
                        <a:ln>
                          <a:noFill/>
                        </a:ln>
                      </pic:spPr>
                    </pic:pic>
                  </a:graphicData>
                </a:graphic>
              </wp:inline>
            </w:drawing>
          </w:r>
        </w:p>
      </w:tc>
      <w:tc>
        <w:tcPr>
          <w:tcW w:w="5041" w:type="dxa"/>
        </w:tcPr>
        <w:p w14:paraId="16E97FD3" w14:textId="77777777" w:rsidR="00846D55" w:rsidRDefault="00846D55" w:rsidP="00846D55">
          <w:pPr>
            <w:pStyle w:val="Header"/>
            <w:jc w:val="right"/>
          </w:pPr>
          <w:r w:rsidRPr="003B79AD">
            <w:rPr>
              <w:noProof/>
              <w:lang w:val="fr-FR" w:eastAsia="zh-CN"/>
            </w:rPr>
            <w:drawing>
              <wp:inline distT="0" distB="0" distL="0" distR="0" wp14:anchorId="24831D98" wp14:editId="55130BB6">
                <wp:extent cx="1104900" cy="675217"/>
                <wp:effectExtent l="0" t="0" r="0" b="0"/>
                <wp:docPr id="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b="28571"/>
                        <a:stretch/>
                      </pic:blipFill>
                      <pic:spPr bwMode="auto">
                        <a:xfrm>
                          <a:off x="0" y="0"/>
                          <a:ext cx="1109284" cy="677896"/>
                        </a:xfrm>
                        <a:prstGeom prst="rect">
                          <a:avLst/>
                        </a:prstGeom>
                        <a:ln>
                          <a:noFill/>
                        </a:ln>
                        <a:extLst>
                          <a:ext uri="{53640926-AAD7-44D8-BBD7-CCE9431645EC}">
                            <a14:shadowObscured xmlns:a14="http://schemas.microsoft.com/office/drawing/2010/main"/>
                          </a:ext>
                        </a:extLst>
                      </pic:spPr>
                    </pic:pic>
                  </a:graphicData>
                </a:graphic>
              </wp:inline>
            </w:drawing>
          </w:r>
        </w:p>
      </w:tc>
    </w:tr>
  </w:tbl>
  <w:p w14:paraId="2FABA1F2" w14:textId="77777777" w:rsidR="00846D55" w:rsidRDefault="00846D55" w:rsidP="00846D55">
    <w:pPr>
      <w:pStyle w:val="Header"/>
    </w:pPr>
  </w:p>
  <w:p w14:paraId="6670907C" w14:textId="7FD0F592" w:rsidR="00846D55" w:rsidRPr="00C54C67" w:rsidRDefault="00846D55" w:rsidP="00846D55">
    <w:pPr>
      <w:pStyle w:val="Header"/>
      <w:jc w:val="right"/>
      <w:rPr>
        <w:lang w:val="en-GB"/>
      </w:rPr>
    </w:pPr>
    <w:r w:rsidRPr="00C54C67">
      <w:rPr>
        <w:rFonts w:ascii="Verdana" w:hAnsi="Verdana"/>
        <w:b/>
        <w:bCs/>
        <w:sz w:val="18"/>
        <w:szCs w:val="18"/>
        <w:lang w:val="en-GB" w:eastAsia="es-ES"/>
      </w:rPr>
      <w:t>UNEP/LAC-IG.XXI/4/A</w:t>
    </w:r>
    <w:r>
      <w:rPr>
        <w:rFonts w:ascii="Verdana" w:hAnsi="Verdana"/>
        <w:b/>
        <w:bCs/>
        <w:sz w:val="18"/>
        <w:szCs w:val="18"/>
        <w:lang w:val="en-GB" w:eastAsia="es-ES"/>
      </w:rPr>
      <w:t>d.2</w:t>
    </w:r>
  </w:p>
  <w:p w14:paraId="07ED9A26" w14:textId="7DC1F02F" w:rsidR="00A264F9" w:rsidRPr="00846D55" w:rsidRDefault="00A264F9">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B1A9E"/>
    <w:multiLevelType w:val="hybridMultilevel"/>
    <w:tmpl w:val="F47E0B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097F80"/>
    <w:multiLevelType w:val="hybridMultilevel"/>
    <w:tmpl w:val="2B48B0C2"/>
    <w:lvl w:ilvl="0" w:tplc="180A001B">
      <w:start w:val="1"/>
      <w:numFmt w:val="lowerRoman"/>
      <w:lvlText w:val="%1."/>
      <w:lvlJc w:val="right"/>
      <w:pPr>
        <w:ind w:left="720" w:hanging="360"/>
      </w:pPr>
      <w:rPr>
        <w:rFont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157423"/>
    <w:multiLevelType w:val="hybridMultilevel"/>
    <w:tmpl w:val="F5C8B0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F772514"/>
    <w:multiLevelType w:val="hybridMultilevel"/>
    <w:tmpl w:val="5146776C"/>
    <w:lvl w:ilvl="0" w:tplc="4254F164">
      <w:start w:val="1"/>
      <w:numFmt w:val="upperRoman"/>
      <w:lvlText w:val="%1."/>
      <w:lvlJc w:val="left"/>
      <w:pPr>
        <w:ind w:left="1080" w:hanging="720"/>
      </w:pPr>
      <w:rPr>
        <w:rFonts w:ascii="inherit" w:eastAsia="Times New Roman" w:hAnsi="inherit" w:cs="Courier New" w:hint="default"/>
        <w:color w:val="212121"/>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35180B"/>
    <w:multiLevelType w:val="hybridMultilevel"/>
    <w:tmpl w:val="380EC458"/>
    <w:lvl w:ilvl="0" w:tplc="08F6385A">
      <w:start w:val="1"/>
      <w:numFmt w:val="decimal"/>
      <w:lvlText w:val="%1."/>
      <w:lvlJc w:val="left"/>
      <w:pPr>
        <w:ind w:left="720" w:hanging="360"/>
      </w:pPr>
      <w:rPr>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FCB339B"/>
    <w:multiLevelType w:val="hybridMultilevel"/>
    <w:tmpl w:val="D93083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83E677F"/>
    <w:multiLevelType w:val="hybridMultilevel"/>
    <w:tmpl w:val="41B4F84E"/>
    <w:lvl w:ilvl="0" w:tplc="64A2FBB0">
      <w:start w:val="1"/>
      <w:numFmt w:val="bullet"/>
      <w:lvlText w:val=""/>
      <w:lvlJc w:val="left"/>
      <w:pPr>
        <w:ind w:left="720" w:hanging="360"/>
      </w:pPr>
      <w:rPr>
        <w:rFonts w:ascii="Symbol" w:hAnsi="Symbol" w:hint="default"/>
        <w:sz w:val="22"/>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4"/>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811"/>
    <w:rsid w:val="00071965"/>
    <w:rsid w:val="002B0407"/>
    <w:rsid w:val="004B1B48"/>
    <w:rsid w:val="004B7A67"/>
    <w:rsid w:val="00570E29"/>
    <w:rsid w:val="00594175"/>
    <w:rsid w:val="005B0D62"/>
    <w:rsid w:val="00846D55"/>
    <w:rsid w:val="008C6A5A"/>
    <w:rsid w:val="00A12811"/>
    <w:rsid w:val="00A2375D"/>
    <w:rsid w:val="00A264F9"/>
    <w:rsid w:val="00B132C6"/>
    <w:rsid w:val="00B76B1A"/>
    <w:rsid w:val="00BE0C02"/>
    <w:rsid w:val="00CE03FD"/>
    <w:rsid w:val="00E64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23352"/>
  <w15:chartTrackingRefBased/>
  <w15:docId w15:val="{FF8EF47D-1187-432E-905A-BDEFCA919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2811"/>
    <w:pPr>
      <w:spacing w:after="0" w:line="240" w:lineRule="auto"/>
    </w:pPr>
    <w:rPr>
      <w:rFonts w:eastAsiaTheme="minorEastAsia"/>
      <w:sz w:val="24"/>
      <w:szCs w:val="24"/>
      <w:lang w:eastAsia="fr-FR"/>
    </w:rPr>
  </w:style>
  <w:style w:type="paragraph" w:styleId="Heading1">
    <w:name w:val="heading 1"/>
    <w:basedOn w:val="Normal"/>
    <w:next w:val="Normal"/>
    <w:link w:val="Heading1Char"/>
    <w:uiPriority w:val="9"/>
    <w:qFormat/>
    <w:rsid w:val="00A12811"/>
    <w:pPr>
      <w:keepNext/>
      <w:keepLines/>
      <w:spacing w:before="480"/>
      <w:outlineLvl w:val="0"/>
    </w:pPr>
    <w:rPr>
      <w:rFonts w:asciiTheme="majorHAnsi" w:eastAsiaTheme="majorEastAsia" w:hAnsiTheme="majorHAnsi" w:cstheme="majorBidi"/>
      <w:b/>
      <w:bCs/>
      <w:color w:val="2D4F8E" w:themeColor="accent1" w:themeShade="B5"/>
      <w:sz w:val="32"/>
      <w:szCs w:val="32"/>
    </w:rPr>
  </w:style>
  <w:style w:type="paragraph" w:styleId="Heading2">
    <w:name w:val="heading 2"/>
    <w:basedOn w:val="Normal"/>
    <w:next w:val="Normal"/>
    <w:link w:val="Heading2Char"/>
    <w:uiPriority w:val="9"/>
    <w:unhideWhenUsed/>
    <w:qFormat/>
    <w:rsid w:val="00A12811"/>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E0C02"/>
    <w:rPr>
      <w:sz w:val="20"/>
      <w:szCs w:val="20"/>
    </w:rPr>
  </w:style>
  <w:style w:type="character" w:customStyle="1" w:styleId="FootnoteTextChar">
    <w:name w:val="Footnote Text Char"/>
    <w:basedOn w:val="DefaultParagraphFont"/>
    <w:link w:val="FootnoteText"/>
    <w:uiPriority w:val="99"/>
    <w:rsid w:val="00BE0C02"/>
    <w:rPr>
      <w:sz w:val="20"/>
      <w:szCs w:val="20"/>
    </w:rPr>
  </w:style>
  <w:style w:type="character" w:customStyle="1" w:styleId="Heading1Char">
    <w:name w:val="Heading 1 Char"/>
    <w:basedOn w:val="DefaultParagraphFont"/>
    <w:link w:val="Heading1"/>
    <w:uiPriority w:val="9"/>
    <w:rsid w:val="00A12811"/>
    <w:rPr>
      <w:rFonts w:asciiTheme="majorHAnsi" w:eastAsiaTheme="majorEastAsia" w:hAnsiTheme="majorHAnsi" w:cstheme="majorBidi"/>
      <w:b/>
      <w:bCs/>
      <w:color w:val="2D4F8E" w:themeColor="accent1" w:themeShade="B5"/>
      <w:sz w:val="32"/>
      <w:szCs w:val="32"/>
      <w:lang w:eastAsia="fr-FR"/>
    </w:rPr>
  </w:style>
  <w:style w:type="character" w:customStyle="1" w:styleId="Heading2Char">
    <w:name w:val="Heading 2 Char"/>
    <w:basedOn w:val="DefaultParagraphFont"/>
    <w:link w:val="Heading2"/>
    <w:uiPriority w:val="9"/>
    <w:rsid w:val="00A12811"/>
    <w:rPr>
      <w:rFonts w:asciiTheme="majorHAnsi" w:eastAsiaTheme="majorEastAsia" w:hAnsiTheme="majorHAnsi" w:cstheme="majorBidi"/>
      <w:b/>
      <w:bCs/>
      <w:color w:val="4472C4" w:themeColor="accent1"/>
      <w:sz w:val="26"/>
      <w:szCs w:val="26"/>
      <w:lang w:eastAsia="fr-FR"/>
    </w:rPr>
  </w:style>
  <w:style w:type="paragraph" w:styleId="Header">
    <w:name w:val="header"/>
    <w:basedOn w:val="Normal"/>
    <w:link w:val="HeaderChar"/>
    <w:uiPriority w:val="99"/>
    <w:unhideWhenUsed/>
    <w:rsid w:val="00A12811"/>
    <w:pPr>
      <w:tabs>
        <w:tab w:val="center" w:pos="4703"/>
        <w:tab w:val="right" w:pos="9406"/>
      </w:tabs>
    </w:pPr>
  </w:style>
  <w:style w:type="character" w:customStyle="1" w:styleId="HeaderChar">
    <w:name w:val="Header Char"/>
    <w:basedOn w:val="DefaultParagraphFont"/>
    <w:link w:val="Header"/>
    <w:uiPriority w:val="99"/>
    <w:rsid w:val="00A12811"/>
    <w:rPr>
      <w:rFonts w:eastAsiaTheme="minorEastAsia"/>
      <w:sz w:val="24"/>
      <w:szCs w:val="24"/>
      <w:lang w:eastAsia="fr-FR"/>
    </w:rPr>
  </w:style>
  <w:style w:type="paragraph" w:styleId="Footer">
    <w:name w:val="footer"/>
    <w:basedOn w:val="Normal"/>
    <w:link w:val="FooterChar"/>
    <w:uiPriority w:val="99"/>
    <w:unhideWhenUsed/>
    <w:rsid w:val="00A12811"/>
    <w:pPr>
      <w:tabs>
        <w:tab w:val="center" w:pos="4703"/>
        <w:tab w:val="right" w:pos="9406"/>
      </w:tabs>
    </w:pPr>
  </w:style>
  <w:style w:type="character" w:customStyle="1" w:styleId="FooterChar">
    <w:name w:val="Footer Char"/>
    <w:basedOn w:val="DefaultParagraphFont"/>
    <w:link w:val="Footer"/>
    <w:uiPriority w:val="99"/>
    <w:rsid w:val="00A12811"/>
    <w:rPr>
      <w:rFonts w:eastAsiaTheme="minorEastAsia"/>
      <w:sz w:val="24"/>
      <w:szCs w:val="24"/>
      <w:lang w:eastAsia="fr-FR"/>
    </w:rPr>
  </w:style>
  <w:style w:type="paragraph" w:styleId="ListParagraph">
    <w:name w:val="List Paragraph"/>
    <w:basedOn w:val="Normal"/>
    <w:uiPriority w:val="34"/>
    <w:qFormat/>
    <w:rsid w:val="00A12811"/>
    <w:pPr>
      <w:ind w:left="720"/>
      <w:contextualSpacing/>
    </w:pPr>
  </w:style>
  <w:style w:type="table" w:styleId="TableGrid">
    <w:name w:val="Table Grid"/>
    <w:basedOn w:val="TableNormal"/>
    <w:uiPriority w:val="59"/>
    <w:rsid w:val="00A12811"/>
    <w:pPr>
      <w:spacing w:after="0" w:line="240" w:lineRule="auto"/>
    </w:pPr>
    <w:rPr>
      <w:rFonts w:eastAsiaTheme="minorEastAsia"/>
      <w:sz w:val="24"/>
      <w:szCs w:val="24"/>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A12811"/>
    <w:rPr>
      <w:vertAlign w:val="superscript"/>
    </w:rPr>
  </w:style>
  <w:style w:type="paragraph" w:styleId="TOCHeading">
    <w:name w:val="TOC Heading"/>
    <w:basedOn w:val="Heading1"/>
    <w:next w:val="Normal"/>
    <w:uiPriority w:val="39"/>
    <w:unhideWhenUsed/>
    <w:qFormat/>
    <w:rsid w:val="00A12811"/>
    <w:pPr>
      <w:spacing w:before="240" w:line="259" w:lineRule="auto"/>
      <w:outlineLvl w:val="9"/>
    </w:pPr>
    <w:rPr>
      <w:b w:val="0"/>
      <w:bCs w:val="0"/>
      <w:color w:val="2F5496" w:themeColor="accent1" w:themeShade="BF"/>
      <w:lang w:eastAsia="en-US"/>
    </w:rPr>
  </w:style>
  <w:style w:type="paragraph" w:styleId="TOC1">
    <w:name w:val="toc 1"/>
    <w:basedOn w:val="Normal"/>
    <w:next w:val="Normal"/>
    <w:autoRedefine/>
    <w:uiPriority w:val="39"/>
    <w:unhideWhenUsed/>
    <w:rsid w:val="00A12811"/>
    <w:pPr>
      <w:spacing w:after="100"/>
    </w:pPr>
  </w:style>
  <w:style w:type="paragraph" w:styleId="TOC2">
    <w:name w:val="toc 2"/>
    <w:basedOn w:val="Normal"/>
    <w:next w:val="Normal"/>
    <w:autoRedefine/>
    <w:uiPriority w:val="39"/>
    <w:unhideWhenUsed/>
    <w:rsid w:val="00A12811"/>
    <w:pPr>
      <w:spacing w:after="100"/>
      <w:ind w:left="240"/>
    </w:pPr>
  </w:style>
  <w:style w:type="character" w:styleId="Hyperlink">
    <w:name w:val="Hyperlink"/>
    <w:basedOn w:val="DefaultParagraphFont"/>
    <w:uiPriority w:val="99"/>
    <w:unhideWhenUsed/>
    <w:rsid w:val="00A12811"/>
    <w:rPr>
      <w:color w:val="0563C1" w:themeColor="hyperlink"/>
      <w:u w:val="single"/>
    </w:rPr>
  </w:style>
  <w:style w:type="paragraph" w:styleId="HTMLPreformatted">
    <w:name w:val="HTML Preformatted"/>
    <w:basedOn w:val="Normal"/>
    <w:link w:val="HTMLPreformattedChar"/>
    <w:uiPriority w:val="99"/>
    <w:unhideWhenUsed/>
    <w:rsid w:val="00A128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A1281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18</Pages>
  <Words>3973</Words>
  <Characters>21854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Alejandra Fernandez</dc:creator>
  <cp:keywords/>
  <dc:description/>
  <cp:lastModifiedBy>Shaherah Cumberbatch</cp:lastModifiedBy>
  <cp:revision>10</cp:revision>
  <cp:lastPrinted>2018-08-28T22:53:00Z</cp:lastPrinted>
  <dcterms:created xsi:type="dcterms:W3CDTF">2018-08-27T15:25:00Z</dcterms:created>
  <dcterms:modified xsi:type="dcterms:W3CDTF">2018-09-27T18:18:00Z</dcterms:modified>
</cp:coreProperties>
</file>