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62" w:type="dxa"/>
        <w:tblInd w:w="-34" w:type="dxa"/>
        <w:tblBorders>
          <w:bottom w:val="single" w:sz="24" w:space="0" w:color="auto"/>
          <w:insideH w:val="single" w:sz="8" w:space="0" w:color="auto"/>
        </w:tblBorders>
        <w:tblLayout w:type="fixed"/>
        <w:tblCellMar>
          <w:top w:w="28" w:type="dxa"/>
          <w:left w:w="85" w:type="dxa"/>
          <w:bottom w:w="28" w:type="dxa"/>
          <w:right w:w="85" w:type="dxa"/>
        </w:tblCellMar>
        <w:tblLook w:val="0000" w:firstRow="0" w:lastRow="0" w:firstColumn="0" w:lastColumn="0" w:noHBand="0" w:noVBand="0"/>
      </w:tblPr>
      <w:tblGrid>
        <w:gridCol w:w="2707"/>
        <w:gridCol w:w="5407"/>
        <w:gridCol w:w="1526"/>
        <w:gridCol w:w="22"/>
      </w:tblGrid>
      <w:tr w:rsidR="00DE796A" w14:paraId="65151BD3" w14:textId="77777777" w:rsidTr="00C07A4A">
        <w:trPr>
          <w:gridAfter w:val="1"/>
          <w:wAfter w:w="22" w:type="dxa"/>
          <w:cantSplit/>
          <w:trHeight w:val="708"/>
        </w:trPr>
        <w:tc>
          <w:tcPr>
            <w:tcW w:w="2707" w:type="dxa"/>
            <w:tcBorders>
              <w:bottom w:val="nil"/>
            </w:tcBorders>
          </w:tcPr>
          <w:p w14:paraId="43EA6F7E" w14:textId="77777777" w:rsidR="00DE796A" w:rsidRPr="00C811BE" w:rsidRDefault="00C811BE">
            <w:pPr>
              <w:bidi w:val="0"/>
              <w:rPr>
                <w:rFonts w:cs="Times New Roman"/>
                <w:b/>
                <w:bCs/>
                <w:sz w:val="60"/>
                <w:szCs w:val="60"/>
                <w:rtl/>
              </w:rPr>
            </w:pPr>
            <w:bookmarkStart w:id="0" w:name="_GoBack"/>
            <w:bookmarkEnd w:id="0"/>
            <w:r w:rsidRPr="00C811BE">
              <w:rPr>
                <w:rFonts w:ascii="Univers" w:hAnsi="Univers" w:cs="Times New Roman"/>
                <w:b/>
                <w:sz w:val="60"/>
                <w:szCs w:val="60"/>
              </w:rPr>
              <w:t>EP</w:t>
            </w:r>
          </w:p>
        </w:tc>
        <w:tc>
          <w:tcPr>
            <w:tcW w:w="6933" w:type="dxa"/>
            <w:gridSpan w:val="2"/>
            <w:tcBorders>
              <w:bottom w:val="nil"/>
            </w:tcBorders>
          </w:tcPr>
          <w:p w14:paraId="13C4198E" w14:textId="77777777" w:rsidR="00DE796A" w:rsidRPr="000844F9" w:rsidRDefault="00DE796A">
            <w:pPr>
              <w:jc w:val="both"/>
              <w:rPr>
                <w:rFonts w:cs="Traditional Arabic"/>
                <w:b/>
                <w:bCs/>
                <w:sz w:val="44"/>
                <w:szCs w:val="44"/>
              </w:rPr>
            </w:pPr>
            <w:r w:rsidRPr="000844F9">
              <w:rPr>
                <w:rFonts w:cs="Traditional Arabic" w:hint="cs"/>
                <w:b/>
                <w:bCs/>
                <w:sz w:val="44"/>
                <w:szCs w:val="44"/>
                <w:rtl/>
              </w:rPr>
              <w:t>الأمم المتحدة</w:t>
            </w:r>
          </w:p>
        </w:tc>
      </w:tr>
      <w:tr w:rsidR="004B0A17" w14:paraId="47203BE6" w14:textId="77777777" w:rsidTr="009C06F1">
        <w:trPr>
          <w:gridAfter w:val="1"/>
          <w:wAfter w:w="22" w:type="dxa"/>
          <w:cantSplit/>
          <w:trHeight w:val="312"/>
        </w:trPr>
        <w:tc>
          <w:tcPr>
            <w:tcW w:w="2707" w:type="dxa"/>
            <w:tcBorders>
              <w:top w:val="nil"/>
              <w:bottom w:val="single" w:sz="4" w:space="0" w:color="auto"/>
            </w:tcBorders>
            <w:vAlign w:val="bottom"/>
          </w:tcPr>
          <w:p w14:paraId="75D9532D" w14:textId="4D07DCAE" w:rsidR="004B0A17" w:rsidRPr="009C06F1" w:rsidRDefault="00FC1DEC" w:rsidP="00DD7FB2">
            <w:pPr>
              <w:bidi w:val="0"/>
              <w:spacing w:before="60" w:line="300" w:lineRule="exact"/>
              <w:rPr>
                <w:rFonts w:cs="Times New Roman"/>
                <w:b/>
                <w:bCs/>
                <w:sz w:val="20"/>
                <w:szCs w:val="20"/>
              </w:rPr>
            </w:pPr>
            <w:r w:rsidRPr="00A4434B">
              <w:rPr>
                <w:b/>
                <w:bCs/>
                <w:sz w:val="28"/>
                <w:lang w:val="en-GB"/>
              </w:rPr>
              <w:t>UNEP</w:t>
            </w:r>
            <w:r w:rsidRPr="00A4434B">
              <w:rPr>
                <w:lang w:val="en-GB"/>
              </w:rPr>
              <w:t>/</w:t>
            </w:r>
            <w:r w:rsidRPr="00004629">
              <w:rPr>
                <w:sz w:val="20"/>
                <w:szCs w:val="20"/>
                <w:lang w:val="en-GB"/>
              </w:rPr>
              <w:t>EA.</w:t>
            </w:r>
            <w:r w:rsidR="00900B6E">
              <w:rPr>
                <w:sz w:val="20"/>
                <w:szCs w:val="20"/>
                <w:lang w:val="en-GB"/>
              </w:rPr>
              <w:t>4</w:t>
            </w:r>
            <w:r w:rsidRPr="00B4256C">
              <w:rPr>
                <w:sz w:val="20"/>
                <w:szCs w:val="20"/>
                <w:lang w:val="en-GB"/>
              </w:rPr>
              <w:t>/</w:t>
            </w:r>
            <w:r w:rsidR="003F2F51">
              <w:rPr>
                <w:rFonts w:cs="Times New Roman"/>
                <w:sz w:val="20"/>
                <w:szCs w:val="20"/>
              </w:rPr>
              <w:t>2</w:t>
            </w:r>
            <w:r w:rsidR="002169A4">
              <w:rPr>
                <w:rFonts w:cs="Times New Roman"/>
                <w:sz w:val="20"/>
                <w:szCs w:val="20"/>
              </w:rPr>
              <w:t>3</w:t>
            </w:r>
          </w:p>
        </w:tc>
        <w:tc>
          <w:tcPr>
            <w:tcW w:w="6933" w:type="dxa"/>
            <w:gridSpan w:val="2"/>
            <w:tcBorders>
              <w:top w:val="nil"/>
              <w:bottom w:val="single" w:sz="4" w:space="0" w:color="auto"/>
            </w:tcBorders>
            <w:vAlign w:val="bottom"/>
          </w:tcPr>
          <w:p w14:paraId="2D58EA46" w14:textId="77777777" w:rsidR="004B0A17" w:rsidRPr="009C06F1" w:rsidRDefault="004B0A17" w:rsidP="00DD7FB2">
            <w:pPr>
              <w:bidi w:val="0"/>
              <w:spacing w:before="60" w:line="300" w:lineRule="exact"/>
              <w:jc w:val="both"/>
              <w:rPr>
                <w:rFonts w:cs="Times New Roman"/>
                <w:b/>
                <w:bCs/>
                <w:sz w:val="20"/>
                <w:szCs w:val="20"/>
                <w:rtl/>
              </w:rPr>
            </w:pPr>
          </w:p>
        </w:tc>
      </w:tr>
      <w:tr w:rsidR="00DE796A" w14:paraId="6AA30135" w14:textId="77777777" w:rsidTr="009C06F1">
        <w:trPr>
          <w:cantSplit/>
          <w:trHeight w:val="2475"/>
        </w:trPr>
        <w:tc>
          <w:tcPr>
            <w:tcW w:w="2707" w:type="dxa"/>
            <w:tcBorders>
              <w:top w:val="single" w:sz="4" w:space="0" w:color="auto"/>
            </w:tcBorders>
          </w:tcPr>
          <w:p w14:paraId="3AA6B06F" w14:textId="77777777" w:rsidR="00DE796A" w:rsidRPr="00A969A0" w:rsidRDefault="00DE796A" w:rsidP="00386B73">
            <w:pPr>
              <w:bidi w:val="0"/>
              <w:spacing w:before="160"/>
              <w:jc w:val="both"/>
              <w:rPr>
                <w:rFonts w:cs="Times New Roman"/>
                <w:sz w:val="20"/>
                <w:szCs w:val="20"/>
                <w:lang w:val="en-GB"/>
              </w:rPr>
            </w:pPr>
            <w:r w:rsidRPr="00A969A0">
              <w:rPr>
                <w:rFonts w:cs="Times New Roman"/>
                <w:sz w:val="20"/>
                <w:szCs w:val="20"/>
              </w:rPr>
              <w:t>Distr.</w:t>
            </w:r>
            <w:r w:rsidR="006C560D" w:rsidRPr="00A969A0">
              <w:rPr>
                <w:rFonts w:cs="Times New Roman"/>
                <w:sz w:val="20"/>
                <w:szCs w:val="20"/>
                <w:lang w:val="en-GB"/>
              </w:rPr>
              <w:t>: General</w:t>
            </w:r>
          </w:p>
          <w:p w14:paraId="27CB6FE9" w14:textId="5212FAC8" w:rsidR="00DE796A" w:rsidRPr="00DD7FB2" w:rsidRDefault="002169A4">
            <w:pPr>
              <w:bidi w:val="0"/>
              <w:jc w:val="both"/>
              <w:rPr>
                <w:rFonts w:cs="Times New Roman"/>
                <w:sz w:val="20"/>
                <w:szCs w:val="20"/>
              </w:rPr>
            </w:pPr>
            <w:r>
              <w:rPr>
                <w:rFonts w:cs="Times New Roman"/>
                <w:sz w:val="20"/>
                <w:szCs w:val="20"/>
              </w:rPr>
              <w:t>18</w:t>
            </w:r>
            <w:r w:rsidR="00A576F2" w:rsidRPr="00A969A0">
              <w:rPr>
                <w:rFonts w:cs="Times New Roman"/>
                <w:sz w:val="20"/>
                <w:szCs w:val="20"/>
              </w:rPr>
              <w:t xml:space="preserve"> </w:t>
            </w:r>
            <w:r w:rsidR="003F2F51">
              <w:rPr>
                <w:rFonts w:cs="Times New Roman"/>
                <w:sz w:val="20"/>
                <w:szCs w:val="20"/>
              </w:rPr>
              <w:t>December</w:t>
            </w:r>
            <w:r w:rsidR="00A576F2">
              <w:rPr>
                <w:rFonts w:cs="Times New Roman"/>
                <w:sz w:val="20"/>
                <w:szCs w:val="20"/>
              </w:rPr>
              <w:t xml:space="preserve"> </w:t>
            </w:r>
            <w:r w:rsidR="00A576F2" w:rsidRPr="00A969A0">
              <w:rPr>
                <w:rFonts w:cs="Times New Roman"/>
                <w:sz w:val="20"/>
                <w:szCs w:val="20"/>
              </w:rPr>
              <w:t>20</w:t>
            </w:r>
            <w:r w:rsidR="00A576F2">
              <w:rPr>
                <w:rFonts w:cs="Times New Roman"/>
                <w:sz w:val="20"/>
                <w:szCs w:val="20"/>
              </w:rPr>
              <w:t>1</w:t>
            </w:r>
            <w:r w:rsidR="00900B6E">
              <w:rPr>
                <w:rFonts w:cs="Times New Roman"/>
                <w:sz w:val="20"/>
                <w:szCs w:val="20"/>
              </w:rPr>
              <w:t>8</w:t>
            </w:r>
          </w:p>
          <w:p w14:paraId="42911277" w14:textId="77777777" w:rsidR="00DE796A" w:rsidRPr="00A969A0" w:rsidRDefault="009819E2" w:rsidP="00A969A0">
            <w:pPr>
              <w:pStyle w:val="Heading5"/>
              <w:bidi w:val="0"/>
              <w:spacing w:before="240"/>
              <w:ind w:left="34" w:right="34"/>
              <w:jc w:val="both"/>
              <w:rPr>
                <w:rFonts w:ascii="Times New Roman" w:hAnsi="Times New Roman" w:cs="Times New Roman"/>
                <w:b w:val="0"/>
                <w:bCs w:val="0"/>
                <w:noProof w:val="0"/>
                <w:szCs w:val="20"/>
                <w:rtl/>
              </w:rPr>
            </w:pPr>
            <w:r w:rsidRPr="00A969A0">
              <w:rPr>
                <w:rFonts w:ascii="Times New Roman" w:hAnsi="Times New Roman" w:cs="Times New Roman"/>
                <w:b w:val="0"/>
                <w:bCs w:val="0"/>
                <w:noProof w:val="0"/>
                <w:szCs w:val="20"/>
              </w:rPr>
              <w:t>Arabic</w:t>
            </w:r>
          </w:p>
          <w:p w14:paraId="527E2A62" w14:textId="77777777" w:rsidR="00DE796A" w:rsidRDefault="009819E2" w:rsidP="00A969A0">
            <w:pPr>
              <w:bidi w:val="0"/>
              <w:ind w:right="34"/>
              <w:jc w:val="both"/>
            </w:pPr>
            <w:r w:rsidRPr="00A969A0">
              <w:rPr>
                <w:rFonts w:cs="Times New Roman"/>
                <w:sz w:val="20"/>
                <w:szCs w:val="20"/>
              </w:rPr>
              <w:t>Original: English</w:t>
            </w:r>
          </w:p>
        </w:tc>
        <w:tc>
          <w:tcPr>
            <w:tcW w:w="5407" w:type="dxa"/>
            <w:tcBorders>
              <w:top w:val="single" w:sz="4" w:space="0" w:color="auto"/>
            </w:tcBorders>
            <w:vAlign w:val="bottom"/>
          </w:tcPr>
          <w:p w14:paraId="4D2CD28F" w14:textId="77777777" w:rsidR="00DE796A" w:rsidRPr="002B0E93" w:rsidRDefault="00324C76" w:rsidP="00DD7FB2">
            <w:pPr>
              <w:spacing w:before="840" w:after="120" w:line="460" w:lineRule="exact"/>
              <w:ind w:right="2767" w:firstLine="17"/>
              <w:jc w:val="both"/>
              <w:rPr>
                <w:sz w:val="48"/>
                <w:szCs w:val="48"/>
                <w:rtl/>
              </w:rPr>
            </w:pPr>
            <w:r w:rsidRPr="002B0E93">
              <w:rPr>
                <w:rFonts w:cs="Traditional Arabic" w:hint="cs"/>
                <w:b/>
                <w:bCs/>
                <w:sz w:val="48"/>
                <w:szCs w:val="48"/>
                <w:rtl/>
              </w:rPr>
              <w:t xml:space="preserve">جمعية الأمم المتحدة للبيئة </w:t>
            </w:r>
            <w:r w:rsidR="000255EE" w:rsidRPr="002B0E93">
              <w:rPr>
                <w:rFonts w:cs="Traditional Arabic" w:hint="cs"/>
                <w:b/>
                <w:bCs/>
                <w:sz w:val="48"/>
                <w:szCs w:val="48"/>
                <w:rtl/>
              </w:rPr>
              <w:t xml:space="preserve">التابعة </w:t>
            </w:r>
            <w:r w:rsidR="007C0FF8" w:rsidRPr="002B0E93">
              <w:rPr>
                <w:rFonts w:cs="Traditional Arabic" w:hint="cs"/>
                <w:b/>
                <w:bCs/>
                <w:sz w:val="48"/>
                <w:szCs w:val="48"/>
                <w:rtl/>
              </w:rPr>
              <w:t>ل</w:t>
            </w:r>
            <w:r w:rsidRPr="002B0E93">
              <w:rPr>
                <w:rFonts w:cs="Traditional Arabic" w:hint="cs"/>
                <w:b/>
                <w:bCs/>
                <w:sz w:val="48"/>
                <w:szCs w:val="48"/>
                <w:rtl/>
              </w:rPr>
              <w:t>برنامج الأمم المتحدة للبيئة</w:t>
            </w:r>
          </w:p>
        </w:tc>
        <w:tc>
          <w:tcPr>
            <w:tcW w:w="1548" w:type="dxa"/>
            <w:gridSpan w:val="2"/>
            <w:tcBorders>
              <w:top w:val="single" w:sz="4" w:space="0" w:color="auto"/>
            </w:tcBorders>
          </w:tcPr>
          <w:p w14:paraId="4B969370" w14:textId="77777777" w:rsidR="00DE796A" w:rsidRDefault="000C095D" w:rsidP="002B0E93">
            <w:pPr>
              <w:spacing w:line="20" w:lineRule="exact"/>
              <w:jc w:val="right"/>
            </w:pPr>
            <w:r>
              <w:rPr>
                <w:noProof/>
              </w:rPr>
              <w:drawing>
                <wp:anchor distT="0" distB="0" distL="114300" distR="114300" simplePos="0" relativeHeight="251658240" behindDoc="0" locked="0" layoutInCell="1" allowOverlap="1" wp14:anchorId="669A1AFD" wp14:editId="410A4A21">
                  <wp:simplePos x="0" y="0"/>
                  <wp:positionH relativeFrom="column">
                    <wp:posOffset>148590</wp:posOffset>
                  </wp:positionH>
                  <wp:positionV relativeFrom="paragraph">
                    <wp:posOffset>831215</wp:posOffset>
                  </wp:positionV>
                  <wp:extent cx="756000" cy="706154"/>
                  <wp:effectExtent l="0" t="0" r="635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b="9727"/>
                          <a:stretch>
                            <a:fillRect/>
                          </a:stretch>
                        </pic:blipFill>
                        <pic:spPr bwMode="auto">
                          <a:xfrm>
                            <a:off x="0" y="0"/>
                            <a:ext cx="756000" cy="706154"/>
                          </a:xfrm>
                          <a:prstGeom prst="rect">
                            <a:avLst/>
                          </a:prstGeom>
                          <a:noFill/>
                        </pic:spPr>
                      </pic:pic>
                    </a:graphicData>
                  </a:graphic>
                  <wp14:sizeRelH relativeFrom="page">
                    <wp14:pctWidth>0</wp14:pctWidth>
                  </wp14:sizeRelH>
                  <wp14:sizeRelV relativeFrom="page">
                    <wp14:pctHeight>0</wp14:pctHeight>
                  </wp14:sizeRelV>
                </wp:anchor>
              </w:drawing>
            </w:r>
            <w:r w:rsidR="00662274">
              <w:rPr>
                <w:noProof/>
              </w:rPr>
              <w:object w:dxaOrig="1440" w:dyaOrig="1440" w14:anchorId="42CAB5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4pt;margin-top:5.65pt;width:65.55pt;height:61.85pt;z-index:251660288;mso-position-horizontal-relative:text;mso-position-vertical-relative:text;mso-width-relative:page;mso-height-relative:page" wrapcoords="-248 0 -248 18439 19117 18439 19117 0 -248 0" fillcolor="window">
                  <v:imagedata r:id="rId9" o:title=""/>
                  <w10:wrap type="tight"/>
                </v:shape>
                <o:OLEObject Type="Embed" ProgID="Word.Picture.8" ShapeID="_x0000_s1026" DrawAspect="Content" ObjectID="_1641055682" r:id="rId10"/>
              </w:object>
            </w:r>
          </w:p>
        </w:tc>
      </w:tr>
    </w:tbl>
    <w:p w14:paraId="0A724013" w14:textId="77777777" w:rsidR="00A81553" w:rsidRDefault="00A81553" w:rsidP="00C07A4A">
      <w:pPr>
        <w:spacing w:before="40" w:line="360" w:lineRule="exact"/>
        <w:ind w:right="6662"/>
        <w:jc w:val="both"/>
        <w:rPr>
          <w:rFonts w:cs="Traditional Arabic"/>
          <w:b/>
          <w:bCs/>
          <w:sz w:val="30"/>
          <w:szCs w:val="30"/>
          <w:rtl/>
        </w:rPr>
      </w:pPr>
      <w:r>
        <w:rPr>
          <w:rFonts w:cs="Traditional Arabic" w:hint="cs"/>
          <w:b/>
          <w:bCs/>
          <w:sz w:val="30"/>
          <w:szCs w:val="30"/>
          <w:rtl/>
        </w:rPr>
        <w:t xml:space="preserve">جمعية الأمم المتحدة للبيئة </w:t>
      </w:r>
      <w:r w:rsidR="000255EE">
        <w:rPr>
          <w:rFonts w:cs="Traditional Arabic" w:hint="cs"/>
          <w:b/>
          <w:bCs/>
          <w:sz w:val="30"/>
          <w:szCs w:val="30"/>
          <w:rtl/>
        </w:rPr>
        <w:t xml:space="preserve">التابعة </w:t>
      </w:r>
      <w:r w:rsidR="007C0FF8">
        <w:rPr>
          <w:rFonts w:cs="Traditional Arabic" w:hint="cs"/>
          <w:b/>
          <w:bCs/>
          <w:sz w:val="30"/>
          <w:szCs w:val="30"/>
          <w:rtl/>
        </w:rPr>
        <w:t>ل</w:t>
      </w:r>
      <w:r>
        <w:rPr>
          <w:rFonts w:cs="Traditional Arabic" w:hint="cs"/>
          <w:b/>
          <w:bCs/>
          <w:sz w:val="30"/>
          <w:szCs w:val="30"/>
          <w:rtl/>
        </w:rPr>
        <w:t>برنامج الأمم المتحدة للبيئة</w:t>
      </w:r>
    </w:p>
    <w:p w14:paraId="5C10C901" w14:textId="003EBF5E" w:rsidR="00A81553" w:rsidRPr="00A579D1" w:rsidRDefault="00A81553" w:rsidP="00C07A4A">
      <w:pPr>
        <w:spacing w:line="360" w:lineRule="exact"/>
        <w:ind w:left="-2" w:right="6946"/>
        <w:jc w:val="both"/>
        <w:rPr>
          <w:rFonts w:cs="Traditional Arabic"/>
          <w:b/>
          <w:bCs/>
          <w:sz w:val="30"/>
          <w:szCs w:val="30"/>
          <w:rtl/>
        </w:rPr>
      </w:pPr>
      <w:r>
        <w:rPr>
          <w:rFonts w:cs="Traditional Arabic" w:hint="cs"/>
          <w:b/>
          <w:bCs/>
          <w:sz w:val="30"/>
          <w:szCs w:val="30"/>
          <w:rtl/>
        </w:rPr>
        <w:t xml:space="preserve">الدورة </w:t>
      </w:r>
      <w:r w:rsidR="003F2F51">
        <w:rPr>
          <w:rFonts w:cs="Traditional Arabic" w:hint="cs"/>
          <w:b/>
          <w:bCs/>
          <w:sz w:val="30"/>
          <w:szCs w:val="30"/>
          <w:rtl/>
        </w:rPr>
        <w:t>الرابعة</w:t>
      </w:r>
    </w:p>
    <w:p w14:paraId="0AFC1CBC" w14:textId="07FBA291" w:rsidR="00A81553" w:rsidRDefault="00A81553" w:rsidP="00C07A4A">
      <w:pPr>
        <w:spacing w:line="360" w:lineRule="exact"/>
        <w:ind w:right="5812"/>
        <w:jc w:val="both"/>
        <w:rPr>
          <w:rFonts w:ascii="Traditional Arabic" w:hAnsi="Traditional Arabic" w:cs="Traditional Arabic"/>
          <w:sz w:val="30"/>
          <w:szCs w:val="30"/>
          <w:rtl/>
        </w:rPr>
      </w:pPr>
      <w:r w:rsidRPr="00A579D1">
        <w:rPr>
          <w:rFonts w:cs="Traditional Arabic" w:hint="cs"/>
          <w:sz w:val="30"/>
          <w:szCs w:val="30"/>
          <w:rtl/>
        </w:rPr>
        <w:t>نيروبي،</w:t>
      </w:r>
      <w:r w:rsidR="00A576F2">
        <w:rPr>
          <w:rFonts w:cs="Traditional Arabic" w:hint="cs"/>
          <w:sz w:val="30"/>
          <w:szCs w:val="30"/>
          <w:rtl/>
        </w:rPr>
        <w:t xml:space="preserve"> </w:t>
      </w:r>
      <w:r w:rsidR="00900B6E">
        <w:rPr>
          <w:rFonts w:cs="Traditional Arabic" w:hint="cs"/>
          <w:sz w:val="30"/>
          <w:szCs w:val="30"/>
          <w:rtl/>
        </w:rPr>
        <w:t>11</w:t>
      </w:r>
      <w:r w:rsidR="00A576F2">
        <w:rPr>
          <w:rFonts w:cs="Traditional Arabic" w:hint="cs"/>
          <w:sz w:val="30"/>
          <w:szCs w:val="30"/>
          <w:rtl/>
        </w:rPr>
        <w:t>-</w:t>
      </w:r>
      <w:r w:rsidR="00900B6E">
        <w:rPr>
          <w:rFonts w:cs="Traditional Arabic" w:hint="cs"/>
          <w:sz w:val="30"/>
          <w:szCs w:val="30"/>
          <w:rtl/>
        </w:rPr>
        <w:t>15</w:t>
      </w:r>
      <w:r w:rsidR="00A576F2">
        <w:rPr>
          <w:rFonts w:cs="Traditional Arabic" w:hint="cs"/>
          <w:sz w:val="30"/>
          <w:szCs w:val="30"/>
          <w:rtl/>
        </w:rPr>
        <w:t xml:space="preserve"> كانون </w:t>
      </w:r>
      <w:r w:rsidR="00900B6E">
        <w:rPr>
          <w:rFonts w:cs="Traditional Arabic" w:hint="cs"/>
          <w:sz w:val="30"/>
          <w:szCs w:val="30"/>
          <w:rtl/>
        </w:rPr>
        <w:t>آذار</w:t>
      </w:r>
      <w:r w:rsidR="00A576F2">
        <w:rPr>
          <w:rFonts w:cs="Traditional Arabic" w:hint="cs"/>
          <w:sz w:val="30"/>
          <w:szCs w:val="30"/>
          <w:rtl/>
        </w:rPr>
        <w:t>/</w:t>
      </w:r>
      <w:r w:rsidR="00900B6E">
        <w:rPr>
          <w:rFonts w:cs="Traditional Arabic" w:hint="cs"/>
          <w:sz w:val="30"/>
          <w:szCs w:val="30"/>
          <w:rtl/>
        </w:rPr>
        <w:t>مارس</w:t>
      </w:r>
      <w:r w:rsidR="00A576F2">
        <w:rPr>
          <w:rFonts w:cs="Traditional Arabic" w:hint="cs"/>
          <w:sz w:val="30"/>
          <w:szCs w:val="30"/>
          <w:rtl/>
        </w:rPr>
        <w:t xml:space="preserve"> </w:t>
      </w:r>
      <w:r w:rsidRPr="00924796">
        <w:rPr>
          <w:rFonts w:ascii="Traditional Arabic" w:hAnsi="Traditional Arabic" w:cs="Traditional Arabic"/>
          <w:sz w:val="30"/>
          <w:szCs w:val="30"/>
          <w:rtl/>
        </w:rPr>
        <w:t>201</w:t>
      </w:r>
      <w:r w:rsidR="00900B6E">
        <w:rPr>
          <w:rFonts w:ascii="Traditional Arabic" w:hAnsi="Traditional Arabic" w:cs="Traditional Arabic" w:hint="cs"/>
          <w:sz w:val="30"/>
          <w:szCs w:val="30"/>
          <w:rtl/>
        </w:rPr>
        <w:t>9</w:t>
      </w:r>
    </w:p>
    <w:p w14:paraId="04E704F5" w14:textId="1DDBA57B" w:rsidR="00B4256C" w:rsidRDefault="00B4256C" w:rsidP="00C07A4A">
      <w:pPr>
        <w:pStyle w:val="AATitle"/>
        <w:bidi/>
        <w:spacing w:line="360" w:lineRule="exact"/>
        <w:ind w:left="-2"/>
        <w:jc w:val="both"/>
        <w:textDirection w:val="tbRlV"/>
        <w:rPr>
          <w:rStyle w:val="FootnoteReference"/>
          <w:rFonts w:hint="default"/>
          <w:rtl/>
          <w:lang w:eastAsia="zh-TW"/>
        </w:rPr>
      </w:pPr>
      <w:r>
        <w:rPr>
          <w:rtl/>
          <w:lang w:eastAsia="zh-TW"/>
        </w:rPr>
        <w:t xml:space="preserve">البند </w:t>
      </w:r>
      <w:r w:rsidR="003F2F51">
        <w:rPr>
          <w:rtl/>
          <w:lang w:eastAsia="zh-TW"/>
        </w:rPr>
        <w:t xml:space="preserve">6 </w:t>
      </w:r>
      <w:r>
        <w:rPr>
          <w:rtl/>
          <w:lang w:eastAsia="zh-TW"/>
        </w:rPr>
        <w:t>من جدول الأعمال المؤقت</w:t>
      </w:r>
      <w:r>
        <w:rPr>
          <w:rStyle w:val="FootnoteReference"/>
          <w:rtl/>
          <w:lang w:eastAsia="zh-TW"/>
        </w:rPr>
        <w:footnoteReference w:customMarkFollows="1" w:id="1"/>
        <w:t>*</w:t>
      </w:r>
    </w:p>
    <w:p w14:paraId="2DB5E85F" w14:textId="31C49629" w:rsidR="004D3BED" w:rsidRPr="009B38CE" w:rsidRDefault="003F2F51" w:rsidP="009C06F1">
      <w:pPr>
        <w:pStyle w:val="AATitle"/>
        <w:bidi/>
        <w:spacing w:line="360" w:lineRule="exact"/>
        <w:ind w:right="5954"/>
        <w:jc w:val="both"/>
        <w:textDirection w:val="tbRlV"/>
        <w:rPr>
          <w:rFonts w:hint="default"/>
          <w:b w:val="0"/>
          <w:bCs/>
          <w:sz w:val="28"/>
          <w:szCs w:val="28"/>
          <w:rtl/>
          <w:lang w:eastAsia="zh-TW"/>
        </w:rPr>
      </w:pPr>
      <w:r w:rsidRPr="003F2F51">
        <w:rPr>
          <w:b w:val="0"/>
          <w:bCs/>
          <w:sz w:val="28"/>
          <w:szCs w:val="28"/>
          <w:rtl/>
          <w:lang w:eastAsia="zh-TW"/>
        </w:rPr>
        <w:t>برنامج العمل والميزانية وغير ذلك من المسائل الإدارية والمتعلقة بالميزانية</w:t>
      </w:r>
    </w:p>
    <w:p w14:paraId="3D6BE808" w14:textId="3DB3BAFD" w:rsidR="00C07A4A" w:rsidRPr="002169A4" w:rsidRDefault="002169A4" w:rsidP="008A34FB">
      <w:pPr>
        <w:spacing w:before="360" w:after="240" w:line="400" w:lineRule="exact"/>
        <w:ind w:left="1134"/>
        <w:jc w:val="both"/>
        <w:rPr>
          <w:rFonts w:cs="Traditional Arabic"/>
          <w:b/>
          <w:bCs/>
          <w:sz w:val="20"/>
          <w:szCs w:val="34"/>
          <w:rtl/>
        </w:rPr>
      </w:pPr>
      <w:r w:rsidRPr="002169A4">
        <w:rPr>
          <w:rFonts w:cs="Traditional Arabic"/>
          <w:b/>
          <w:bCs/>
          <w:sz w:val="20"/>
          <w:szCs w:val="34"/>
          <w:rtl/>
        </w:rPr>
        <w:t>التقدم المحرز في تنفيذ القرار 2/١٢ بشأن الإدارة المستدامة للشعاب المرجانية</w:t>
      </w:r>
    </w:p>
    <w:p w14:paraId="26B940C3" w14:textId="18EEB066" w:rsidR="00C07A4A" w:rsidRPr="009C06F1" w:rsidRDefault="002169A4" w:rsidP="008A34FB">
      <w:pPr>
        <w:keepNext/>
        <w:keepLines/>
        <w:suppressAutoHyphens/>
        <w:spacing w:after="240" w:line="400" w:lineRule="exact"/>
        <w:ind w:left="1134"/>
        <w:jc w:val="both"/>
        <w:textDirection w:val="tbRlV"/>
        <w:rPr>
          <w:rFonts w:ascii="Traditional Arabic" w:hAnsi="Traditional Arabic" w:cs="Traditional Arabic"/>
          <w:bCs/>
          <w:sz w:val="32"/>
          <w:szCs w:val="32"/>
          <w:rtl/>
          <w:lang w:val="en-GB" w:eastAsia="zh-TW"/>
        </w:rPr>
      </w:pPr>
      <w:r>
        <w:rPr>
          <w:rFonts w:ascii="Traditional Arabic" w:hAnsi="Traditional Arabic" w:cs="Traditional Arabic" w:hint="cs"/>
          <w:b/>
          <w:bCs/>
          <w:sz w:val="32"/>
          <w:szCs w:val="32"/>
          <w:rtl/>
          <w:lang w:val="en-GB" w:eastAsia="zh-TW"/>
        </w:rPr>
        <w:t>تقرير المدير التنفيذي</w:t>
      </w:r>
    </w:p>
    <w:tbl>
      <w:tblPr>
        <w:tblStyle w:val="TableGrid"/>
        <w:bidiVisual/>
        <w:tblW w:w="0" w:type="auto"/>
        <w:tblInd w:w="-5" w:type="dxa"/>
        <w:tblLayout w:type="fixed"/>
        <w:tblLook w:val="04A0" w:firstRow="1" w:lastRow="0" w:firstColumn="1" w:lastColumn="0" w:noHBand="0" w:noVBand="1"/>
      </w:tblPr>
      <w:tblGrid>
        <w:gridCol w:w="9491"/>
      </w:tblGrid>
      <w:tr w:rsidR="003F2F51" w:rsidRPr="00E20B39" w14:paraId="6743203D" w14:textId="77777777" w:rsidTr="00684D50">
        <w:trPr>
          <w:trHeight w:val="1117"/>
        </w:trPr>
        <w:tc>
          <w:tcPr>
            <w:tcW w:w="9491" w:type="dxa"/>
          </w:tcPr>
          <w:p w14:paraId="168D3687" w14:textId="77777777" w:rsidR="003F2F51" w:rsidRPr="003F2F51" w:rsidRDefault="003F2F51" w:rsidP="008A34FB">
            <w:pPr>
              <w:pStyle w:val="Normal-pool"/>
              <w:bidi/>
              <w:spacing w:before="120" w:after="120" w:line="360" w:lineRule="exact"/>
              <w:jc w:val="both"/>
              <w:textDirection w:val="tbRlV"/>
              <w:rPr>
                <w:rFonts w:ascii="Traditional Arabic" w:hAnsi="Traditional Arabic" w:cs="Traditional Arabic"/>
                <w:i/>
                <w:sz w:val="30"/>
                <w:szCs w:val="30"/>
                <w:rtl/>
                <w:lang w:eastAsia="zh-TW"/>
              </w:rPr>
            </w:pPr>
            <w:r w:rsidRPr="003F2F51">
              <w:rPr>
                <w:rFonts w:ascii="Traditional Arabic" w:hAnsi="Traditional Arabic" w:cs="Traditional Arabic"/>
                <w:i/>
                <w:iCs/>
                <w:sz w:val="30"/>
                <w:szCs w:val="30"/>
                <w:rtl/>
                <w:lang w:eastAsia="zh-TW"/>
              </w:rPr>
              <w:t>موجز</w:t>
            </w:r>
          </w:p>
          <w:p w14:paraId="1B98B17C" w14:textId="6B348280" w:rsidR="002169A4" w:rsidRPr="002169A4" w:rsidRDefault="002169A4" w:rsidP="005E0EF6">
            <w:pPr>
              <w:tabs>
                <w:tab w:val="left" w:pos="624"/>
              </w:tabs>
              <w:spacing w:after="120" w:line="360" w:lineRule="exact"/>
              <w:ind w:left="1247" w:firstLine="624"/>
              <w:jc w:val="both"/>
              <w:textDirection w:val="tbRlV"/>
              <w:rPr>
                <w:rFonts w:ascii="Traditional Arabic" w:hAnsi="Traditional Arabic" w:cs="Traditional Arabic"/>
                <w:sz w:val="30"/>
                <w:szCs w:val="30"/>
                <w:rtl/>
                <w:lang w:val="en-GB" w:eastAsia="zh-TW"/>
              </w:rPr>
            </w:pPr>
            <w:r w:rsidRPr="002169A4">
              <w:rPr>
                <w:rFonts w:ascii="Traditional Arabic" w:hAnsi="Traditional Arabic" w:cs="Traditional Arabic"/>
                <w:b/>
                <w:sz w:val="30"/>
                <w:szCs w:val="30"/>
                <w:rtl/>
                <w:lang w:val="en-GB" w:eastAsia="zh-TW"/>
              </w:rPr>
              <w:t>طلبت جمعية الأمم المتحدة للبيئة</w:t>
            </w:r>
            <w:r w:rsidR="005E0EF6">
              <w:rPr>
                <w:rFonts w:ascii="Traditional Arabic" w:hAnsi="Traditional Arabic" w:cs="Traditional Arabic" w:hint="cs"/>
                <w:b/>
                <w:sz w:val="30"/>
                <w:szCs w:val="30"/>
                <w:rtl/>
                <w:lang w:val="en-GB" w:eastAsia="zh-TW"/>
              </w:rPr>
              <w:t xml:space="preserve"> التابعة لبرنامج الأمم المتحدة للبيئة</w:t>
            </w:r>
            <w:r w:rsidRPr="002169A4">
              <w:rPr>
                <w:rFonts w:ascii="Traditional Arabic" w:hAnsi="Traditional Arabic" w:cs="Traditional Arabic"/>
                <w:b/>
                <w:sz w:val="30"/>
                <w:szCs w:val="30"/>
                <w:rtl/>
                <w:lang w:val="en-GB" w:eastAsia="zh-TW"/>
              </w:rPr>
              <w:t xml:space="preserve"> في قرارها 2/12</w:t>
            </w:r>
            <w:r w:rsidR="005E0EF6">
              <w:rPr>
                <w:rFonts w:ascii="Traditional Arabic" w:hAnsi="Traditional Arabic" w:cs="Traditional Arabic" w:hint="cs"/>
                <w:b/>
                <w:sz w:val="30"/>
                <w:szCs w:val="30"/>
                <w:vertAlign w:val="superscript"/>
                <w:rtl/>
                <w:lang w:val="en-GB" w:eastAsia="zh-TW"/>
              </w:rPr>
              <w:t>(</w:t>
            </w:r>
            <w:r w:rsidR="005E0EF6" w:rsidRPr="005E0EF6">
              <w:rPr>
                <w:rFonts w:ascii="Traditional Arabic" w:hAnsi="Traditional Arabic" w:cs="Traditional Arabic"/>
                <w:b/>
                <w:sz w:val="30"/>
                <w:szCs w:val="30"/>
                <w:vertAlign w:val="superscript"/>
                <w:rtl/>
                <w:lang w:eastAsia="zh-TW"/>
              </w:rPr>
              <w:footnoteReference w:id="2"/>
            </w:r>
            <w:r w:rsidR="005E0EF6">
              <w:rPr>
                <w:rFonts w:ascii="Traditional Arabic" w:hAnsi="Traditional Arabic" w:cs="Traditional Arabic" w:hint="cs"/>
                <w:b/>
                <w:sz w:val="30"/>
                <w:szCs w:val="30"/>
                <w:vertAlign w:val="superscript"/>
                <w:rtl/>
                <w:lang w:val="en-GB" w:eastAsia="zh-TW"/>
              </w:rPr>
              <w:t>)</w:t>
            </w:r>
            <w:r w:rsidR="005E0EF6">
              <w:rPr>
                <w:rFonts w:ascii="Traditional Arabic" w:hAnsi="Traditional Arabic" w:cs="Traditional Arabic" w:hint="cs"/>
                <w:b/>
                <w:sz w:val="30"/>
                <w:szCs w:val="30"/>
                <w:rtl/>
                <w:lang w:val="en-GB" w:eastAsia="zh-TW"/>
              </w:rPr>
              <w:t xml:space="preserve">، </w:t>
            </w:r>
            <w:r w:rsidRPr="002169A4">
              <w:rPr>
                <w:rFonts w:ascii="Traditional Arabic" w:hAnsi="Traditional Arabic" w:cs="Traditional Arabic"/>
                <w:b/>
                <w:sz w:val="30"/>
                <w:szCs w:val="30"/>
                <w:rtl/>
                <w:lang w:val="en-GB" w:eastAsia="zh-TW"/>
              </w:rPr>
              <w:t xml:space="preserve">بشأن الإدارة المستدامة للشعاب المرجانية، إلى المدير التنفيذي </w:t>
            </w:r>
            <w:r w:rsidR="005E0EF6">
              <w:rPr>
                <w:rFonts w:ascii="Traditional Arabic" w:hAnsi="Traditional Arabic" w:cs="Traditional Arabic" w:hint="cs"/>
                <w:b/>
                <w:sz w:val="30"/>
                <w:szCs w:val="30"/>
                <w:rtl/>
                <w:lang w:val="en-GB" w:eastAsia="zh-TW"/>
              </w:rPr>
              <w:t>لبرنامج البيئة</w:t>
            </w:r>
            <w:r w:rsidR="005E0EF6" w:rsidRPr="002169A4">
              <w:rPr>
                <w:rFonts w:ascii="Traditional Arabic" w:hAnsi="Traditional Arabic" w:cs="Traditional Arabic"/>
                <w:b/>
                <w:sz w:val="30"/>
                <w:szCs w:val="30"/>
                <w:rtl/>
                <w:lang w:val="en-GB" w:eastAsia="zh-TW"/>
              </w:rPr>
              <w:t xml:space="preserve"> </w:t>
            </w:r>
            <w:r w:rsidRPr="002169A4">
              <w:rPr>
                <w:rFonts w:ascii="Traditional Arabic" w:hAnsi="Traditional Arabic" w:cs="Traditional Arabic"/>
                <w:b/>
                <w:sz w:val="30"/>
                <w:szCs w:val="30"/>
                <w:rtl/>
                <w:lang w:val="en-GB" w:eastAsia="zh-TW"/>
              </w:rPr>
              <w:t>أن يعدُ، بحلول عام 2018، وبالتعاون مع المبادرة الدولية للشعاب المرجانية وغيرها من المنظمات والجهات الشريكة المعنية، تحليلاً للأدوات السياساتية وآليات الحوكمة العالمية والإقليمية المعنية بحماية الشعاب المرجانية وإدارتها المستدامة.</w:t>
            </w:r>
          </w:p>
          <w:p w14:paraId="1A311018" w14:textId="587F52BF" w:rsidR="003F2F51" w:rsidRPr="003F2F51" w:rsidRDefault="002169A4" w:rsidP="00B63ACB">
            <w:pPr>
              <w:tabs>
                <w:tab w:val="left" w:pos="624"/>
              </w:tabs>
              <w:spacing w:after="240" w:line="360" w:lineRule="exact"/>
              <w:ind w:left="1247" w:firstLine="624"/>
              <w:jc w:val="both"/>
              <w:textDirection w:val="tbRlV"/>
              <w:rPr>
                <w:rFonts w:ascii="Traditional Arabic" w:hAnsi="Traditional Arabic"/>
                <w:sz w:val="30"/>
                <w:rtl/>
                <w:lang w:eastAsia="zh-TW"/>
              </w:rPr>
            </w:pPr>
            <w:r w:rsidRPr="002169A4">
              <w:rPr>
                <w:rFonts w:ascii="Traditional Arabic" w:hAnsi="Traditional Arabic" w:cs="Traditional Arabic"/>
                <w:b/>
                <w:sz w:val="30"/>
                <w:szCs w:val="30"/>
                <w:rtl/>
                <w:lang w:val="en-GB" w:eastAsia="zh-TW"/>
              </w:rPr>
              <w:t xml:space="preserve">ويوجز هذا التقرير النتائج الرئيسية للتحليل المنجز (الوارد في الوثيقة </w:t>
            </w:r>
            <w:r w:rsidRPr="002169A4">
              <w:rPr>
                <w:rFonts w:asciiTheme="majorBidi" w:hAnsiTheme="majorBidi" w:cstheme="majorBidi"/>
                <w:bCs/>
                <w:sz w:val="20"/>
                <w:szCs w:val="20"/>
                <w:lang w:val="en-GB" w:eastAsia="zh-TW"/>
              </w:rPr>
              <w:t>UNEP/EA.4/INF/</w:t>
            </w:r>
            <w:r w:rsidR="005E0EF6">
              <w:rPr>
                <w:rFonts w:asciiTheme="majorBidi" w:hAnsiTheme="majorBidi" w:cstheme="majorBidi"/>
                <w:bCs/>
                <w:sz w:val="20"/>
                <w:szCs w:val="20"/>
                <w:lang w:val="en-GB" w:eastAsia="zh-TW"/>
              </w:rPr>
              <w:t>6</w:t>
            </w:r>
            <w:r w:rsidRPr="008A34FB">
              <w:rPr>
                <w:rFonts w:asciiTheme="majorBidi" w:hAnsiTheme="majorBidi" w:cstheme="majorBidi"/>
                <w:b/>
                <w:sz w:val="20"/>
                <w:szCs w:val="20"/>
                <w:rtl/>
                <w:lang w:val="en-GB" w:eastAsia="zh-TW"/>
              </w:rPr>
              <w:t>)</w:t>
            </w:r>
            <w:r w:rsidRPr="002169A4">
              <w:rPr>
                <w:rFonts w:ascii="Traditional Arabic" w:hAnsi="Traditional Arabic" w:cs="Traditional Arabic"/>
                <w:b/>
                <w:sz w:val="30"/>
                <w:szCs w:val="30"/>
                <w:rtl/>
                <w:lang w:val="en-GB" w:eastAsia="zh-TW"/>
              </w:rPr>
              <w:t xml:space="preserve"> ويقدم توصيات للعمل.</w:t>
            </w:r>
          </w:p>
        </w:tc>
      </w:tr>
    </w:tbl>
    <w:p w14:paraId="016D7A3C" w14:textId="77777777" w:rsidR="003E4388" w:rsidRDefault="003E4388">
      <w:pPr>
        <w:bidi w:val="0"/>
        <w:rPr>
          <w:rFonts w:ascii="Traditional Arabic" w:hAnsi="Traditional Arabic" w:cs="Traditional Arabic"/>
          <w:sz w:val="30"/>
          <w:szCs w:val="30"/>
          <w:rtl/>
          <w:lang w:val="en-GB" w:eastAsia="zh-TW"/>
        </w:rPr>
      </w:pPr>
      <w:r>
        <w:rPr>
          <w:rFonts w:ascii="Traditional Arabic" w:hAnsi="Traditional Arabic" w:cs="Traditional Arabic"/>
          <w:sz w:val="30"/>
          <w:szCs w:val="30"/>
          <w:rtl/>
          <w:lang w:val="en-GB" w:eastAsia="zh-TW"/>
        </w:rPr>
        <w:br w:type="page"/>
      </w:r>
    </w:p>
    <w:p w14:paraId="14DEDBBC" w14:textId="4CBEE067" w:rsidR="002169A4" w:rsidRPr="002169A4" w:rsidRDefault="002169A4" w:rsidP="00B63ACB">
      <w:pPr>
        <w:keepNext/>
        <w:keepLines/>
        <w:tabs>
          <w:tab w:val="left" w:pos="2381"/>
          <w:tab w:val="left" w:pos="2948"/>
          <w:tab w:val="left" w:pos="3515"/>
          <w:tab w:val="left" w:pos="4082"/>
        </w:tabs>
        <w:suppressAutoHyphens/>
        <w:spacing w:before="240" w:after="120" w:line="400" w:lineRule="exact"/>
        <w:ind w:left="1132" w:right="284" w:hanging="708"/>
        <w:jc w:val="both"/>
        <w:textDirection w:val="tbRlV"/>
        <w:rPr>
          <w:rFonts w:ascii="Traditional Arabic" w:hAnsi="Traditional Arabic" w:cs="Traditional Arabic"/>
          <w:bCs/>
          <w:sz w:val="32"/>
          <w:szCs w:val="32"/>
          <w:rtl/>
          <w:lang w:val="en-GB" w:eastAsia="zh-TW"/>
        </w:rPr>
      </w:pPr>
      <w:bookmarkStart w:id="1" w:name="TmpSave"/>
      <w:bookmarkEnd w:id="1"/>
      <w:r w:rsidRPr="002169A4">
        <w:rPr>
          <w:rFonts w:ascii="Traditional Arabic" w:hAnsi="Traditional Arabic" w:cs="Traditional Arabic"/>
          <w:bCs/>
          <w:sz w:val="32"/>
          <w:szCs w:val="32"/>
          <w:rtl/>
          <w:lang w:val="en-GB" w:eastAsia="zh-TW"/>
        </w:rPr>
        <w:lastRenderedPageBreak/>
        <w:t>أولا</w:t>
      </w:r>
      <w:r>
        <w:rPr>
          <w:rFonts w:ascii="Traditional Arabic" w:hAnsi="Traditional Arabic" w:cs="Traditional Arabic" w:hint="cs"/>
          <w:bCs/>
          <w:sz w:val="32"/>
          <w:szCs w:val="32"/>
          <w:rtl/>
          <w:lang w:val="en-GB" w:eastAsia="zh-TW"/>
        </w:rPr>
        <w:t>ً</w:t>
      </w:r>
      <w:r w:rsidR="00B63ACB">
        <w:rPr>
          <w:rFonts w:ascii="Traditional Arabic" w:hAnsi="Traditional Arabic" w:cs="Traditional Arabic" w:hint="cs"/>
          <w:bCs/>
          <w:sz w:val="32"/>
          <w:szCs w:val="32"/>
          <w:rtl/>
          <w:lang w:val="en-GB" w:eastAsia="zh-TW"/>
        </w:rPr>
        <w:t xml:space="preserve"> </w:t>
      </w:r>
      <w:r w:rsidRPr="002169A4">
        <w:rPr>
          <w:rFonts w:ascii="Traditional Arabic" w:hAnsi="Traditional Arabic" w:cs="Traditional Arabic"/>
          <w:bCs/>
          <w:sz w:val="32"/>
          <w:szCs w:val="32"/>
          <w:rtl/>
          <w:lang w:val="en-GB" w:eastAsia="zh-TW"/>
        </w:rPr>
        <w:t>-</w:t>
      </w:r>
      <w:r>
        <w:rPr>
          <w:rFonts w:ascii="Traditional Arabic" w:hAnsi="Traditional Arabic" w:cs="Traditional Arabic"/>
          <w:bCs/>
          <w:sz w:val="32"/>
          <w:szCs w:val="32"/>
          <w:rtl/>
          <w:lang w:val="en-GB" w:eastAsia="zh-TW"/>
        </w:rPr>
        <w:tab/>
      </w:r>
      <w:r w:rsidRPr="002169A4">
        <w:rPr>
          <w:rFonts w:ascii="Traditional Arabic" w:hAnsi="Traditional Arabic" w:cs="Traditional Arabic"/>
          <w:bCs/>
          <w:sz w:val="32"/>
          <w:szCs w:val="32"/>
          <w:rtl/>
          <w:lang w:val="en-GB" w:eastAsia="zh-TW"/>
        </w:rPr>
        <w:t>تحليل الأدوات السياساتية وآليات الحوكمة ذات الصلة</w:t>
      </w:r>
    </w:p>
    <w:p w14:paraId="44A08507" w14:textId="51B3BB17" w:rsidR="002169A4" w:rsidRPr="002169A4" w:rsidRDefault="002169A4" w:rsidP="008A34FB">
      <w:pPr>
        <w:pStyle w:val="ListParagraph"/>
        <w:numPr>
          <w:ilvl w:val="0"/>
          <w:numId w:val="6"/>
        </w:numPr>
        <w:tabs>
          <w:tab w:val="left" w:pos="1841"/>
          <w:tab w:val="left" w:pos="2381"/>
          <w:tab w:val="left" w:pos="2948"/>
          <w:tab w:val="left" w:pos="3515"/>
          <w:tab w:val="left" w:pos="4082"/>
        </w:tabs>
        <w:spacing w:after="120" w:line="400" w:lineRule="exact"/>
        <w:ind w:left="1132" w:firstLine="0"/>
        <w:jc w:val="both"/>
        <w:textDirection w:val="tbRlV"/>
        <w:rPr>
          <w:rFonts w:ascii="Traditional Arabic" w:hAnsi="Traditional Arabic" w:cs="Traditional Arabic"/>
          <w:sz w:val="30"/>
          <w:szCs w:val="30"/>
          <w:rtl/>
          <w:lang w:val="en-GB" w:eastAsia="zh-TW"/>
        </w:rPr>
      </w:pPr>
      <w:r w:rsidRPr="002169A4">
        <w:rPr>
          <w:rFonts w:ascii="Traditional Arabic" w:hAnsi="Traditional Arabic" w:cs="Traditional Arabic"/>
          <w:sz w:val="30"/>
          <w:szCs w:val="30"/>
          <w:rtl/>
          <w:lang w:val="en-GB" w:eastAsia="zh-TW"/>
        </w:rPr>
        <w:t xml:space="preserve">أجرى برنامج الأمم المتحدة للبيئة تحليلاً </w:t>
      </w:r>
      <w:r>
        <w:rPr>
          <w:rFonts w:ascii="Traditional Arabic" w:hAnsi="Traditional Arabic" w:cs="Traditional Arabic" w:hint="cs"/>
          <w:sz w:val="30"/>
          <w:szCs w:val="30"/>
          <w:rtl/>
          <w:lang w:val="en-GB" w:eastAsia="zh-TW"/>
        </w:rPr>
        <w:t>ل</w:t>
      </w:r>
      <w:r w:rsidRPr="002169A4">
        <w:rPr>
          <w:rFonts w:ascii="Traditional Arabic" w:hAnsi="Traditional Arabic" w:cs="Traditional Arabic"/>
          <w:sz w:val="30"/>
          <w:szCs w:val="30"/>
          <w:rtl/>
          <w:lang w:val="en-GB" w:eastAsia="zh-TW"/>
        </w:rPr>
        <w:t>لأدوات السياساتية وآليات الحوكمة العالمية والإقليمية المعنية بحماية الشعاب المرجانية وإدارتها المستدامة</w:t>
      </w:r>
      <w:r>
        <w:rPr>
          <w:rFonts w:ascii="Traditional Arabic" w:hAnsi="Traditional Arabic" w:cs="Traditional Arabic" w:hint="cs"/>
          <w:sz w:val="30"/>
          <w:szCs w:val="30"/>
          <w:vertAlign w:val="superscript"/>
          <w:rtl/>
          <w:lang w:val="en-GB" w:eastAsia="zh-TW"/>
        </w:rPr>
        <w:t>(</w:t>
      </w:r>
      <w:r w:rsidRPr="002169A4">
        <w:rPr>
          <w:rFonts w:ascii="Traditional Arabic" w:hAnsi="Traditional Arabic" w:cs="Traditional Arabic"/>
          <w:i/>
          <w:sz w:val="30"/>
          <w:szCs w:val="30"/>
          <w:vertAlign w:val="superscript"/>
          <w:rtl/>
          <w:lang w:val="en-GB" w:eastAsia="zh-TW"/>
        </w:rPr>
        <w:footnoteReference w:id="3"/>
      </w:r>
      <w:r>
        <w:rPr>
          <w:rFonts w:ascii="Traditional Arabic" w:hAnsi="Traditional Arabic" w:cs="Traditional Arabic" w:hint="cs"/>
          <w:sz w:val="30"/>
          <w:szCs w:val="30"/>
          <w:vertAlign w:val="superscript"/>
          <w:rtl/>
          <w:lang w:val="en-GB" w:eastAsia="zh-TW"/>
        </w:rPr>
        <w:t>)</w:t>
      </w:r>
      <w:r w:rsidRPr="002169A4">
        <w:rPr>
          <w:rFonts w:ascii="Traditional Arabic" w:hAnsi="Traditional Arabic" w:cs="Traditional Arabic"/>
          <w:sz w:val="30"/>
          <w:szCs w:val="30"/>
          <w:rtl/>
          <w:lang w:val="en-GB" w:eastAsia="zh-TW"/>
        </w:rPr>
        <w:t xml:space="preserve"> بالتعاون مع جامعة ديوك والمبادرة الدولية للشعاب المرجانية وذلك بتوجيه ودعم من لجنة استشارية مؤلفة من ٢٣ خبيراً رشحتهم 14 دولة من الدول الأعضاء. واجتمعت اللجنة مرتين في العام ٢٠١٨ لاستعراض منهجية التحليل واستعراض مشروع التقرير وإعداد قائمة بإجراءات المتابعة الموصى بها. ثم جرى استعراض التقرير من 15 مراجعاً رشحتهم </w:t>
      </w:r>
      <w:r>
        <w:rPr>
          <w:rFonts w:ascii="Traditional Arabic" w:hAnsi="Traditional Arabic" w:cs="Traditional Arabic" w:hint="cs"/>
          <w:sz w:val="30"/>
          <w:szCs w:val="30"/>
          <w:rtl/>
          <w:lang w:val="en-GB" w:eastAsia="zh-TW"/>
        </w:rPr>
        <w:t>الدول الأعضاء وممثلو أ</w:t>
      </w:r>
      <w:r w:rsidRPr="002169A4">
        <w:rPr>
          <w:rFonts w:ascii="Traditional Arabic" w:hAnsi="Traditional Arabic" w:cs="Traditional Arabic"/>
          <w:sz w:val="30"/>
          <w:szCs w:val="30"/>
          <w:rtl/>
          <w:lang w:val="en-GB" w:eastAsia="zh-TW"/>
        </w:rPr>
        <w:t>مانات الاتفاقات البيئية المتعددة الأطراف المعنية، وكيانات الأمم المتحدة والمؤسسات الأكاديمية ذات الصلة.</w:t>
      </w:r>
    </w:p>
    <w:p w14:paraId="5D1C2D31" w14:textId="378E9DAC" w:rsidR="002169A4" w:rsidRPr="002169A4" w:rsidRDefault="002169A4" w:rsidP="00B63ACB">
      <w:pPr>
        <w:pStyle w:val="ListParagraph"/>
        <w:numPr>
          <w:ilvl w:val="0"/>
          <w:numId w:val="6"/>
        </w:numPr>
        <w:tabs>
          <w:tab w:val="left" w:pos="1841"/>
          <w:tab w:val="left" w:pos="2381"/>
          <w:tab w:val="left" w:pos="2948"/>
          <w:tab w:val="left" w:pos="3515"/>
          <w:tab w:val="left" w:pos="4082"/>
        </w:tabs>
        <w:spacing w:after="120" w:line="380" w:lineRule="exact"/>
        <w:ind w:left="1132" w:firstLine="0"/>
        <w:jc w:val="both"/>
        <w:textDirection w:val="tbRlV"/>
        <w:rPr>
          <w:rFonts w:ascii="Traditional Arabic" w:hAnsi="Traditional Arabic" w:cs="Traditional Arabic"/>
          <w:sz w:val="30"/>
          <w:szCs w:val="30"/>
          <w:rtl/>
          <w:lang w:val="en-GB" w:eastAsia="zh-TW"/>
        </w:rPr>
      </w:pPr>
      <w:r w:rsidRPr="002169A4">
        <w:rPr>
          <w:rFonts w:ascii="Traditional Arabic" w:hAnsi="Traditional Arabic" w:cs="Traditional Arabic"/>
          <w:sz w:val="30"/>
          <w:szCs w:val="30"/>
          <w:rtl/>
          <w:lang w:val="en-GB" w:eastAsia="zh-TW"/>
        </w:rPr>
        <w:t xml:space="preserve">ويشمل التحليل 232 من أدوات السياسة العامة الدولية التي تدعم بصورة مباشرة أو غير مباشرة حفظ الإدارة المستدامة للنظم الإيكولوجية للشعاب المرجانية و/أو تعالج دوافع التغيير البشرية المنشأ في هذه النظم الإيكولوجية. وتتضمن هذه الأدوات 150 صكاً عالمياً منها 29 صكاً ملزماً، و82 صكاً إقليمياً (منها 32 صكاً إقليمياً يتعلق بالبحار) و44 من هذه الأخيرة ملزم. وتتضمن جملة السياسات الدولية المتعلقة بالشعاب ما لا يقل عن 591 التزاماً مستقلاً بمعالجة الدوافع المتنوعة البشرية المنشأ </w:t>
      </w:r>
      <w:r>
        <w:rPr>
          <w:rFonts w:ascii="Traditional Arabic" w:hAnsi="Traditional Arabic" w:cs="Traditional Arabic" w:hint="cs"/>
          <w:sz w:val="30"/>
          <w:szCs w:val="30"/>
          <w:rtl/>
          <w:lang w:val="en-GB" w:eastAsia="zh-TW"/>
        </w:rPr>
        <w:t>للتغيرات في</w:t>
      </w:r>
      <w:r w:rsidRPr="002169A4">
        <w:rPr>
          <w:rFonts w:ascii="Traditional Arabic" w:hAnsi="Traditional Arabic" w:cs="Traditional Arabic"/>
          <w:sz w:val="30"/>
          <w:szCs w:val="30"/>
          <w:rtl/>
          <w:lang w:val="en-GB" w:eastAsia="zh-TW"/>
        </w:rPr>
        <w:t xml:space="preserve"> النظم الإيكولوجية للشعاب المرجانية. وتشمل الأدوات العديد من الأهداف المحددة زمنياً والقابلة للقياس المصممة من أجل تحقيق نتائج محددة متصلة بالنظم الإيكولوجية للشعاب المرجانية أو بدوافع التغيير البشرية المنشأ التي تؤثر </w:t>
      </w:r>
      <w:r w:rsidRPr="002169A4">
        <w:rPr>
          <w:rFonts w:ascii="Traditional Arabic" w:hAnsi="Traditional Arabic" w:cs="Traditional Arabic" w:hint="cs"/>
          <w:sz w:val="30"/>
          <w:szCs w:val="30"/>
          <w:rtl/>
          <w:lang w:val="en-GB" w:eastAsia="zh-TW"/>
        </w:rPr>
        <w:t>فيها</w:t>
      </w:r>
      <w:r w:rsidR="00B63ACB">
        <w:rPr>
          <w:rFonts w:ascii="Traditional Arabic" w:hAnsi="Traditional Arabic" w:cs="Traditional Arabic" w:hint="cs"/>
          <w:sz w:val="30"/>
          <w:szCs w:val="30"/>
          <w:rtl/>
          <w:lang w:val="en-GB" w:eastAsia="zh-TW"/>
        </w:rPr>
        <w:t xml:space="preserve"> -</w:t>
      </w:r>
      <w:r w:rsidRPr="002169A4">
        <w:rPr>
          <w:rFonts w:ascii="Traditional Arabic" w:hAnsi="Traditional Arabic" w:cs="Traditional Arabic"/>
          <w:sz w:val="30"/>
          <w:szCs w:val="30"/>
          <w:rtl/>
          <w:lang w:val="en-GB" w:eastAsia="zh-TW"/>
        </w:rPr>
        <w:t xml:space="preserve"> ٧٩ هدفاً (منها 11 هدفاً انقضى أجلها) و٥٩ هدفاً إقليمياً. وتوجه نسبة تفوق ٨٥ في المائة من التزامات السياسة العامة المتعلقة بالشعاب المرجانية نحو التخطيط والعمليات، وتتولى الدول المسؤولية الأساسية عن ٧٥ في المائة من الالتزامات. وتجسد هذه الحالة أن القانون الدولي يخضع معظم الشعاب المرجانية في العالم لولاية عدد قليل نسبياً من الدول. (فعلى سبيل المثال، يقدر أن نسبة ٨٥ في المائة من الشعاب المرجانية للمياه الدافئة تخضع لولاية 25 دولة</w:t>
      </w:r>
      <w:r w:rsidR="00B63ACB">
        <w:rPr>
          <w:rFonts w:ascii="Traditional Arabic" w:hAnsi="Traditional Arabic" w:cs="Traditional Arabic" w:hint="cs"/>
          <w:sz w:val="30"/>
          <w:szCs w:val="30"/>
          <w:rtl/>
          <w:lang w:val="en-GB" w:eastAsia="zh-TW"/>
        </w:rPr>
        <w:t>.</w:t>
      </w:r>
      <w:r w:rsidRPr="002169A4">
        <w:rPr>
          <w:rFonts w:ascii="Traditional Arabic" w:hAnsi="Traditional Arabic" w:cs="Traditional Arabic"/>
          <w:sz w:val="30"/>
          <w:szCs w:val="30"/>
          <w:rtl/>
          <w:lang w:val="en-GB" w:eastAsia="zh-TW"/>
        </w:rPr>
        <w:t>)</w:t>
      </w:r>
    </w:p>
    <w:p w14:paraId="1CFE8DDD" w14:textId="7543AA38" w:rsidR="002169A4" w:rsidRPr="002169A4" w:rsidRDefault="002169A4" w:rsidP="00B63ACB">
      <w:pPr>
        <w:pStyle w:val="ListParagraph"/>
        <w:numPr>
          <w:ilvl w:val="0"/>
          <w:numId w:val="6"/>
        </w:numPr>
        <w:tabs>
          <w:tab w:val="left" w:pos="1841"/>
          <w:tab w:val="left" w:pos="2381"/>
          <w:tab w:val="left" w:pos="2948"/>
          <w:tab w:val="left" w:pos="3515"/>
          <w:tab w:val="left" w:pos="4082"/>
        </w:tabs>
        <w:spacing w:after="120" w:line="380" w:lineRule="exact"/>
        <w:ind w:left="1132" w:firstLine="0"/>
        <w:jc w:val="both"/>
        <w:textDirection w:val="tbRlV"/>
        <w:rPr>
          <w:rFonts w:ascii="Traditional Arabic" w:hAnsi="Traditional Arabic" w:cs="Traditional Arabic"/>
          <w:sz w:val="30"/>
          <w:szCs w:val="30"/>
          <w:rtl/>
          <w:lang w:val="en-GB" w:eastAsia="zh-TW"/>
        </w:rPr>
      </w:pPr>
      <w:r w:rsidRPr="002169A4">
        <w:rPr>
          <w:rFonts w:ascii="Traditional Arabic" w:hAnsi="Traditional Arabic" w:cs="Traditional Arabic"/>
          <w:sz w:val="30"/>
          <w:szCs w:val="30"/>
          <w:rtl/>
          <w:lang w:val="en-GB" w:eastAsia="zh-TW"/>
        </w:rPr>
        <w:t>وعلى الرغم من أن نطاق السياسات الدولية المتعلقة بالشعاب المرجانية يتسم بالاتساع الشاسع، فالعمق الذي تتسم به أقل: الالتزامات السياساتية عامة جداً وطوعية إلى حد كبير. ويركز الكثير منها على ”النظم الإيكولوجية البحرية والساحلية“ أو على الأنشطة البشرية التي قد تدفع التغيرات في النظم الإيكولوجية للشعاب المرجانية، بدلا</w:t>
      </w:r>
      <w:r w:rsidR="00B63ACB">
        <w:rPr>
          <w:rFonts w:ascii="Traditional Arabic" w:hAnsi="Traditional Arabic" w:cs="Traditional Arabic" w:hint="cs"/>
          <w:sz w:val="30"/>
          <w:szCs w:val="30"/>
          <w:rtl/>
          <w:lang w:val="en-GB" w:eastAsia="zh-TW"/>
        </w:rPr>
        <w:t>ً</w:t>
      </w:r>
      <w:r w:rsidRPr="002169A4">
        <w:rPr>
          <w:rFonts w:ascii="Traditional Arabic" w:hAnsi="Traditional Arabic" w:cs="Traditional Arabic"/>
          <w:sz w:val="30"/>
          <w:szCs w:val="30"/>
          <w:rtl/>
          <w:lang w:val="en-GB" w:eastAsia="zh-TW"/>
        </w:rPr>
        <w:t xml:space="preserve"> من التركيز على النظام الإيكولوجي للشعاب المرجانية نفسها.</w:t>
      </w:r>
    </w:p>
    <w:p w14:paraId="6C9521B0" w14:textId="17CAE466" w:rsidR="002169A4" w:rsidRPr="002169A4" w:rsidRDefault="002169A4" w:rsidP="00B63ACB">
      <w:pPr>
        <w:pStyle w:val="ListParagraph"/>
        <w:numPr>
          <w:ilvl w:val="0"/>
          <w:numId w:val="6"/>
        </w:numPr>
        <w:tabs>
          <w:tab w:val="left" w:pos="1841"/>
          <w:tab w:val="left" w:pos="2381"/>
          <w:tab w:val="left" w:pos="2948"/>
          <w:tab w:val="left" w:pos="3515"/>
          <w:tab w:val="left" w:pos="4082"/>
        </w:tabs>
        <w:spacing w:after="120" w:line="380" w:lineRule="exact"/>
        <w:ind w:left="1134" w:firstLine="0"/>
        <w:jc w:val="both"/>
        <w:textDirection w:val="tbRlV"/>
        <w:rPr>
          <w:rFonts w:ascii="Traditional Arabic" w:hAnsi="Traditional Arabic" w:cs="Traditional Arabic"/>
          <w:sz w:val="30"/>
          <w:szCs w:val="30"/>
          <w:rtl/>
          <w:lang w:val="en-GB" w:eastAsia="zh-TW"/>
        </w:rPr>
      </w:pPr>
      <w:r w:rsidRPr="002169A4">
        <w:rPr>
          <w:rFonts w:ascii="Traditional Arabic" w:hAnsi="Traditional Arabic" w:cs="Traditional Arabic"/>
          <w:sz w:val="30"/>
          <w:szCs w:val="30"/>
          <w:rtl/>
          <w:lang w:val="en-GB" w:eastAsia="zh-TW"/>
        </w:rPr>
        <w:t>وتعتمد كفاءة الأدوات الدولية للسياسات العامة اعتماداً جزئياً على الآليات التي تعمل من خلالها، بما في ذلك آليات التنسيق والتنفيذ والتمويل. ويمثل التنسيق على نطاق ٢٣٢ من الأدوات الدولية للسياسات العامة ذات الصلة بالشعاب الدولية تحديا</w:t>
      </w:r>
      <w:r w:rsidR="00B63ACB">
        <w:rPr>
          <w:rFonts w:ascii="Traditional Arabic" w:hAnsi="Traditional Arabic" w:cs="Traditional Arabic" w:hint="cs"/>
          <w:sz w:val="30"/>
          <w:szCs w:val="30"/>
          <w:rtl/>
          <w:lang w:val="en-GB" w:eastAsia="zh-TW"/>
        </w:rPr>
        <w:t>ً</w:t>
      </w:r>
      <w:r w:rsidRPr="002169A4">
        <w:rPr>
          <w:rFonts w:ascii="Traditional Arabic" w:hAnsi="Traditional Arabic" w:cs="Traditional Arabic"/>
          <w:sz w:val="30"/>
          <w:szCs w:val="30"/>
          <w:rtl/>
          <w:lang w:val="en-GB" w:eastAsia="zh-TW"/>
        </w:rPr>
        <w:t xml:space="preserve"> خاصا</w:t>
      </w:r>
      <w:r w:rsidR="00B63ACB">
        <w:rPr>
          <w:rFonts w:ascii="Traditional Arabic" w:hAnsi="Traditional Arabic" w:cs="Traditional Arabic" w:hint="cs"/>
          <w:sz w:val="30"/>
          <w:szCs w:val="30"/>
          <w:rtl/>
          <w:lang w:val="en-GB" w:eastAsia="zh-TW"/>
        </w:rPr>
        <w:t>ً</w:t>
      </w:r>
      <w:r w:rsidRPr="002169A4">
        <w:rPr>
          <w:rFonts w:ascii="Traditional Arabic" w:hAnsi="Traditional Arabic" w:cs="Traditional Arabic"/>
          <w:sz w:val="30"/>
          <w:szCs w:val="30"/>
          <w:rtl/>
          <w:lang w:val="en-GB" w:eastAsia="zh-TW"/>
        </w:rPr>
        <w:t xml:space="preserve">. ويتطلب الطابع العابر للحدود للشعاب المرجانية والضغوط المترتبة عليها توخي الاتساق والتنسيق بين الجهود المبذولة على الصعد الوطنية والإقليمية والعالمية لكي تكون فعالة، تمشياً مع نهج النظام الإيكولوجي. ولا توجد سوى آليات قليلة أنشأتها أو حددتها الصكوك بشكل واضح من أجل تعزيز التنسيق. ولا ترتبط معظم أدوات السياسة العامة بآليات مالية للمساعدة في تمويل التكاليف المصاحبة، مما يمثل تحدياً للعديد من الدول ذات الدخل المنخفض التي تتولى مسؤولية تنفيذ التزامات تتعلق بالشعاب. ولا يذكر سوى نحو ٢٥ في المائة من </w:t>
      </w:r>
      <w:r w:rsidRPr="002169A4">
        <w:rPr>
          <w:rFonts w:ascii="Traditional Arabic" w:hAnsi="Traditional Arabic" w:cs="Traditional Arabic" w:hint="cs"/>
          <w:sz w:val="30"/>
          <w:szCs w:val="30"/>
          <w:rtl/>
          <w:lang w:val="en-GB" w:eastAsia="zh-TW"/>
        </w:rPr>
        <w:t xml:space="preserve">الأدوات </w:t>
      </w:r>
      <w:r w:rsidR="00B63ACB">
        <w:rPr>
          <w:rFonts w:ascii="Traditional Arabic" w:hAnsi="Traditional Arabic" w:cs="Traditional Arabic" w:hint="cs"/>
          <w:sz w:val="30"/>
          <w:szCs w:val="30"/>
          <w:rtl/>
          <w:lang w:val="en-GB" w:eastAsia="zh-TW"/>
        </w:rPr>
        <w:t>-</w:t>
      </w:r>
      <w:r w:rsidRPr="002169A4">
        <w:rPr>
          <w:rFonts w:ascii="Traditional Arabic" w:hAnsi="Traditional Arabic" w:cs="Traditional Arabic"/>
          <w:sz w:val="30"/>
          <w:szCs w:val="30"/>
          <w:rtl/>
          <w:lang w:val="en-GB" w:eastAsia="zh-TW"/>
        </w:rPr>
        <w:t xml:space="preserve"> معظمها يتعلق تغير المناخ </w:t>
      </w:r>
      <w:r w:rsidR="00B63ACB">
        <w:rPr>
          <w:rFonts w:ascii="Traditional Arabic" w:hAnsi="Traditional Arabic" w:cs="Traditional Arabic" w:hint="cs"/>
          <w:sz w:val="30"/>
          <w:szCs w:val="30"/>
          <w:rtl/>
          <w:lang w:val="en-GB" w:eastAsia="zh-TW"/>
        </w:rPr>
        <w:t>-</w:t>
      </w:r>
      <w:r w:rsidRPr="002169A4">
        <w:rPr>
          <w:rFonts w:ascii="Traditional Arabic" w:hAnsi="Traditional Arabic" w:cs="Traditional Arabic"/>
          <w:sz w:val="30"/>
          <w:szCs w:val="30"/>
          <w:rtl/>
          <w:lang w:val="en-GB" w:eastAsia="zh-TW"/>
        </w:rPr>
        <w:t xml:space="preserve"> </w:t>
      </w:r>
      <w:r w:rsidRPr="002169A4">
        <w:rPr>
          <w:rFonts w:ascii="Traditional Arabic" w:hAnsi="Traditional Arabic" w:cs="Traditional Arabic" w:hint="cs"/>
          <w:sz w:val="30"/>
          <w:szCs w:val="30"/>
          <w:rtl/>
          <w:lang w:val="en-GB" w:eastAsia="zh-TW"/>
        </w:rPr>
        <w:t>أحكاماً أو</w:t>
      </w:r>
      <w:r w:rsidRPr="002169A4">
        <w:rPr>
          <w:rFonts w:ascii="Traditional Arabic" w:hAnsi="Traditional Arabic" w:cs="Traditional Arabic"/>
          <w:sz w:val="30"/>
          <w:szCs w:val="30"/>
          <w:rtl/>
          <w:lang w:val="en-GB" w:eastAsia="zh-TW"/>
        </w:rPr>
        <w:t xml:space="preserve"> آليات للتمويل، والقليل من هذه النسبة يورد إشارات تصف وضع أو تعزيز الآليات المالية؛ ومعظم الإشارات يمكن وصفها بأنها تدعو بوجه عام إلى تقديم تمويل إضافي. ولا تظهر الإشارات إلى آليات الإنفاذ إلا في ١٣ في المائة من الالتزامات السياساتية ذات الصلة بالشعاب المرجانية. وي</w:t>
      </w:r>
      <w:r w:rsidR="006B4B1D">
        <w:rPr>
          <w:rFonts w:ascii="Traditional Arabic" w:hAnsi="Traditional Arabic" w:cs="Traditional Arabic" w:hint="cs"/>
          <w:sz w:val="30"/>
          <w:szCs w:val="30"/>
          <w:rtl/>
          <w:lang w:val="en-GB" w:eastAsia="zh-TW"/>
        </w:rPr>
        <w:t>ُ</w:t>
      </w:r>
      <w:r w:rsidRPr="002169A4">
        <w:rPr>
          <w:rFonts w:ascii="Traditional Arabic" w:hAnsi="Traditional Arabic" w:cs="Traditional Arabic"/>
          <w:sz w:val="30"/>
          <w:szCs w:val="30"/>
          <w:rtl/>
          <w:lang w:val="en-GB" w:eastAsia="zh-TW"/>
        </w:rPr>
        <w:t>عتر</w:t>
      </w:r>
      <w:r w:rsidR="006B4B1D">
        <w:rPr>
          <w:rFonts w:ascii="Traditional Arabic" w:hAnsi="Traditional Arabic" w:cs="Traditional Arabic" w:hint="cs"/>
          <w:sz w:val="30"/>
          <w:szCs w:val="30"/>
          <w:rtl/>
          <w:lang w:val="en-GB" w:eastAsia="zh-TW"/>
        </w:rPr>
        <w:t>َ</w:t>
      </w:r>
      <w:r w:rsidRPr="002169A4">
        <w:rPr>
          <w:rFonts w:ascii="Traditional Arabic" w:hAnsi="Traditional Arabic" w:cs="Traditional Arabic"/>
          <w:sz w:val="30"/>
          <w:szCs w:val="30"/>
          <w:rtl/>
          <w:lang w:val="en-GB" w:eastAsia="zh-TW"/>
        </w:rPr>
        <w:t>ف بالقدرات المحدودة كعائق أساسي يحول دون تلبية الالتزامات الدولية المتعلقة بالشعاب المرجانية في العديد من البلدان، ويشمل ذلك بوجه خاص أقل البلدان نموا</w:t>
      </w:r>
      <w:r w:rsidR="00B63ACB">
        <w:rPr>
          <w:rFonts w:ascii="Traditional Arabic" w:hAnsi="Traditional Arabic" w:cs="Traditional Arabic" w:hint="cs"/>
          <w:sz w:val="30"/>
          <w:szCs w:val="30"/>
          <w:rtl/>
          <w:lang w:val="en-GB" w:eastAsia="zh-TW"/>
        </w:rPr>
        <w:t>ً</w:t>
      </w:r>
      <w:r w:rsidRPr="002169A4">
        <w:rPr>
          <w:rFonts w:ascii="Traditional Arabic" w:hAnsi="Traditional Arabic" w:cs="Traditional Arabic"/>
          <w:sz w:val="30"/>
          <w:szCs w:val="30"/>
          <w:rtl/>
          <w:lang w:val="en-GB" w:eastAsia="zh-TW"/>
        </w:rPr>
        <w:t xml:space="preserve"> والدول الجزرية الصغيرة النامية وغيرها من البلدان النامية.</w:t>
      </w:r>
    </w:p>
    <w:p w14:paraId="303A44F0" w14:textId="79A4DBE8" w:rsidR="002169A4" w:rsidRPr="002169A4" w:rsidRDefault="002169A4" w:rsidP="008A34FB">
      <w:pPr>
        <w:keepNext/>
        <w:keepLines/>
        <w:tabs>
          <w:tab w:val="left" w:pos="2381"/>
          <w:tab w:val="left" w:pos="2948"/>
          <w:tab w:val="left" w:pos="3515"/>
          <w:tab w:val="left" w:pos="4082"/>
        </w:tabs>
        <w:suppressAutoHyphens/>
        <w:spacing w:before="240" w:after="120" w:line="400" w:lineRule="exact"/>
        <w:ind w:left="1132" w:right="284" w:hanging="708"/>
        <w:jc w:val="both"/>
        <w:textDirection w:val="tbRlV"/>
        <w:rPr>
          <w:rFonts w:ascii="Traditional Arabic" w:hAnsi="Traditional Arabic" w:cs="Traditional Arabic"/>
          <w:bCs/>
          <w:sz w:val="32"/>
          <w:szCs w:val="32"/>
          <w:rtl/>
          <w:lang w:val="en-GB" w:eastAsia="zh-TW"/>
        </w:rPr>
      </w:pPr>
      <w:r w:rsidRPr="002169A4">
        <w:rPr>
          <w:rFonts w:ascii="Traditional Arabic" w:hAnsi="Traditional Arabic" w:cs="Traditional Arabic"/>
          <w:bCs/>
          <w:sz w:val="32"/>
          <w:szCs w:val="32"/>
          <w:rtl/>
          <w:lang w:val="en-GB" w:eastAsia="zh-TW"/>
        </w:rPr>
        <w:lastRenderedPageBreak/>
        <w:t>ثانيا</w:t>
      </w:r>
      <w:r w:rsidR="006B4B1D">
        <w:rPr>
          <w:rFonts w:ascii="Traditional Arabic" w:hAnsi="Traditional Arabic" w:cs="Traditional Arabic" w:hint="cs"/>
          <w:bCs/>
          <w:sz w:val="32"/>
          <w:szCs w:val="32"/>
          <w:rtl/>
          <w:lang w:val="en-GB" w:eastAsia="zh-TW"/>
        </w:rPr>
        <w:t>ً</w:t>
      </w:r>
      <w:r w:rsidR="008A34FB">
        <w:rPr>
          <w:rFonts w:ascii="Traditional Arabic" w:hAnsi="Traditional Arabic" w:cs="Traditional Arabic"/>
          <w:bCs/>
          <w:sz w:val="32"/>
          <w:szCs w:val="32"/>
          <w:lang w:val="en-GB" w:eastAsia="zh-TW"/>
        </w:rPr>
        <w:t xml:space="preserve"> </w:t>
      </w:r>
      <w:r w:rsidRPr="002169A4">
        <w:rPr>
          <w:rFonts w:ascii="Traditional Arabic" w:hAnsi="Traditional Arabic" w:cs="Traditional Arabic"/>
          <w:bCs/>
          <w:sz w:val="32"/>
          <w:szCs w:val="32"/>
          <w:rtl/>
          <w:lang w:val="en-GB" w:eastAsia="zh-TW"/>
        </w:rPr>
        <w:t>-</w:t>
      </w:r>
      <w:r w:rsidR="006B4B1D">
        <w:rPr>
          <w:rFonts w:ascii="Traditional Arabic" w:hAnsi="Traditional Arabic" w:cs="Traditional Arabic"/>
          <w:bCs/>
          <w:sz w:val="32"/>
          <w:szCs w:val="32"/>
          <w:rtl/>
          <w:lang w:val="en-GB" w:eastAsia="zh-TW"/>
        </w:rPr>
        <w:tab/>
      </w:r>
      <w:r w:rsidRPr="002169A4">
        <w:rPr>
          <w:rFonts w:ascii="Traditional Arabic" w:hAnsi="Traditional Arabic" w:cs="Traditional Arabic"/>
          <w:bCs/>
          <w:sz w:val="32"/>
          <w:szCs w:val="32"/>
          <w:rtl/>
          <w:lang w:val="en-GB" w:eastAsia="zh-TW"/>
        </w:rPr>
        <w:t>أوجه التقدم الأخرى في تنفيذ القرار 2/12</w:t>
      </w:r>
    </w:p>
    <w:p w14:paraId="46738986" w14:textId="6DCA0790" w:rsidR="002169A4" w:rsidRPr="002169A4" w:rsidRDefault="002169A4" w:rsidP="008A34FB">
      <w:pPr>
        <w:pStyle w:val="ListParagraph"/>
        <w:numPr>
          <w:ilvl w:val="0"/>
          <w:numId w:val="6"/>
        </w:numPr>
        <w:tabs>
          <w:tab w:val="left" w:pos="1841"/>
          <w:tab w:val="left" w:pos="2408"/>
          <w:tab w:val="left" w:pos="2948"/>
          <w:tab w:val="left" w:pos="3515"/>
          <w:tab w:val="left" w:pos="4082"/>
        </w:tabs>
        <w:spacing w:after="120" w:line="400" w:lineRule="exact"/>
        <w:ind w:left="1132" w:firstLine="0"/>
        <w:jc w:val="both"/>
        <w:textDirection w:val="tbRlV"/>
        <w:rPr>
          <w:rFonts w:ascii="Traditional Arabic" w:hAnsi="Traditional Arabic" w:cs="Traditional Arabic"/>
          <w:sz w:val="30"/>
          <w:szCs w:val="30"/>
          <w:rtl/>
          <w:lang w:val="en-GB" w:eastAsia="zh-TW"/>
        </w:rPr>
      </w:pPr>
      <w:r w:rsidRPr="002169A4">
        <w:rPr>
          <w:rFonts w:ascii="Traditional Arabic" w:hAnsi="Traditional Arabic" w:cs="Traditional Arabic"/>
          <w:sz w:val="30"/>
          <w:szCs w:val="30"/>
          <w:rtl/>
          <w:lang w:val="en-GB" w:eastAsia="zh-TW"/>
        </w:rPr>
        <w:t xml:space="preserve">يشترك برنامج الأمم المتحدة للبيئة والمبادرة الدولية للشعاب المرجانية في ريادة فريق عامل من أجل وضع وتنفيذ خطة حوكمة للشبكة العالمية لرصد الشعاب المرجانية. </w:t>
      </w:r>
      <w:r w:rsidR="0012118D">
        <w:rPr>
          <w:rFonts w:ascii="Traditional Arabic" w:hAnsi="Traditional Arabic" w:cs="Traditional Arabic" w:hint="cs"/>
          <w:sz w:val="30"/>
          <w:szCs w:val="30"/>
          <w:rtl/>
          <w:lang w:val="en-GB" w:eastAsia="zh-TW"/>
        </w:rPr>
        <w:t>و</w:t>
      </w:r>
      <w:r w:rsidRPr="002169A4">
        <w:rPr>
          <w:rFonts w:ascii="Traditional Arabic" w:hAnsi="Traditional Arabic" w:cs="Traditional Arabic"/>
          <w:sz w:val="30"/>
          <w:szCs w:val="30"/>
          <w:rtl/>
          <w:lang w:val="en-GB" w:eastAsia="zh-TW"/>
        </w:rPr>
        <w:t xml:space="preserve">يحدد </w:t>
      </w:r>
      <w:r w:rsidR="0012118D">
        <w:rPr>
          <w:rFonts w:ascii="Traditional Arabic" w:hAnsi="Traditional Arabic" w:cs="Traditional Arabic" w:hint="cs"/>
          <w:sz w:val="30"/>
          <w:szCs w:val="30"/>
          <w:rtl/>
          <w:lang w:val="en-GB" w:eastAsia="zh-TW"/>
        </w:rPr>
        <w:t xml:space="preserve">في عمله هذا </w:t>
      </w:r>
      <w:r w:rsidRPr="002169A4">
        <w:rPr>
          <w:rFonts w:ascii="Traditional Arabic" w:hAnsi="Traditional Arabic" w:cs="Traditional Arabic"/>
          <w:sz w:val="30"/>
          <w:szCs w:val="30"/>
          <w:rtl/>
          <w:lang w:val="en-GB" w:eastAsia="zh-TW"/>
        </w:rPr>
        <w:t>العمليات ومعايير نوعية البيانات التي تلزم لعمل الشبكة باعتبارها شبكة كاملة لمراقبة المحيطات. واعتُمدت الخطة بصفة مؤقتة في الدورة الثالثة والثلاثين للاجتماع العام للمبادرة الدولية للشعاب المرجانية في كانون الأول/ديسمبر ٢٠١٨</w:t>
      </w:r>
      <w:r w:rsidR="0012118D" w:rsidRPr="0012118D">
        <w:rPr>
          <w:rFonts w:ascii="Traditional Arabic" w:hAnsi="Traditional Arabic" w:cs="Traditional Arabic" w:hint="cs"/>
          <w:sz w:val="30"/>
          <w:szCs w:val="30"/>
          <w:vertAlign w:val="superscript"/>
          <w:rtl/>
          <w:lang w:val="en-GB" w:eastAsia="zh-TW"/>
        </w:rPr>
        <w:t>(</w:t>
      </w:r>
      <w:r w:rsidRPr="0012118D">
        <w:rPr>
          <w:rFonts w:ascii="Traditional Arabic" w:hAnsi="Traditional Arabic" w:cs="Traditional Arabic"/>
          <w:sz w:val="30"/>
          <w:szCs w:val="30"/>
          <w:vertAlign w:val="superscript"/>
          <w:rtl/>
          <w:lang w:val="en-GB" w:eastAsia="zh-TW"/>
        </w:rPr>
        <w:footnoteReference w:id="4"/>
      </w:r>
      <w:r w:rsidR="0012118D" w:rsidRPr="0012118D">
        <w:rPr>
          <w:rFonts w:ascii="Traditional Arabic" w:hAnsi="Traditional Arabic" w:cs="Traditional Arabic" w:hint="cs"/>
          <w:sz w:val="30"/>
          <w:szCs w:val="30"/>
          <w:vertAlign w:val="superscript"/>
          <w:rtl/>
          <w:lang w:val="en-GB" w:eastAsia="zh-TW"/>
        </w:rPr>
        <w:t>)</w:t>
      </w:r>
      <w:r w:rsidRPr="002169A4">
        <w:rPr>
          <w:rFonts w:ascii="Traditional Arabic" w:hAnsi="Traditional Arabic" w:cs="Traditional Arabic"/>
          <w:sz w:val="30"/>
          <w:szCs w:val="30"/>
          <w:rtl/>
          <w:lang w:val="en-GB" w:eastAsia="zh-TW"/>
        </w:rPr>
        <w:t>، إلى جانب خريطة طريق من أجل إعداد تقرير عالمي عن حالة الشعاب المرجانية، من المقرر أن يصدر في العام ٢٠٢٠. وفي أيلول/سبتمبر ٢٠١٨، صدر بالفعل تقرير عن حالة واتجاهات الشعاب المرجانية في المحيط الهادئ</w:t>
      </w:r>
      <w:r w:rsidR="0012118D" w:rsidRPr="0012118D">
        <w:rPr>
          <w:rFonts w:ascii="Traditional Arabic" w:hAnsi="Traditional Arabic" w:cs="Traditional Arabic" w:hint="cs"/>
          <w:sz w:val="30"/>
          <w:szCs w:val="30"/>
          <w:vertAlign w:val="superscript"/>
          <w:rtl/>
          <w:lang w:val="en-GB" w:eastAsia="zh-TW"/>
        </w:rPr>
        <w:t>(</w:t>
      </w:r>
      <w:r w:rsidRPr="0012118D">
        <w:rPr>
          <w:rFonts w:ascii="Traditional Arabic" w:hAnsi="Traditional Arabic" w:cs="Traditional Arabic"/>
          <w:sz w:val="30"/>
          <w:szCs w:val="30"/>
          <w:vertAlign w:val="superscript"/>
          <w:rtl/>
          <w:lang w:val="en-GB" w:eastAsia="zh-TW"/>
        </w:rPr>
        <w:footnoteReference w:id="5"/>
      </w:r>
      <w:r w:rsidR="0012118D" w:rsidRPr="0012118D">
        <w:rPr>
          <w:rFonts w:ascii="Traditional Arabic" w:hAnsi="Traditional Arabic" w:cs="Traditional Arabic" w:hint="cs"/>
          <w:sz w:val="30"/>
          <w:szCs w:val="30"/>
          <w:vertAlign w:val="superscript"/>
          <w:rtl/>
          <w:lang w:val="en-GB" w:eastAsia="zh-TW"/>
        </w:rPr>
        <w:t>)</w:t>
      </w:r>
      <w:r w:rsidRPr="002169A4">
        <w:rPr>
          <w:rFonts w:ascii="Traditional Arabic" w:hAnsi="Traditional Arabic" w:cs="Traditional Arabic"/>
          <w:sz w:val="30"/>
          <w:szCs w:val="30"/>
          <w:rtl/>
          <w:lang w:val="en-GB" w:eastAsia="zh-TW"/>
        </w:rPr>
        <w:t>.</w:t>
      </w:r>
    </w:p>
    <w:p w14:paraId="596FA774" w14:textId="7A91220F" w:rsidR="002169A4" w:rsidRPr="002169A4" w:rsidRDefault="002169A4" w:rsidP="008A34FB">
      <w:pPr>
        <w:pStyle w:val="ListParagraph"/>
        <w:numPr>
          <w:ilvl w:val="0"/>
          <w:numId w:val="6"/>
        </w:numPr>
        <w:tabs>
          <w:tab w:val="left" w:pos="1841"/>
          <w:tab w:val="left" w:pos="2408"/>
          <w:tab w:val="left" w:pos="2948"/>
          <w:tab w:val="left" w:pos="3515"/>
          <w:tab w:val="left" w:pos="4082"/>
        </w:tabs>
        <w:spacing w:after="120" w:line="400" w:lineRule="exact"/>
        <w:ind w:left="1132" w:firstLine="0"/>
        <w:jc w:val="both"/>
        <w:textDirection w:val="tbRlV"/>
        <w:rPr>
          <w:rFonts w:ascii="Traditional Arabic" w:hAnsi="Traditional Arabic" w:cs="Traditional Arabic"/>
          <w:sz w:val="30"/>
          <w:szCs w:val="30"/>
          <w:rtl/>
          <w:lang w:val="en-GB" w:eastAsia="zh-TW"/>
        </w:rPr>
      </w:pPr>
      <w:r w:rsidRPr="002169A4">
        <w:rPr>
          <w:rFonts w:ascii="Traditional Arabic" w:hAnsi="Traditional Arabic" w:cs="Traditional Arabic"/>
          <w:sz w:val="30"/>
          <w:szCs w:val="30"/>
          <w:rtl/>
          <w:lang w:val="en-GB" w:eastAsia="zh-TW"/>
        </w:rPr>
        <w:t>وفي تحليل لمشهد التمويل الدولي للشعاب المرجانية أعده في العام ٢٠١٨ برنامج الأمم المتحدة للبيئة والمركز العالمي لرصد حفظ الطبيعة ت</w:t>
      </w:r>
      <w:r w:rsidR="0012118D">
        <w:rPr>
          <w:rFonts w:ascii="Traditional Arabic" w:hAnsi="Traditional Arabic" w:cs="Traditional Arabic" w:hint="cs"/>
          <w:sz w:val="30"/>
          <w:szCs w:val="30"/>
          <w:rtl/>
          <w:lang w:val="en-GB" w:eastAsia="zh-TW"/>
        </w:rPr>
        <w:t>ُ</w:t>
      </w:r>
      <w:r w:rsidRPr="002169A4">
        <w:rPr>
          <w:rFonts w:ascii="Traditional Arabic" w:hAnsi="Traditional Arabic" w:cs="Traditional Arabic"/>
          <w:sz w:val="30"/>
          <w:szCs w:val="30"/>
          <w:rtl/>
          <w:lang w:val="en-GB" w:eastAsia="zh-TW"/>
        </w:rPr>
        <w:t>حد</w:t>
      </w:r>
      <w:r w:rsidR="0012118D">
        <w:rPr>
          <w:rFonts w:ascii="Traditional Arabic" w:hAnsi="Traditional Arabic" w:cs="Traditional Arabic" w:hint="cs"/>
          <w:sz w:val="30"/>
          <w:szCs w:val="30"/>
          <w:rtl/>
          <w:lang w:val="en-GB" w:eastAsia="zh-TW"/>
        </w:rPr>
        <w:t>َّ</w:t>
      </w:r>
      <w:r w:rsidRPr="002169A4">
        <w:rPr>
          <w:rFonts w:ascii="Traditional Arabic" w:hAnsi="Traditional Arabic" w:cs="Traditional Arabic"/>
          <w:sz w:val="30"/>
          <w:szCs w:val="30"/>
          <w:rtl/>
          <w:lang w:val="en-GB" w:eastAsia="zh-TW"/>
        </w:rPr>
        <w:t xml:space="preserve">د </w:t>
      </w:r>
      <w:r w:rsidR="0012118D">
        <w:rPr>
          <w:rFonts w:ascii="Traditional Arabic" w:hAnsi="Traditional Arabic" w:cs="Traditional Arabic" w:hint="cs"/>
          <w:sz w:val="30"/>
          <w:szCs w:val="30"/>
          <w:rtl/>
          <w:lang w:val="en-GB" w:eastAsia="zh-TW"/>
        </w:rPr>
        <w:t xml:space="preserve">الثغرات في </w:t>
      </w:r>
      <w:r w:rsidRPr="002169A4">
        <w:rPr>
          <w:rFonts w:ascii="Traditional Arabic" w:hAnsi="Traditional Arabic" w:cs="Traditional Arabic"/>
          <w:sz w:val="30"/>
          <w:szCs w:val="30"/>
          <w:rtl/>
          <w:lang w:val="en-GB" w:eastAsia="zh-TW"/>
        </w:rPr>
        <w:t>التمويل الحالي لإدارة الشعاب المرجانية المقدم عن طريق المساعدة الإنمائية الخارجية والأعمال الخيرية</w:t>
      </w:r>
      <w:r w:rsidR="0012118D" w:rsidRPr="0012118D">
        <w:rPr>
          <w:rFonts w:ascii="Traditional Arabic" w:hAnsi="Traditional Arabic" w:cs="Traditional Arabic" w:hint="cs"/>
          <w:sz w:val="30"/>
          <w:szCs w:val="30"/>
          <w:vertAlign w:val="superscript"/>
          <w:rtl/>
          <w:lang w:val="en-GB" w:eastAsia="zh-TW"/>
        </w:rPr>
        <w:t>(</w:t>
      </w:r>
      <w:r w:rsidRPr="0012118D">
        <w:rPr>
          <w:rFonts w:ascii="Traditional Arabic" w:hAnsi="Traditional Arabic" w:cs="Traditional Arabic"/>
          <w:sz w:val="30"/>
          <w:szCs w:val="30"/>
          <w:vertAlign w:val="superscript"/>
          <w:rtl/>
          <w:lang w:val="en-GB" w:eastAsia="zh-TW"/>
        </w:rPr>
        <w:footnoteReference w:id="6"/>
      </w:r>
      <w:r w:rsidR="0012118D" w:rsidRPr="0012118D">
        <w:rPr>
          <w:rFonts w:ascii="Traditional Arabic" w:hAnsi="Traditional Arabic" w:cs="Traditional Arabic" w:hint="cs"/>
          <w:sz w:val="30"/>
          <w:szCs w:val="30"/>
          <w:vertAlign w:val="superscript"/>
          <w:rtl/>
          <w:lang w:val="en-GB" w:eastAsia="zh-TW"/>
        </w:rPr>
        <w:t>)</w:t>
      </w:r>
      <w:r w:rsidRPr="002169A4">
        <w:rPr>
          <w:rFonts w:ascii="Traditional Arabic" w:hAnsi="Traditional Arabic" w:cs="Traditional Arabic"/>
          <w:sz w:val="30"/>
          <w:szCs w:val="30"/>
          <w:rtl/>
          <w:lang w:val="en-GB" w:eastAsia="zh-TW"/>
        </w:rPr>
        <w:t>. ويحلل تقرير عن اقتصاد الشعاب المرجانية أعده برنامج الأمم المتحدة للبيئة ووحدة أمير ويلز الدولية للاستدامة بالتعاون مع المبادرة الدولية للشعاب المرجانية كيف أن الاستثمار في تدابير محددة لتحسين صحة الشعاب يمكن أن يحقق عائدات كبيرة للاستثمار في القطاعين العام والخاص، مع تحقيقه لآثار إيجابية على المجتمعات المحلية والمجتمع بصورة أعم</w:t>
      </w:r>
      <w:r w:rsidR="0012118D" w:rsidRPr="0012118D">
        <w:rPr>
          <w:rFonts w:ascii="Traditional Arabic" w:hAnsi="Traditional Arabic" w:cs="Traditional Arabic" w:hint="cs"/>
          <w:sz w:val="30"/>
          <w:szCs w:val="30"/>
          <w:vertAlign w:val="superscript"/>
          <w:rtl/>
          <w:lang w:val="en-GB" w:eastAsia="zh-TW"/>
        </w:rPr>
        <w:t>(</w:t>
      </w:r>
      <w:r w:rsidRPr="0012118D">
        <w:rPr>
          <w:rFonts w:ascii="Traditional Arabic" w:hAnsi="Traditional Arabic" w:cs="Traditional Arabic"/>
          <w:sz w:val="30"/>
          <w:szCs w:val="30"/>
          <w:vertAlign w:val="superscript"/>
          <w:rtl/>
          <w:lang w:val="en-GB" w:eastAsia="zh-TW"/>
        </w:rPr>
        <w:footnoteReference w:id="7"/>
      </w:r>
      <w:r w:rsidR="0012118D" w:rsidRPr="0012118D">
        <w:rPr>
          <w:rFonts w:ascii="Traditional Arabic" w:hAnsi="Traditional Arabic" w:cs="Traditional Arabic" w:hint="cs"/>
          <w:sz w:val="30"/>
          <w:szCs w:val="30"/>
          <w:vertAlign w:val="superscript"/>
          <w:rtl/>
          <w:lang w:val="en-GB" w:eastAsia="zh-TW"/>
        </w:rPr>
        <w:t>)</w:t>
      </w:r>
      <w:r w:rsidRPr="002169A4">
        <w:rPr>
          <w:rFonts w:ascii="Traditional Arabic" w:hAnsi="Traditional Arabic" w:cs="Traditional Arabic"/>
          <w:sz w:val="30"/>
          <w:szCs w:val="30"/>
          <w:rtl/>
          <w:lang w:val="en-GB" w:eastAsia="zh-TW"/>
        </w:rPr>
        <w:t>. واستنادا</w:t>
      </w:r>
      <w:r w:rsidR="0012118D">
        <w:rPr>
          <w:rFonts w:ascii="Traditional Arabic" w:hAnsi="Traditional Arabic" w:cs="Traditional Arabic" w:hint="cs"/>
          <w:sz w:val="30"/>
          <w:szCs w:val="30"/>
          <w:rtl/>
          <w:lang w:val="en-GB" w:eastAsia="zh-TW"/>
        </w:rPr>
        <w:t>ً</w:t>
      </w:r>
      <w:r w:rsidRPr="002169A4">
        <w:rPr>
          <w:rFonts w:ascii="Traditional Arabic" w:hAnsi="Traditional Arabic" w:cs="Traditional Arabic"/>
          <w:sz w:val="30"/>
          <w:szCs w:val="30"/>
          <w:rtl/>
          <w:lang w:val="en-GB" w:eastAsia="zh-TW"/>
        </w:rPr>
        <w:t xml:space="preserve"> إلى هذه الجهود، قدم برنامج الأمم المتحدة للبيئة الدعم للمشاورات الرامية إلى استكشاف تعزيز وتنويع التمويل للشعاب المرجانية، عن طريق أنشطة منها حلقة عمل عقدت في موناكو في أيلول/سبتمبر ٢٠١٨، فضلا</w:t>
      </w:r>
      <w:r w:rsidR="00B63ACB">
        <w:rPr>
          <w:rFonts w:ascii="Traditional Arabic" w:hAnsi="Traditional Arabic" w:cs="Traditional Arabic" w:hint="cs"/>
          <w:sz w:val="30"/>
          <w:szCs w:val="30"/>
          <w:rtl/>
          <w:lang w:val="en-GB" w:eastAsia="zh-TW"/>
        </w:rPr>
        <w:t>ً</w:t>
      </w:r>
      <w:r w:rsidRPr="002169A4">
        <w:rPr>
          <w:rFonts w:ascii="Traditional Arabic" w:hAnsi="Traditional Arabic" w:cs="Traditional Arabic"/>
          <w:sz w:val="30"/>
          <w:szCs w:val="30"/>
          <w:rtl/>
          <w:lang w:val="en-GB" w:eastAsia="zh-TW"/>
        </w:rPr>
        <w:t xml:space="preserve"> عن مناسبات جانبية رفيعة المستوى في مؤتمر ”محيطنا“، الذي عقد في بالي، إندونيسيا، في تشرين الأول/أكتوبر ٢٠١٨، وفي الاجتماع الرابع عشر لمؤتمر الأطراف في اتفاقية التنوع البيولوجي، الذي عقد في مصر في تشرين الثاني/نوفمبر ٢٠١٨.</w:t>
      </w:r>
    </w:p>
    <w:p w14:paraId="2B77FBD0" w14:textId="4FE51FF2" w:rsidR="002169A4" w:rsidRPr="002169A4" w:rsidRDefault="002169A4" w:rsidP="008A34FB">
      <w:pPr>
        <w:pStyle w:val="ListParagraph"/>
        <w:numPr>
          <w:ilvl w:val="0"/>
          <w:numId w:val="6"/>
        </w:numPr>
        <w:tabs>
          <w:tab w:val="left" w:pos="1841"/>
          <w:tab w:val="left" w:pos="2408"/>
          <w:tab w:val="left" w:pos="2948"/>
          <w:tab w:val="left" w:pos="3515"/>
          <w:tab w:val="left" w:pos="4082"/>
        </w:tabs>
        <w:spacing w:after="120" w:line="400" w:lineRule="exact"/>
        <w:ind w:left="1132" w:firstLine="0"/>
        <w:jc w:val="both"/>
        <w:textDirection w:val="tbRlV"/>
        <w:rPr>
          <w:rFonts w:ascii="Traditional Arabic" w:hAnsi="Traditional Arabic" w:cs="Traditional Arabic"/>
          <w:sz w:val="30"/>
          <w:szCs w:val="30"/>
          <w:rtl/>
          <w:lang w:val="en-GB" w:eastAsia="zh-TW"/>
        </w:rPr>
      </w:pPr>
      <w:r w:rsidRPr="002169A4">
        <w:rPr>
          <w:rFonts w:ascii="Traditional Arabic" w:hAnsi="Traditional Arabic" w:cs="Traditional Arabic"/>
          <w:sz w:val="30"/>
          <w:szCs w:val="30"/>
          <w:rtl/>
          <w:lang w:val="en-GB" w:eastAsia="zh-TW"/>
        </w:rPr>
        <w:t>وانطلق الاحتفاء بالسنة الدولية للشعاب المرجانية ٢٠١٨ في حدث نُظ</w:t>
      </w:r>
      <w:r w:rsidR="0012118D">
        <w:rPr>
          <w:rFonts w:ascii="Traditional Arabic" w:hAnsi="Traditional Arabic" w:cs="Traditional Arabic" w:hint="cs"/>
          <w:sz w:val="30"/>
          <w:szCs w:val="30"/>
          <w:rtl/>
          <w:lang w:val="en-GB" w:eastAsia="zh-TW"/>
        </w:rPr>
        <w:t>ِّ</w:t>
      </w:r>
      <w:r w:rsidRPr="002169A4">
        <w:rPr>
          <w:rFonts w:ascii="Traditional Arabic" w:hAnsi="Traditional Arabic" w:cs="Traditional Arabic"/>
          <w:sz w:val="30"/>
          <w:szCs w:val="30"/>
          <w:rtl/>
          <w:lang w:val="en-GB" w:eastAsia="zh-TW"/>
        </w:rPr>
        <w:t>م في فيجي</w:t>
      </w:r>
      <w:r w:rsidR="0012118D" w:rsidRPr="0012118D">
        <w:rPr>
          <w:rFonts w:ascii="Traditional Arabic" w:hAnsi="Traditional Arabic" w:cs="Traditional Arabic" w:hint="cs"/>
          <w:sz w:val="30"/>
          <w:szCs w:val="30"/>
          <w:vertAlign w:val="superscript"/>
          <w:rtl/>
          <w:lang w:val="en-GB" w:eastAsia="zh-TW"/>
        </w:rPr>
        <w:t>(</w:t>
      </w:r>
      <w:r w:rsidRPr="0012118D">
        <w:rPr>
          <w:rFonts w:ascii="Traditional Arabic" w:hAnsi="Traditional Arabic" w:cs="Traditional Arabic"/>
          <w:sz w:val="30"/>
          <w:szCs w:val="30"/>
          <w:vertAlign w:val="superscript"/>
          <w:rtl/>
          <w:lang w:val="en-GB" w:eastAsia="zh-TW"/>
        </w:rPr>
        <w:footnoteReference w:id="8"/>
      </w:r>
      <w:r w:rsidR="0012118D" w:rsidRPr="0012118D">
        <w:rPr>
          <w:rFonts w:ascii="Traditional Arabic" w:hAnsi="Traditional Arabic" w:cs="Traditional Arabic" w:hint="cs"/>
          <w:sz w:val="30"/>
          <w:szCs w:val="30"/>
          <w:vertAlign w:val="superscript"/>
          <w:rtl/>
          <w:lang w:val="en-GB" w:eastAsia="zh-TW"/>
        </w:rPr>
        <w:t>)</w:t>
      </w:r>
      <w:r w:rsidRPr="002169A4">
        <w:rPr>
          <w:rFonts w:ascii="Traditional Arabic" w:hAnsi="Traditional Arabic" w:cs="Traditional Arabic"/>
          <w:sz w:val="30"/>
          <w:szCs w:val="30"/>
          <w:rtl/>
          <w:lang w:val="en-GB" w:eastAsia="zh-TW"/>
        </w:rPr>
        <w:t>، وستنطلق في أوائل العام 2019 حملة لتوعية الجمهور بأهمية الشعاب المرجانية وهشاشتها، تنظم بالاشتراك مع المبادرة الدولية للشعاب المرجانية وغيرها من الشركاء.</w:t>
      </w:r>
    </w:p>
    <w:p w14:paraId="350418E7" w14:textId="24075A03" w:rsidR="002169A4" w:rsidRPr="002169A4" w:rsidRDefault="002169A4" w:rsidP="008A34FB">
      <w:pPr>
        <w:pStyle w:val="ListParagraph"/>
        <w:numPr>
          <w:ilvl w:val="0"/>
          <w:numId w:val="6"/>
        </w:numPr>
        <w:tabs>
          <w:tab w:val="left" w:pos="1841"/>
          <w:tab w:val="left" w:pos="2408"/>
          <w:tab w:val="left" w:pos="2948"/>
          <w:tab w:val="left" w:pos="3515"/>
          <w:tab w:val="left" w:pos="4082"/>
        </w:tabs>
        <w:spacing w:after="120" w:line="400" w:lineRule="exact"/>
        <w:ind w:left="1132" w:firstLine="0"/>
        <w:jc w:val="both"/>
        <w:textDirection w:val="tbRlV"/>
        <w:rPr>
          <w:rFonts w:ascii="Traditional Arabic" w:hAnsi="Traditional Arabic" w:cs="Traditional Arabic"/>
          <w:sz w:val="30"/>
          <w:szCs w:val="30"/>
          <w:rtl/>
          <w:lang w:val="en-GB" w:eastAsia="zh-TW"/>
        </w:rPr>
      </w:pPr>
      <w:r w:rsidRPr="002169A4">
        <w:rPr>
          <w:rFonts w:ascii="Traditional Arabic" w:hAnsi="Traditional Arabic" w:cs="Traditional Arabic"/>
          <w:sz w:val="30"/>
          <w:szCs w:val="30"/>
          <w:rtl/>
          <w:lang w:val="en-GB" w:eastAsia="zh-TW"/>
        </w:rPr>
        <w:t>ويقدَّم الدعم للأنشطة المضطلع بها من أجل تنفيذ القرار 2/12 من خلال المساهمات الخارجة عن الميزانية التي تقدمها السويد وفرنسا وموناكو والنرويج والولايات المتحدة الأمريكية.</w:t>
      </w:r>
    </w:p>
    <w:p w14:paraId="793C348D" w14:textId="4914E96D" w:rsidR="002169A4" w:rsidRPr="002169A4" w:rsidRDefault="002169A4" w:rsidP="008A34FB">
      <w:pPr>
        <w:keepNext/>
        <w:keepLines/>
        <w:tabs>
          <w:tab w:val="left" w:pos="1132"/>
          <w:tab w:val="left" w:pos="2381"/>
          <w:tab w:val="left" w:pos="2948"/>
          <w:tab w:val="left" w:pos="3515"/>
          <w:tab w:val="left" w:pos="4082"/>
        </w:tabs>
        <w:suppressAutoHyphens/>
        <w:spacing w:before="240" w:after="120" w:line="400" w:lineRule="exact"/>
        <w:ind w:left="1132" w:right="284" w:hanging="708"/>
        <w:jc w:val="both"/>
        <w:textDirection w:val="tbRlV"/>
        <w:rPr>
          <w:rFonts w:ascii="Traditional Arabic" w:hAnsi="Traditional Arabic" w:cs="Traditional Arabic"/>
          <w:bCs/>
          <w:sz w:val="32"/>
          <w:szCs w:val="32"/>
          <w:rtl/>
          <w:lang w:val="en-GB" w:eastAsia="zh-TW"/>
        </w:rPr>
      </w:pPr>
      <w:r w:rsidRPr="002169A4">
        <w:rPr>
          <w:rFonts w:ascii="Traditional Arabic" w:hAnsi="Traditional Arabic" w:cs="Traditional Arabic"/>
          <w:bCs/>
          <w:sz w:val="32"/>
          <w:szCs w:val="32"/>
          <w:rtl/>
          <w:lang w:val="en-GB" w:eastAsia="zh-TW"/>
        </w:rPr>
        <w:t>ثالثا</w:t>
      </w:r>
      <w:r w:rsidR="0012118D">
        <w:rPr>
          <w:rFonts w:ascii="Traditional Arabic" w:hAnsi="Traditional Arabic" w:cs="Traditional Arabic" w:hint="cs"/>
          <w:bCs/>
          <w:sz w:val="32"/>
          <w:szCs w:val="32"/>
          <w:rtl/>
          <w:lang w:val="en-GB" w:eastAsia="zh-TW"/>
        </w:rPr>
        <w:t>ً</w:t>
      </w:r>
      <w:r w:rsidR="008A34FB">
        <w:rPr>
          <w:rFonts w:ascii="Traditional Arabic" w:hAnsi="Traditional Arabic" w:cs="Traditional Arabic"/>
          <w:bCs/>
          <w:sz w:val="32"/>
          <w:szCs w:val="32"/>
          <w:lang w:val="en-GB" w:eastAsia="zh-TW"/>
        </w:rPr>
        <w:t xml:space="preserve"> </w:t>
      </w:r>
      <w:r w:rsidRPr="002169A4">
        <w:rPr>
          <w:rFonts w:ascii="Traditional Arabic" w:hAnsi="Traditional Arabic" w:cs="Traditional Arabic"/>
          <w:bCs/>
          <w:sz w:val="32"/>
          <w:szCs w:val="32"/>
          <w:rtl/>
          <w:lang w:val="en-GB" w:eastAsia="zh-TW"/>
        </w:rPr>
        <w:t>-</w:t>
      </w:r>
      <w:r w:rsidR="006B4B1D">
        <w:rPr>
          <w:rFonts w:ascii="Traditional Arabic" w:hAnsi="Traditional Arabic" w:cs="Traditional Arabic"/>
          <w:bCs/>
          <w:sz w:val="32"/>
          <w:szCs w:val="32"/>
          <w:rtl/>
          <w:lang w:val="en-GB" w:eastAsia="zh-TW"/>
        </w:rPr>
        <w:tab/>
      </w:r>
      <w:r w:rsidRPr="002169A4">
        <w:rPr>
          <w:rFonts w:ascii="Traditional Arabic" w:hAnsi="Traditional Arabic" w:cs="Traditional Arabic"/>
          <w:bCs/>
          <w:sz w:val="32"/>
          <w:szCs w:val="32"/>
          <w:rtl/>
          <w:lang w:val="en-GB" w:eastAsia="zh-TW"/>
        </w:rPr>
        <w:t>التوصيات والإجراءات المقترح اتخاذها</w:t>
      </w:r>
    </w:p>
    <w:p w14:paraId="15B8EEE0" w14:textId="00DE09CE" w:rsidR="002169A4" w:rsidRPr="004D0E35" w:rsidRDefault="002169A4" w:rsidP="008A34FB">
      <w:pPr>
        <w:keepNext/>
        <w:keepLines/>
        <w:tabs>
          <w:tab w:val="left" w:pos="1132"/>
          <w:tab w:val="left" w:pos="2381"/>
          <w:tab w:val="left" w:pos="2948"/>
          <w:tab w:val="left" w:pos="3515"/>
          <w:tab w:val="left" w:pos="4082"/>
        </w:tabs>
        <w:suppressAutoHyphens/>
        <w:spacing w:before="240" w:after="120" w:line="400" w:lineRule="exact"/>
        <w:ind w:left="1132" w:right="284" w:hanging="708"/>
        <w:jc w:val="both"/>
        <w:textDirection w:val="tbRlV"/>
        <w:rPr>
          <w:rFonts w:ascii="Traditional Arabic" w:hAnsi="Traditional Arabic" w:cs="Traditional Arabic"/>
          <w:bCs/>
          <w:sz w:val="30"/>
          <w:szCs w:val="30"/>
          <w:rtl/>
          <w:lang w:val="en-GB" w:eastAsia="zh-TW"/>
        </w:rPr>
      </w:pPr>
      <w:r w:rsidRPr="004D0E35">
        <w:rPr>
          <w:rFonts w:ascii="Traditional Arabic" w:hAnsi="Traditional Arabic" w:cs="Traditional Arabic"/>
          <w:bCs/>
          <w:sz w:val="30"/>
          <w:szCs w:val="30"/>
          <w:rtl/>
          <w:lang w:val="en-GB" w:eastAsia="zh-TW"/>
        </w:rPr>
        <w:t>ألف</w:t>
      </w:r>
      <w:r w:rsidR="008A34FB" w:rsidRPr="004D0E35">
        <w:rPr>
          <w:rFonts w:ascii="Traditional Arabic" w:hAnsi="Traditional Arabic" w:cs="Traditional Arabic"/>
          <w:bCs/>
          <w:sz w:val="30"/>
          <w:szCs w:val="30"/>
          <w:lang w:val="en-GB" w:eastAsia="zh-TW"/>
        </w:rPr>
        <w:t xml:space="preserve"> </w:t>
      </w:r>
      <w:r w:rsidRPr="004D0E35">
        <w:rPr>
          <w:rFonts w:ascii="Traditional Arabic" w:hAnsi="Traditional Arabic" w:cs="Traditional Arabic"/>
          <w:bCs/>
          <w:sz w:val="30"/>
          <w:szCs w:val="30"/>
          <w:rtl/>
          <w:lang w:val="en-GB" w:eastAsia="zh-TW"/>
        </w:rPr>
        <w:t>-</w:t>
      </w:r>
      <w:r w:rsidR="006B4B1D" w:rsidRPr="004D0E35">
        <w:rPr>
          <w:rFonts w:ascii="Traditional Arabic" w:hAnsi="Traditional Arabic" w:cs="Traditional Arabic"/>
          <w:bCs/>
          <w:sz w:val="30"/>
          <w:szCs w:val="30"/>
          <w:rtl/>
          <w:lang w:val="en-GB" w:eastAsia="zh-TW"/>
        </w:rPr>
        <w:tab/>
      </w:r>
      <w:r w:rsidRPr="004D0E35">
        <w:rPr>
          <w:rFonts w:ascii="Traditional Arabic" w:hAnsi="Traditional Arabic" w:cs="Traditional Arabic"/>
          <w:bCs/>
          <w:sz w:val="30"/>
          <w:szCs w:val="30"/>
          <w:rtl/>
          <w:lang w:val="en-GB" w:eastAsia="zh-TW"/>
        </w:rPr>
        <w:t>المسارات المحتملة للسياسات</w:t>
      </w:r>
    </w:p>
    <w:p w14:paraId="72B0BF58" w14:textId="2027426B" w:rsidR="002169A4" w:rsidRPr="002169A4" w:rsidRDefault="002169A4" w:rsidP="008A34FB">
      <w:pPr>
        <w:pStyle w:val="ListParagraph"/>
        <w:numPr>
          <w:ilvl w:val="0"/>
          <w:numId w:val="6"/>
        </w:numPr>
        <w:tabs>
          <w:tab w:val="left" w:pos="1841"/>
          <w:tab w:val="left" w:pos="2381"/>
          <w:tab w:val="left" w:pos="2948"/>
          <w:tab w:val="left" w:pos="3515"/>
          <w:tab w:val="left" w:pos="4082"/>
        </w:tabs>
        <w:spacing w:after="120" w:line="400" w:lineRule="exact"/>
        <w:ind w:left="1132" w:firstLine="0"/>
        <w:jc w:val="both"/>
        <w:textDirection w:val="tbRlV"/>
        <w:rPr>
          <w:rFonts w:ascii="Traditional Arabic" w:hAnsi="Traditional Arabic" w:cs="Traditional Arabic"/>
          <w:sz w:val="30"/>
          <w:szCs w:val="30"/>
          <w:rtl/>
          <w:lang w:val="en-GB" w:eastAsia="zh-TW"/>
        </w:rPr>
      </w:pPr>
      <w:r w:rsidRPr="002169A4">
        <w:rPr>
          <w:rFonts w:ascii="Traditional Arabic" w:hAnsi="Traditional Arabic" w:cs="Traditional Arabic"/>
          <w:sz w:val="30"/>
          <w:szCs w:val="30"/>
          <w:rtl/>
          <w:lang w:val="en-GB" w:eastAsia="zh-TW"/>
        </w:rPr>
        <w:t xml:space="preserve">يحدد تحليل الأدوات السياساتية وآليات الحوكمة العالمية والإقليمية المعنية بحماية الشعاب المرجانية وإدارتها المستدامة أربعة مسارات محتملة تتمكن بها الاستجابات السياساتية الدولية من مساعدة الدول في معالجة الدوافع المتولدة محلياً لفقدان الشعاب (مثل الصيد المفرط والتلوث) مما يؤدي إلى تعزيز قدرة الشعاب المرجانية على الصمود في مواجهة تغير المناخ. وهذه المسارات المحتملة متباينة ولكنها ليست متعارضة. وتنطوي المسارات الأربعة كلها </w:t>
      </w:r>
      <w:r w:rsidRPr="002169A4">
        <w:rPr>
          <w:rFonts w:ascii="Traditional Arabic" w:hAnsi="Traditional Arabic" w:cs="Traditional Arabic"/>
          <w:sz w:val="30"/>
          <w:szCs w:val="30"/>
          <w:rtl/>
          <w:lang w:val="en-GB" w:eastAsia="zh-TW"/>
        </w:rPr>
        <w:lastRenderedPageBreak/>
        <w:t>على تسريع تلبية الالتزامات الدولية القائمة، التي يمكن مواصلة تعزيزها بتقوية الإطار الحالي للسياسات العامة والحوكمة و/أو بوضع صكوك جديدة أو آليات لدعم الدول التي لديها ولاية على الشعاب المرجانية.</w:t>
      </w:r>
    </w:p>
    <w:p w14:paraId="01A9871D" w14:textId="5B0D168F" w:rsidR="002169A4" w:rsidRPr="002169A4" w:rsidRDefault="002169A4" w:rsidP="008A34FB">
      <w:pPr>
        <w:tabs>
          <w:tab w:val="left" w:pos="2408"/>
          <w:tab w:val="left" w:pos="2975"/>
        </w:tabs>
        <w:spacing w:after="120" w:line="400" w:lineRule="exact"/>
        <w:ind w:left="1132" w:firstLine="709"/>
        <w:jc w:val="both"/>
        <w:textDirection w:val="tbRlV"/>
        <w:rPr>
          <w:rFonts w:ascii="Traditional Arabic" w:hAnsi="Traditional Arabic" w:cs="Traditional Arabic"/>
          <w:sz w:val="30"/>
          <w:szCs w:val="30"/>
          <w:rtl/>
          <w:lang w:val="en-GB" w:eastAsia="zh-TW"/>
        </w:rPr>
      </w:pPr>
      <w:r w:rsidRPr="002169A4">
        <w:rPr>
          <w:rFonts w:ascii="Traditional Arabic" w:hAnsi="Traditional Arabic" w:cs="Traditional Arabic"/>
          <w:sz w:val="30"/>
          <w:szCs w:val="30"/>
          <w:rtl/>
          <w:lang w:val="en-GB" w:eastAsia="zh-TW"/>
        </w:rPr>
        <w:t>’1‘</w:t>
      </w:r>
      <w:r w:rsidR="008A34FB">
        <w:rPr>
          <w:rFonts w:ascii="Traditional Arabic" w:hAnsi="Traditional Arabic" w:cs="Traditional Arabic"/>
          <w:sz w:val="30"/>
          <w:szCs w:val="30"/>
          <w:lang w:val="en-GB" w:eastAsia="zh-TW"/>
        </w:rPr>
        <w:tab/>
      </w:r>
      <w:r w:rsidRPr="002169A4">
        <w:rPr>
          <w:rFonts w:ascii="Traditional Arabic" w:hAnsi="Traditional Arabic" w:cs="Traditional Arabic"/>
          <w:i/>
          <w:iCs/>
          <w:sz w:val="30"/>
          <w:szCs w:val="30"/>
          <w:rtl/>
          <w:lang w:val="en-GB" w:eastAsia="zh-TW"/>
        </w:rPr>
        <w:t>الحفاظ على الوضع الراهن للسياسة الدولية المتعلقة بالشعاب المرجانية، مع تسريع التنفيذ</w:t>
      </w:r>
      <w:r w:rsidR="0012118D">
        <w:rPr>
          <w:rFonts w:ascii="Traditional Arabic" w:hAnsi="Traditional Arabic" w:cs="Traditional Arabic" w:hint="cs"/>
          <w:i/>
          <w:iCs/>
          <w:sz w:val="30"/>
          <w:szCs w:val="30"/>
          <w:rtl/>
          <w:lang w:val="en-GB" w:eastAsia="zh-TW"/>
        </w:rPr>
        <w:t>.</w:t>
      </w:r>
      <w:r w:rsidRPr="002169A4">
        <w:rPr>
          <w:rFonts w:ascii="Traditional Arabic" w:hAnsi="Traditional Arabic" w:cs="Traditional Arabic"/>
          <w:sz w:val="30"/>
          <w:szCs w:val="30"/>
          <w:rtl/>
          <w:lang w:val="en-GB" w:eastAsia="zh-TW"/>
        </w:rPr>
        <w:t xml:space="preserve"> سيستند هذا إلى الالتزام المتجدد من الدول بالتصدي للعوامل الدافعة لتدهور النظم الإيكولوجية للشعاب المرجانية، وقد يشمل تقييمات السياسات العامة على الصعيد الوطني، وتحديد الثغرات، ووضع خطط متكاملة لتنفيذ الالتزامات الدولية، مع تخصيص الموارد الكافية.</w:t>
      </w:r>
    </w:p>
    <w:p w14:paraId="5FB105A0" w14:textId="067BF881" w:rsidR="002169A4" w:rsidRPr="002169A4" w:rsidRDefault="002169A4" w:rsidP="008A34FB">
      <w:pPr>
        <w:tabs>
          <w:tab w:val="left" w:pos="2408"/>
          <w:tab w:val="left" w:pos="2975"/>
        </w:tabs>
        <w:spacing w:after="120" w:line="400" w:lineRule="exact"/>
        <w:ind w:left="1132" w:firstLine="709"/>
        <w:jc w:val="both"/>
        <w:textDirection w:val="tbRlV"/>
        <w:rPr>
          <w:rFonts w:ascii="Traditional Arabic" w:hAnsi="Traditional Arabic" w:cs="Traditional Arabic"/>
          <w:sz w:val="30"/>
          <w:szCs w:val="30"/>
          <w:rtl/>
          <w:lang w:val="en-GB" w:eastAsia="zh-TW"/>
        </w:rPr>
      </w:pPr>
      <w:r w:rsidRPr="002169A4">
        <w:rPr>
          <w:rFonts w:ascii="Traditional Arabic" w:hAnsi="Traditional Arabic" w:cs="Traditional Arabic"/>
          <w:sz w:val="30"/>
          <w:szCs w:val="30"/>
          <w:rtl/>
          <w:lang w:val="en-GB" w:eastAsia="zh-TW"/>
        </w:rPr>
        <w:t>’2‘</w:t>
      </w:r>
      <w:r w:rsidR="008A34FB">
        <w:rPr>
          <w:rFonts w:ascii="Traditional Arabic" w:hAnsi="Traditional Arabic" w:cs="Traditional Arabic"/>
          <w:sz w:val="30"/>
          <w:szCs w:val="30"/>
          <w:lang w:val="en-GB" w:eastAsia="zh-TW"/>
        </w:rPr>
        <w:tab/>
      </w:r>
      <w:r w:rsidRPr="002169A4">
        <w:rPr>
          <w:rFonts w:ascii="Traditional Arabic" w:hAnsi="Traditional Arabic" w:cs="Traditional Arabic"/>
          <w:i/>
          <w:iCs/>
          <w:sz w:val="30"/>
          <w:szCs w:val="30"/>
          <w:rtl/>
          <w:lang w:val="en-GB" w:eastAsia="zh-TW"/>
        </w:rPr>
        <w:t>تعزيز إطار السياسات الدولية وآليات الإدارة القائمة</w:t>
      </w:r>
      <w:r w:rsidRPr="002169A4">
        <w:rPr>
          <w:rFonts w:ascii="Traditional Arabic" w:hAnsi="Traditional Arabic" w:cs="Traditional Arabic"/>
          <w:sz w:val="30"/>
          <w:szCs w:val="30"/>
          <w:rtl/>
          <w:lang w:val="en-GB" w:eastAsia="zh-TW"/>
        </w:rPr>
        <w:t>. يمكن تنقيح إطار السياسات الحالي لتعزيز الالتزامات وتحسين الآليات والحوافز من أجل تنفيذ هذه الالتزامات. ويمكن أيضاً تعزيز ولاية المنظمات الدولية المعنية لتمكينها من تقديم المساعدة الفعالة للدول في هذا الصدد. ويمكن أن يشمل ذلك تشجيع التصديق على الصكوك السياساتية الملزمة ذات الصلة، وتعديل الصكوك السياساتية الإقليمية من قبيل اتفاقيات وخطط عمل البحار الإقليمية من أجل تعزيز السياسات المتعلقة بالشعاب المرجانية. ويمكن تعزيز التتبع والإبلاغ من خلال جمعية البيئة، وكذلك يمكن للكيانات المشاركة في المبادرة الدولية للشعاب المرجانية أن تمنحها دوراً أوسع في هذا الصدد. وبالإضافة إلى ذلك، يمكن لمؤسسات التمويل الإنمائي أن تعتمد ضمانات الشعاب المرجانية، التي يمكن إلحاقها بالإطار القائم للضمانات البيئية.</w:t>
      </w:r>
    </w:p>
    <w:p w14:paraId="2531BDC5" w14:textId="5CF9232F" w:rsidR="002169A4" w:rsidRPr="002169A4" w:rsidRDefault="002169A4" w:rsidP="008A34FB">
      <w:pPr>
        <w:tabs>
          <w:tab w:val="left" w:pos="2408"/>
          <w:tab w:val="left" w:pos="2975"/>
        </w:tabs>
        <w:spacing w:after="120" w:line="400" w:lineRule="exact"/>
        <w:ind w:left="1132" w:firstLine="709"/>
        <w:jc w:val="both"/>
        <w:textDirection w:val="tbRlV"/>
        <w:rPr>
          <w:rFonts w:ascii="Traditional Arabic" w:hAnsi="Traditional Arabic" w:cs="Traditional Arabic"/>
          <w:sz w:val="30"/>
          <w:szCs w:val="30"/>
          <w:rtl/>
          <w:lang w:val="en-GB" w:eastAsia="zh-TW"/>
        </w:rPr>
      </w:pPr>
      <w:r w:rsidRPr="002169A4">
        <w:rPr>
          <w:rFonts w:ascii="Traditional Arabic" w:hAnsi="Traditional Arabic" w:cs="Traditional Arabic"/>
          <w:sz w:val="30"/>
          <w:szCs w:val="30"/>
          <w:rtl/>
          <w:lang w:val="en-GB" w:eastAsia="zh-TW"/>
        </w:rPr>
        <w:t>’3‘</w:t>
      </w:r>
      <w:r w:rsidR="008A34FB">
        <w:rPr>
          <w:rFonts w:ascii="Traditional Arabic" w:hAnsi="Traditional Arabic" w:cs="Traditional Arabic"/>
          <w:sz w:val="30"/>
          <w:szCs w:val="30"/>
          <w:lang w:val="en-GB" w:eastAsia="zh-TW"/>
        </w:rPr>
        <w:tab/>
      </w:r>
      <w:r w:rsidRPr="002169A4">
        <w:rPr>
          <w:rFonts w:ascii="Traditional Arabic" w:hAnsi="Traditional Arabic" w:cs="Traditional Arabic"/>
          <w:i/>
          <w:iCs/>
          <w:sz w:val="30"/>
          <w:szCs w:val="30"/>
          <w:rtl/>
          <w:lang w:val="en-GB" w:eastAsia="zh-TW"/>
        </w:rPr>
        <w:t>استحداث أدوات سياساتية دولية جديدة و/أو آليات جديدة للحوكمة</w:t>
      </w:r>
      <w:r w:rsidRPr="002169A4">
        <w:rPr>
          <w:rFonts w:ascii="Traditional Arabic" w:hAnsi="Traditional Arabic" w:cs="Traditional Arabic"/>
          <w:sz w:val="30"/>
          <w:szCs w:val="30"/>
          <w:rtl/>
          <w:lang w:val="en-GB" w:eastAsia="zh-TW"/>
        </w:rPr>
        <w:t>. تعتبر الالتزامات القائمة ”ضعيفة“ بوجه عام من حيث المتطلبات التي تفرضها على الدول، وكثيراً ما تكون الآليات التي تدعم التنفيذ غير موجودة. ويمكن للدول أن تتفق على وضع أدوات سياساتية جديدة تتناول الشعاب المرجانية تحديداً، تقترن على سبيل المثال، بأهداف للدوافع المختلفة المتولدة محلياً التي تؤثر على الشعاب المرجانية (يحتمل أن تكون متداخلة ضمن أحد الصكوك القائمة أو الناشئة، مثل الهدف والخطة المصاحبة المتعلقين تحديداً بالشعاب المرجانية في إطار التنوع البيولوجي لما بعد العام 2020، والصكوك المحددة في سياق خطة التنمية المستدامة لعام ٢٠٣٠ و/أو اتفاقية الأمم المتحدة الإطارية بشأن تغير المناخ) ويمكن للدول أيضا</w:t>
      </w:r>
      <w:r w:rsidR="004D0E35">
        <w:rPr>
          <w:rFonts w:ascii="Traditional Arabic" w:hAnsi="Traditional Arabic" w:cs="Traditional Arabic" w:hint="cs"/>
          <w:sz w:val="30"/>
          <w:szCs w:val="30"/>
          <w:rtl/>
          <w:lang w:val="en-GB" w:eastAsia="zh-TW"/>
        </w:rPr>
        <w:t>ً</w:t>
      </w:r>
      <w:r w:rsidRPr="002169A4">
        <w:rPr>
          <w:rFonts w:ascii="Traditional Arabic" w:hAnsi="Traditional Arabic" w:cs="Traditional Arabic"/>
          <w:sz w:val="30"/>
          <w:szCs w:val="30"/>
          <w:rtl/>
          <w:lang w:val="en-GB" w:eastAsia="zh-TW"/>
        </w:rPr>
        <w:t xml:space="preserve"> أن تتفق على إنشاء آلية جديدة (مثل لجنة أو منتدى للأمم المتحدة) تضطلع بولاية التنسيق والتيسير والرصد والإبلاغ لدعم الأعمال بشأن الالتزامات القائمة.</w:t>
      </w:r>
    </w:p>
    <w:p w14:paraId="0049EA10" w14:textId="0157BD02" w:rsidR="002169A4" w:rsidRPr="002169A4" w:rsidRDefault="002169A4" w:rsidP="008A34FB">
      <w:pPr>
        <w:tabs>
          <w:tab w:val="left" w:pos="2408"/>
          <w:tab w:val="left" w:pos="2975"/>
        </w:tabs>
        <w:spacing w:after="120" w:line="400" w:lineRule="exact"/>
        <w:ind w:left="1132" w:firstLine="709"/>
        <w:jc w:val="both"/>
        <w:textDirection w:val="tbRlV"/>
        <w:rPr>
          <w:rFonts w:ascii="Traditional Arabic" w:hAnsi="Traditional Arabic" w:cs="Traditional Arabic"/>
          <w:sz w:val="30"/>
          <w:szCs w:val="30"/>
          <w:rtl/>
          <w:lang w:val="en-GB" w:eastAsia="zh-TW"/>
        </w:rPr>
      </w:pPr>
      <w:r w:rsidRPr="002169A4">
        <w:rPr>
          <w:rFonts w:ascii="Traditional Arabic" w:hAnsi="Traditional Arabic" w:cs="Traditional Arabic" w:hint="cs"/>
          <w:sz w:val="30"/>
          <w:szCs w:val="30"/>
          <w:rtl/>
          <w:lang w:val="en-GB" w:eastAsia="zh-TW"/>
        </w:rPr>
        <w:t>’4‘</w:t>
      </w:r>
      <w:r w:rsidR="008A34FB">
        <w:rPr>
          <w:rFonts w:ascii="Traditional Arabic" w:hAnsi="Traditional Arabic" w:cs="Traditional Arabic"/>
          <w:sz w:val="30"/>
          <w:szCs w:val="30"/>
          <w:lang w:val="en-GB" w:eastAsia="zh-TW"/>
        </w:rPr>
        <w:tab/>
      </w:r>
      <w:r w:rsidRPr="002169A4">
        <w:rPr>
          <w:rFonts w:ascii="Traditional Arabic" w:hAnsi="Traditional Arabic" w:cs="Traditional Arabic"/>
          <w:i/>
          <w:iCs/>
          <w:sz w:val="30"/>
          <w:szCs w:val="30"/>
          <w:rtl/>
          <w:lang w:val="en-GB" w:eastAsia="zh-TW"/>
        </w:rPr>
        <w:t>تقديم الدعم السريع لتنفيذ السياسات التي تستهدف مجموعة فرعية من البلدا</w:t>
      </w:r>
      <w:r w:rsidRPr="002169A4">
        <w:rPr>
          <w:rFonts w:ascii="Traditional Arabic" w:hAnsi="Traditional Arabic" w:cs="Traditional Arabic"/>
          <w:sz w:val="30"/>
          <w:szCs w:val="30"/>
          <w:rtl/>
          <w:lang w:val="en-GB" w:eastAsia="zh-TW"/>
        </w:rPr>
        <w:t>ن. يستأثر عدد قليل من البلدان بنسبة كبيرة من الشعاب المرجانية في العالم، بما في ذلك نسبة كبيرة من الملاذات المناخية للشعاب المرجانية. ويمكن التركيز على دعم هذه الدول، ولا</w:t>
      </w:r>
      <w:r w:rsidR="004D0E35">
        <w:rPr>
          <w:rFonts w:ascii="Traditional Arabic" w:hAnsi="Traditional Arabic" w:cs="Traditional Arabic" w:hint="cs"/>
          <w:sz w:val="30"/>
          <w:szCs w:val="30"/>
          <w:rtl/>
          <w:lang w:val="en-GB" w:eastAsia="zh-TW"/>
        </w:rPr>
        <w:t> </w:t>
      </w:r>
      <w:r w:rsidRPr="002169A4">
        <w:rPr>
          <w:rFonts w:ascii="Traditional Arabic" w:hAnsi="Traditional Arabic" w:cs="Traditional Arabic"/>
          <w:sz w:val="30"/>
          <w:szCs w:val="30"/>
          <w:rtl/>
          <w:lang w:val="en-GB" w:eastAsia="zh-TW"/>
        </w:rPr>
        <w:t>سيما البلدان المنخفضة الدخل والشريحة الدنيا من البلدان المتوسطة الدخل والدول الجزرية الصغيرة النامية منها، في تنفيذ الالتزامات الدولية القائمة للتصدي للدوافع المتولدة محلياً لتغيرات النظم الإيكولوجية للشعاب المرجانية. ويمكن أن يشمل هذا الدعم العناصر المحددة في المسارات المحتملة المذكورة أعلاه، بما في ذلك، على سبيل المثال، المراجعة الذاتية للسياسات الوطنية بهدف وضع خطط التنفيذ وتحديد أي احتياجات في مجال القدرات البشرية أو المالية؛ وإنشاء فريق للرصد الدولي (مثلا</w:t>
      </w:r>
      <w:r w:rsidR="004D0E35">
        <w:rPr>
          <w:rFonts w:ascii="Traditional Arabic" w:hAnsi="Traditional Arabic" w:cs="Traditional Arabic" w:hint="cs"/>
          <w:sz w:val="30"/>
          <w:szCs w:val="30"/>
          <w:rtl/>
          <w:lang w:val="en-GB" w:eastAsia="zh-TW"/>
        </w:rPr>
        <w:t>ً</w:t>
      </w:r>
      <w:r w:rsidRPr="002169A4">
        <w:rPr>
          <w:rFonts w:ascii="Traditional Arabic" w:hAnsi="Traditional Arabic" w:cs="Traditional Arabic"/>
          <w:sz w:val="30"/>
          <w:szCs w:val="30"/>
          <w:rtl/>
          <w:lang w:val="en-GB" w:eastAsia="zh-TW"/>
        </w:rPr>
        <w:t xml:space="preserve"> ”مرصد سياسات الشعاب المرجانية“) أو تكليف المبادرة الدولية للشعاب المرجانية برصد التقدم المحرز في تنفيذ الالتزامات؛ وإنشاء آلية تمويل جديدة لدعم الإدارة المستدامة للشعاب المرجانية التي تستهدف هذه البلدان.</w:t>
      </w:r>
    </w:p>
    <w:p w14:paraId="2EA523D5" w14:textId="77777777" w:rsidR="002169A4" w:rsidRPr="002169A4" w:rsidRDefault="002169A4" w:rsidP="004D0E35">
      <w:pPr>
        <w:tabs>
          <w:tab w:val="left" w:pos="2408"/>
          <w:tab w:val="left" w:pos="2975"/>
        </w:tabs>
        <w:spacing w:after="120" w:line="400" w:lineRule="exact"/>
        <w:ind w:left="1132"/>
        <w:jc w:val="both"/>
        <w:textDirection w:val="tbRlV"/>
        <w:rPr>
          <w:rFonts w:ascii="Traditional Arabic" w:hAnsi="Traditional Arabic" w:cs="Traditional Arabic"/>
          <w:sz w:val="30"/>
          <w:szCs w:val="30"/>
          <w:rtl/>
          <w:lang w:val="en-GB" w:eastAsia="zh-TW"/>
        </w:rPr>
      </w:pPr>
      <w:r w:rsidRPr="002169A4">
        <w:rPr>
          <w:rFonts w:ascii="Traditional Arabic" w:hAnsi="Traditional Arabic" w:cs="Traditional Arabic"/>
          <w:sz w:val="30"/>
          <w:szCs w:val="30"/>
          <w:rtl/>
          <w:lang w:val="en-GB" w:eastAsia="zh-TW"/>
        </w:rPr>
        <w:t>وبقاء الأمور على حالها، الذي يمكن اعتباره مساراً خامساً مختلفاً، ليس خياراً مجدياً للإدارة المستدامة للشعاب المرجانية.</w:t>
      </w:r>
    </w:p>
    <w:p w14:paraId="105C68D1" w14:textId="77777777" w:rsidR="002169A4" w:rsidRPr="002169A4" w:rsidRDefault="002169A4" w:rsidP="008A34FB">
      <w:pPr>
        <w:pStyle w:val="ListParagraph"/>
        <w:numPr>
          <w:ilvl w:val="0"/>
          <w:numId w:val="6"/>
        </w:numPr>
        <w:tabs>
          <w:tab w:val="left" w:pos="1841"/>
          <w:tab w:val="left" w:pos="2381"/>
          <w:tab w:val="left" w:pos="2948"/>
          <w:tab w:val="left" w:pos="3515"/>
          <w:tab w:val="left" w:pos="4082"/>
        </w:tabs>
        <w:spacing w:after="120" w:line="400" w:lineRule="exact"/>
        <w:ind w:left="1132" w:firstLine="0"/>
        <w:jc w:val="both"/>
        <w:textDirection w:val="tbRlV"/>
        <w:rPr>
          <w:rFonts w:ascii="Traditional Arabic" w:hAnsi="Traditional Arabic" w:cs="Traditional Arabic"/>
          <w:sz w:val="30"/>
          <w:szCs w:val="30"/>
          <w:rtl/>
          <w:lang w:val="en-GB" w:eastAsia="zh-TW"/>
        </w:rPr>
      </w:pPr>
      <w:r w:rsidRPr="002169A4">
        <w:rPr>
          <w:rFonts w:ascii="Traditional Arabic" w:hAnsi="Traditional Arabic" w:cs="Traditional Arabic"/>
          <w:sz w:val="30"/>
          <w:szCs w:val="30"/>
          <w:rtl/>
          <w:lang w:val="en-GB" w:eastAsia="zh-TW"/>
        </w:rPr>
        <w:lastRenderedPageBreak/>
        <w:t>ومن المهم للغاية التصدي لتحديات القدرات البشرية والمالية من أجل تنفيذ الالتزامات الدولية على الصعيد الوطني، بغض النظر عن مسار السياسات الذي يتَّبع. ويلزم بذلك جهود أقوى لبناء القدرات التي تدعم الفعالية في وضع السياسات المتعلقة بالشعاب المرجانية وتنفيذها على الصعيدين الدولي والوطني. ويعترف على نطاق واسع بالضرورة الملحة لزيادة وتنويع التمويل المخصص للشعاب المرجانية. ويوصى بآلية تمويل جديدة أو موسعة لدعم التنفيذ الوطني للالتزامات الدولية القائمة فيما يتعلق بالشعاب المرجانية.</w:t>
      </w:r>
    </w:p>
    <w:p w14:paraId="442DD1E6" w14:textId="4A7ABC45" w:rsidR="002169A4" w:rsidRPr="004D0E35" w:rsidRDefault="002169A4" w:rsidP="009906A6">
      <w:pPr>
        <w:keepNext/>
        <w:keepLines/>
        <w:tabs>
          <w:tab w:val="left" w:pos="1132"/>
          <w:tab w:val="left" w:pos="2381"/>
          <w:tab w:val="left" w:pos="2948"/>
          <w:tab w:val="left" w:pos="3515"/>
          <w:tab w:val="left" w:pos="4082"/>
        </w:tabs>
        <w:suppressAutoHyphens/>
        <w:spacing w:after="120" w:line="400" w:lineRule="exact"/>
        <w:ind w:left="1134" w:right="284" w:hanging="709"/>
        <w:jc w:val="both"/>
        <w:textDirection w:val="tbRlV"/>
        <w:rPr>
          <w:rFonts w:ascii="Traditional Arabic" w:hAnsi="Traditional Arabic" w:cs="Traditional Arabic"/>
          <w:bCs/>
          <w:sz w:val="30"/>
          <w:szCs w:val="30"/>
          <w:rtl/>
          <w:lang w:val="en-GB" w:eastAsia="zh-TW"/>
        </w:rPr>
      </w:pPr>
      <w:r w:rsidRPr="004D0E35">
        <w:rPr>
          <w:rFonts w:ascii="Traditional Arabic" w:hAnsi="Traditional Arabic" w:cs="Traditional Arabic"/>
          <w:bCs/>
          <w:sz w:val="30"/>
          <w:szCs w:val="30"/>
          <w:rtl/>
          <w:lang w:val="en-GB" w:eastAsia="zh-TW"/>
        </w:rPr>
        <w:t>باء</w:t>
      </w:r>
      <w:r w:rsidR="008A34FB" w:rsidRPr="004D0E35">
        <w:rPr>
          <w:rFonts w:ascii="Traditional Arabic" w:hAnsi="Traditional Arabic" w:cs="Traditional Arabic"/>
          <w:bCs/>
          <w:sz w:val="30"/>
          <w:szCs w:val="30"/>
          <w:lang w:val="en-GB" w:eastAsia="zh-TW"/>
        </w:rPr>
        <w:t xml:space="preserve"> </w:t>
      </w:r>
      <w:r w:rsidRPr="004D0E35">
        <w:rPr>
          <w:rFonts w:ascii="Traditional Arabic" w:hAnsi="Traditional Arabic" w:cs="Traditional Arabic"/>
          <w:bCs/>
          <w:sz w:val="30"/>
          <w:szCs w:val="30"/>
          <w:rtl/>
          <w:lang w:val="en-GB" w:eastAsia="zh-TW"/>
        </w:rPr>
        <w:t>-</w:t>
      </w:r>
      <w:r w:rsidR="0012118D" w:rsidRPr="004D0E35">
        <w:rPr>
          <w:rFonts w:ascii="Traditional Arabic" w:hAnsi="Traditional Arabic" w:cs="Traditional Arabic"/>
          <w:bCs/>
          <w:sz w:val="30"/>
          <w:szCs w:val="30"/>
          <w:rtl/>
          <w:lang w:val="en-GB" w:eastAsia="zh-TW"/>
        </w:rPr>
        <w:tab/>
      </w:r>
      <w:r w:rsidRPr="004D0E35">
        <w:rPr>
          <w:rFonts w:ascii="Traditional Arabic" w:hAnsi="Traditional Arabic" w:cs="Traditional Arabic"/>
          <w:bCs/>
          <w:sz w:val="30"/>
          <w:szCs w:val="30"/>
          <w:rtl/>
          <w:lang w:val="en-GB" w:eastAsia="zh-TW"/>
        </w:rPr>
        <w:t>الإجراءات المقترح اتخاذها</w:t>
      </w:r>
    </w:p>
    <w:p w14:paraId="2CDA3255" w14:textId="324709DB" w:rsidR="002169A4" w:rsidRPr="002169A4" w:rsidRDefault="002169A4" w:rsidP="009906A6">
      <w:pPr>
        <w:pStyle w:val="ListParagraph"/>
        <w:numPr>
          <w:ilvl w:val="0"/>
          <w:numId w:val="6"/>
        </w:numPr>
        <w:tabs>
          <w:tab w:val="left" w:pos="1841"/>
        </w:tabs>
        <w:spacing w:after="120" w:line="400" w:lineRule="exact"/>
        <w:ind w:left="1134" w:firstLine="0"/>
        <w:jc w:val="both"/>
        <w:textDirection w:val="tbRlV"/>
        <w:rPr>
          <w:rFonts w:ascii="Traditional Arabic" w:hAnsi="Traditional Arabic" w:cs="Traditional Arabic"/>
          <w:sz w:val="30"/>
          <w:szCs w:val="30"/>
          <w:rtl/>
          <w:lang w:val="en-GB" w:eastAsia="zh-TW"/>
        </w:rPr>
      </w:pPr>
      <w:r w:rsidRPr="002169A4">
        <w:rPr>
          <w:rFonts w:ascii="Traditional Arabic" w:hAnsi="Traditional Arabic" w:cs="Traditional Arabic"/>
          <w:sz w:val="30"/>
          <w:szCs w:val="30"/>
          <w:rtl/>
          <w:lang w:val="en-GB" w:eastAsia="zh-TW"/>
        </w:rPr>
        <w:t>قد تود الدول الأعضاء أن تنشئ، من خلال جمعية البيئة، عملية لتحديد وتحليل الخيارات المتعلقة بالسياسات والإدارة. ويمكن القيام بذلك عن طريق فريق عامل يتألف من ممثلين للدول الأعضاء والمجموعات الرئيسية والجهات صاحبة المصلحة، يعهد إليه بولاية تحديد العوائق والخيارات المحتملة والنظر في جدوى وفعالية هذه الأخيرة. وتشجع الدول الأعضاء أيضاً على معالجة المسائل المحددة في التحليل من خلال العمليات الدولية ذات الصلة (مثل إطار التنوع البيولوجي لما بعد العام 2020) والعمل على الصعيد الوطني.</w:t>
      </w:r>
    </w:p>
    <w:p w14:paraId="49C9AF2F" w14:textId="2B84CC73" w:rsidR="002169A4" w:rsidRPr="002169A4" w:rsidRDefault="002169A4" w:rsidP="004D0E35">
      <w:pPr>
        <w:pStyle w:val="ListParagraph"/>
        <w:numPr>
          <w:ilvl w:val="0"/>
          <w:numId w:val="6"/>
        </w:numPr>
        <w:tabs>
          <w:tab w:val="left" w:pos="1841"/>
        </w:tabs>
        <w:spacing w:after="120" w:line="400" w:lineRule="exact"/>
        <w:ind w:left="1132" w:firstLine="0"/>
        <w:jc w:val="both"/>
        <w:textDirection w:val="tbRlV"/>
        <w:rPr>
          <w:rFonts w:ascii="Traditional Arabic" w:hAnsi="Traditional Arabic" w:cs="Traditional Arabic"/>
          <w:sz w:val="30"/>
          <w:szCs w:val="30"/>
          <w:rtl/>
          <w:lang w:val="en-GB" w:eastAsia="zh-TW"/>
        </w:rPr>
      </w:pPr>
      <w:r w:rsidRPr="002169A4">
        <w:rPr>
          <w:rFonts w:ascii="Traditional Arabic" w:hAnsi="Traditional Arabic" w:cs="Traditional Arabic"/>
          <w:sz w:val="30"/>
          <w:szCs w:val="30"/>
          <w:rtl/>
          <w:lang w:val="en-GB" w:eastAsia="zh-TW"/>
        </w:rPr>
        <w:t>ومن الممكن أن يؤدي وضع آلية تمويل جديدة تتناول بالتحديد النظم الإيكولوجية للشعاب المرجانية، مثل صندوق عالمي يقدم المنح، والتمويل بشروط ميسرة و/أو التمويل الاستثماري للتعجيل بالتقدم نحو تحقيق الأهداف والالتزامات الدولية الالتزامات، إلى تحقيق فوائد كبيرة اجتماعية</w:t>
      </w:r>
      <w:r w:rsidR="004D0E35">
        <w:rPr>
          <w:rFonts w:ascii="Traditional Arabic" w:hAnsi="Traditional Arabic" w:cs="Traditional Arabic" w:hint="cs"/>
          <w:sz w:val="30"/>
          <w:szCs w:val="30"/>
          <w:rtl/>
          <w:lang w:val="en-GB" w:eastAsia="zh-TW"/>
        </w:rPr>
        <w:t> </w:t>
      </w:r>
      <w:r w:rsidRPr="002169A4">
        <w:rPr>
          <w:rFonts w:ascii="Traditional Arabic" w:hAnsi="Traditional Arabic" w:cs="Traditional Arabic"/>
          <w:sz w:val="30"/>
          <w:szCs w:val="30"/>
          <w:rtl/>
          <w:lang w:val="en-GB" w:eastAsia="zh-TW"/>
        </w:rPr>
        <w:t>-</w:t>
      </w:r>
      <w:r w:rsidR="004D0E35">
        <w:rPr>
          <w:rFonts w:ascii="Traditional Arabic" w:hAnsi="Traditional Arabic" w:cs="Traditional Arabic" w:hint="eastAsia"/>
          <w:sz w:val="30"/>
          <w:szCs w:val="30"/>
          <w:rtl/>
          <w:lang w:val="en-GB" w:eastAsia="zh-TW"/>
        </w:rPr>
        <w:t> </w:t>
      </w:r>
      <w:r w:rsidRPr="002169A4">
        <w:rPr>
          <w:rFonts w:ascii="Traditional Arabic" w:hAnsi="Traditional Arabic" w:cs="Traditional Arabic"/>
          <w:sz w:val="30"/>
          <w:szCs w:val="30"/>
          <w:rtl/>
          <w:lang w:val="en-GB" w:eastAsia="zh-TW"/>
        </w:rPr>
        <w:t>اقتصادية، وللتنوع البيولوجي البحري وكذلك منافع التكيف مع المناخ.</w:t>
      </w:r>
    </w:p>
    <w:p w14:paraId="595282C7" w14:textId="2CD4984E" w:rsidR="002169A4" w:rsidRPr="002169A4" w:rsidRDefault="002169A4" w:rsidP="008A34FB">
      <w:pPr>
        <w:pStyle w:val="ListParagraph"/>
        <w:numPr>
          <w:ilvl w:val="0"/>
          <w:numId w:val="6"/>
        </w:numPr>
        <w:tabs>
          <w:tab w:val="left" w:pos="1841"/>
        </w:tabs>
        <w:spacing w:after="120" w:line="400" w:lineRule="exact"/>
        <w:ind w:left="1132" w:firstLine="0"/>
        <w:jc w:val="both"/>
        <w:textDirection w:val="tbRlV"/>
        <w:rPr>
          <w:rFonts w:ascii="Traditional Arabic" w:hAnsi="Traditional Arabic" w:cs="Traditional Arabic"/>
          <w:sz w:val="30"/>
          <w:szCs w:val="30"/>
          <w:rtl/>
          <w:lang w:val="en-GB" w:eastAsia="zh-TW"/>
        </w:rPr>
      </w:pPr>
      <w:r w:rsidRPr="002169A4">
        <w:rPr>
          <w:rFonts w:ascii="Traditional Arabic" w:hAnsi="Traditional Arabic" w:cs="Traditional Arabic"/>
          <w:sz w:val="30"/>
          <w:szCs w:val="30"/>
          <w:rtl/>
          <w:lang w:val="en-GB" w:eastAsia="zh-TW"/>
        </w:rPr>
        <w:t>وينبغي أن تؤدي المشاركة في الشبكة العالمية لرصد الشعاب المرجانية وتطبيق المؤشرات وأفضل الممارسات التي تحدد من خلال هذه العملية إلى تعزيز الرصد والإبلاغ في سياق الأدوات السياساتية وآليات الحوكمة المتعلقة بالشعاب المرجانية فضلا</w:t>
      </w:r>
      <w:r w:rsidR="00B63ACB">
        <w:rPr>
          <w:rFonts w:ascii="Traditional Arabic" w:hAnsi="Traditional Arabic" w:cs="Traditional Arabic" w:hint="cs"/>
          <w:sz w:val="30"/>
          <w:szCs w:val="30"/>
          <w:rtl/>
          <w:lang w:val="en-GB" w:eastAsia="zh-TW"/>
        </w:rPr>
        <w:t>ً</w:t>
      </w:r>
      <w:r w:rsidRPr="002169A4">
        <w:rPr>
          <w:rFonts w:ascii="Traditional Arabic" w:hAnsi="Traditional Arabic" w:cs="Traditional Arabic"/>
          <w:sz w:val="30"/>
          <w:szCs w:val="30"/>
          <w:rtl/>
          <w:lang w:val="en-GB" w:eastAsia="zh-TW"/>
        </w:rPr>
        <w:t xml:space="preserve"> عن الجهود الرامية إلى تعزيز وتنويع التمويل المخصص للشعاب المرجانية. ويمكن أن يشمل ذلك رصد حالة الشعاب المرجانية في سياق تتبع التقدم المحرز في خطة العام ٢٠٣٠، ويمكن متابعة إعداد تقرير عالمي بشأن هذه المسائل في العام ٢٠٢٠ بمزيد من التقارير في العامين 2025 و2030.</w:t>
      </w:r>
    </w:p>
    <w:p w14:paraId="293EBB09" w14:textId="77777777" w:rsidR="003D7E80" w:rsidRPr="003D7E80" w:rsidRDefault="00EC3A5F" w:rsidP="008A34FB">
      <w:pPr>
        <w:autoSpaceDE w:val="0"/>
        <w:autoSpaceDN w:val="0"/>
        <w:adjustRightInd w:val="0"/>
        <w:spacing w:after="120" w:line="400" w:lineRule="exact"/>
        <w:ind w:left="1134"/>
        <w:jc w:val="center"/>
        <w:rPr>
          <w:rFonts w:cs="Traditional Arabic"/>
          <w:sz w:val="30"/>
          <w:szCs w:val="30"/>
        </w:rPr>
      </w:pPr>
      <w:r>
        <w:rPr>
          <w:rFonts w:cs="Traditional Arabic"/>
          <w:sz w:val="30"/>
          <w:szCs w:val="30"/>
        </w:rPr>
        <w:t>______</w:t>
      </w:r>
      <w:r w:rsidR="008721C9">
        <w:rPr>
          <w:rFonts w:cs="Traditional Arabic"/>
          <w:sz w:val="30"/>
          <w:szCs w:val="30"/>
        </w:rPr>
        <w:t>_______</w:t>
      </w:r>
    </w:p>
    <w:sectPr w:rsidR="003D7E80" w:rsidRPr="003D7E80" w:rsidSect="009E5574">
      <w:headerReference w:type="even" r:id="rId11"/>
      <w:headerReference w:type="default" r:id="rId12"/>
      <w:footerReference w:type="even" r:id="rId13"/>
      <w:footerReference w:type="default" r:id="rId14"/>
      <w:footerReference w:type="first" r:id="rId15"/>
      <w:endnotePr>
        <w:numFmt w:val="lowerLetter"/>
      </w:endnotePr>
      <w:pgSz w:w="11906" w:h="16838" w:code="9"/>
      <w:pgMar w:top="907" w:right="1418" w:bottom="1418" w:left="992" w:header="539" w:footer="975" w:gutter="0"/>
      <w:cols w:space="720"/>
      <w:titlePg/>
      <w:bidi/>
      <w:rtlGutter/>
      <w:docGrid w:linePitch="2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CEBDED" w14:textId="77777777" w:rsidR="00662274" w:rsidRDefault="00662274">
      <w:r>
        <w:separator/>
      </w:r>
    </w:p>
  </w:endnote>
  <w:endnote w:type="continuationSeparator" w:id="0">
    <w:p w14:paraId="1E365E61" w14:textId="77777777" w:rsidR="00662274" w:rsidRDefault="006622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raditional Arabic">
    <w:charset w:val="B2"/>
    <w:family w:val="roman"/>
    <w:pitch w:val="variable"/>
    <w:sig w:usb0="00002003" w:usb1="80000000" w:usb2="00000008" w:usb3="00000000" w:csb0="00000041" w:csb1="00000000"/>
  </w:font>
  <w:font w:name="Simplified Arabic">
    <w:charset w:val="B2"/>
    <w:family w:val="roman"/>
    <w:pitch w:val="variable"/>
    <w:sig w:usb0="00002003" w:usb1="80000000" w:usb2="00000008" w:usb3="00000000" w:csb0="00000041" w:csb1="00000000"/>
  </w:font>
  <w:font w:name="Times">
    <w:panose1 w:val="02020603050405020304"/>
    <w:charset w:val="00"/>
    <w:family w:val="roman"/>
    <w:pitch w:val="variable"/>
    <w:sig w:usb0="E0002EFF" w:usb1="C000785B" w:usb2="00000009" w:usb3="00000000" w:csb0="000001FF" w:csb1="00000000"/>
  </w:font>
  <w:font w:name="Arabic Transparent">
    <w:altName w:val="Cambri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FFF869" w14:textId="10B8D90B" w:rsidR="00386B73" w:rsidRPr="0012040B" w:rsidRDefault="00386B73" w:rsidP="0012040B">
    <w:pPr>
      <w:pStyle w:val="Footer"/>
      <w:bidi w:val="0"/>
      <w:rPr>
        <w:rFonts w:ascii="Times New Roman" w:hAnsi="Times New Roman" w:cs="Times New Roman"/>
        <w:sz w:val="22"/>
        <w:szCs w:val="20"/>
        <w:rtl/>
      </w:rPr>
    </w:pPr>
    <w:r>
      <w:rPr>
        <w:rStyle w:val="PageNumber"/>
      </w:rPr>
      <w:fldChar w:fldCharType="begin"/>
    </w:r>
    <w:r>
      <w:rPr>
        <w:rStyle w:val="PageNumber"/>
        <w:rtl/>
      </w:rPr>
      <w:instrText xml:space="preserve"> </w:instrText>
    </w:r>
    <w:r>
      <w:rPr>
        <w:rStyle w:val="PageNumber"/>
      </w:rPr>
      <w:instrText>PAGE</w:instrText>
    </w:r>
    <w:r>
      <w:rPr>
        <w:rStyle w:val="PageNumber"/>
        <w:rtl/>
      </w:rPr>
      <w:instrText xml:space="preserve"> </w:instrText>
    </w:r>
    <w:r>
      <w:rPr>
        <w:rStyle w:val="PageNumber"/>
      </w:rPr>
      <w:fldChar w:fldCharType="separate"/>
    </w:r>
    <w:r w:rsidR="005E0EF6">
      <w:rPr>
        <w:rStyle w:val="PageNumber"/>
      </w:rPr>
      <w:t>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B128AE" w14:textId="489AEB01" w:rsidR="00386B73" w:rsidRPr="00780A9D" w:rsidRDefault="00386B73" w:rsidP="00780A9D">
    <w:pPr>
      <w:pStyle w:val="Footer"/>
      <w:tabs>
        <w:tab w:val="clear" w:pos="4153"/>
        <w:tab w:val="clear" w:pos="8306"/>
      </w:tabs>
      <w:bidi w:val="0"/>
      <w:jc w:val="left"/>
      <w:rPr>
        <w:rFonts w:ascii="Times New Roman" w:hAnsi="Times New Roman" w:cs="Times New Roman"/>
        <w:szCs w:val="20"/>
        <w:rtl/>
      </w:rPr>
    </w:pPr>
    <w:r w:rsidRPr="00780A9D">
      <w:rPr>
        <w:rStyle w:val="PageNumber"/>
        <w:rFonts w:ascii="Times New Roman" w:hAnsi="Times New Roman" w:cs="Times New Roman"/>
        <w:szCs w:val="20"/>
      </w:rPr>
      <w:fldChar w:fldCharType="begin"/>
    </w:r>
    <w:r w:rsidRPr="00780A9D">
      <w:rPr>
        <w:rStyle w:val="PageNumber"/>
        <w:rFonts w:ascii="Times New Roman" w:hAnsi="Times New Roman" w:cs="Times New Roman"/>
        <w:szCs w:val="20"/>
      </w:rPr>
      <w:instrText xml:space="preserve"> PAGE </w:instrText>
    </w:r>
    <w:r w:rsidRPr="00780A9D">
      <w:rPr>
        <w:rStyle w:val="PageNumber"/>
        <w:rFonts w:ascii="Times New Roman" w:hAnsi="Times New Roman" w:cs="Times New Roman"/>
        <w:szCs w:val="20"/>
      </w:rPr>
      <w:fldChar w:fldCharType="separate"/>
    </w:r>
    <w:r w:rsidR="005E0EF6">
      <w:rPr>
        <w:rStyle w:val="PageNumber"/>
        <w:rFonts w:ascii="Times New Roman" w:hAnsi="Times New Roman" w:cs="Times New Roman"/>
        <w:szCs w:val="20"/>
      </w:rPr>
      <w:t>3</w:t>
    </w:r>
    <w:r w:rsidRPr="00780A9D">
      <w:rPr>
        <w:rStyle w:val="PageNumber"/>
        <w:rFonts w:ascii="Times New Roman" w:hAnsi="Times New Roman" w:cs="Times New Roman"/>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A0E5E0" w14:textId="5A1AD2E4" w:rsidR="00386B73" w:rsidRPr="00217B48" w:rsidRDefault="00386B73" w:rsidP="00A94CE7">
    <w:pPr>
      <w:spacing w:line="200" w:lineRule="exact"/>
      <w:rPr>
        <w:szCs w:val="22"/>
        <w:rtl/>
      </w:rPr>
    </w:pPr>
    <w:r w:rsidRPr="00F45D78">
      <w:rPr>
        <w:rFonts w:cs="Times New Roman"/>
        <w:sz w:val="20"/>
        <w:szCs w:val="20"/>
        <w:lang w:val="en-GB"/>
      </w:rPr>
      <w:t>K1</w:t>
    </w:r>
    <w:r w:rsidR="00900B6E">
      <w:rPr>
        <w:rFonts w:cs="Times New Roman"/>
        <w:sz w:val="20"/>
        <w:szCs w:val="20"/>
        <w:lang w:val="en-GB"/>
      </w:rPr>
      <w:t>8</w:t>
    </w:r>
    <w:r>
      <w:rPr>
        <w:rFonts w:cs="Times New Roman"/>
        <w:sz w:val="20"/>
        <w:szCs w:val="20"/>
        <w:lang w:val="en-GB"/>
      </w:rPr>
      <w:t>0</w:t>
    </w:r>
    <w:r w:rsidR="00C07A4A">
      <w:rPr>
        <w:rFonts w:cs="Times New Roman"/>
        <w:sz w:val="20"/>
        <w:szCs w:val="20"/>
        <w:lang w:val="en-GB"/>
      </w:rPr>
      <w:t>4</w:t>
    </w:r>
    <w:r w:rsidR="002169A4">
      <w:rPr>
        <w:rFonts w:cs="Times New Roman"/>
        <w:sz w:val="20"/>
        <w:szCs w:val="20"/>
        <w:lang w:val="en-GB"/>
      </w:rPr>
      <w:t>119</w:t>
    </w:r>
    <w:r w:rsidRPr="00F45D78">
      <w:rPr>
        <w:rFonts w:cs="Times New Roman" w:hint="cs"/>
        <w:sz w:val="20"/>
        <w:szCs w:val="20"/>
        <w:rtl/>
        <w:lang w:val="en-GB"/>
      </w:rPr>
      <w:tab/>
    </w:r>
    <w:r w:rsidR="00B63ACB">
      <w:rPr>
        <w:rFonts w:cs="Times New Roman"/>
        <w:sz w:val="20"/>
        <w:szCs w:val="20"/>
      </w:rPr>
      <w:t>29</w:t>
    </w:r>
    <w:r w:rsidR="00C07A4A">
      <w:rPr>
        <w:rFonts w:cs="Times New Roman"/>
        <w:sz w:val="20"/>
        <w:szCs w:val="20"/>
      </w:rPr>
      <w:t>01</w:t>
    </w:r>
    <w:r w:rsidRPr="00F45D78">
      <w:rPr>
        <w:rFonts w:cs="Times New Roman"/>
        <w:sz w:val="20"/>
        <w:szCs w:val="20"/>
        <w:lang w:val="en-GB"/>
      </w:rPr>
      <w:t>1</w:t>
    </w:r>
    <w:r w:rsidR="00C07A4A">
      <w:rPr>
        <w:rFonts w:cs="Times New Roman"/>
        <w:sz w:val="20"/>
        <w:szCs w:val="20"/>
        <w:lang w:val="en-GB"/>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6A50CF" w14:textId="77777777" w:rsidR="00662274" w:rsidRDefault="00662274">
      <w:r>
        <w:separator/>
      </w:r>
    </w:p>
  </w:footnote>
  <w:footnote w:type="continuationSeparator" w:id="0">
    <w:p w14:paraId="15053D53" w14:textId="77777777" w:rsidR="00662274" w:rsidRDefault="00662274">
      <w:r>
        <w:continuationSeparator/>
      </w:r>
    </w:p>
  </w:footnote>
  <w:footnote w:id="1">
    <w:p w14:paraId="7F4A8009" w14:textId="552FD0E3" w:rsidR="00B4256C" w:rsidRPr="00D86E43" w:rsidRDefault="003A5DFB" w:rsidP="008A34FB">
      <w:pPr>
        <w:pStyle w:val="FootnoteText"/>
        <w:spacing w:after="40" w:line="300" w:lineRule="exact"/>
        <w:ind w:left="1134"/>
        <w:jc w:val="both"/>
        <w:textDirection w:val="tbRlV"/>
        <w:rPr>
          <w:rFonts w:ascii="Traditional Arabic" w:hAnsi="Traditional Arabic" w:cs="Traditional Arabic"/>
          <w:sz w:val="26"/>
          <w:szCs w:val="26"/>
          <w:rtl/>
          <w:lang w:eastAsia="zh-TW"/>
        </w:rPr>
      </w:pPr>
      <w:r w:rsidRPr="002D5112">
        <w:rPr>
          <w:sz w:val="18"/>
          <w:szCs w:val="18"/>
          <w:lang w:eastAsia="zh-TW"/>
        </w:rPr>
        <w:t>UNEP/</w:t>
      </w:r>
      <w:r w:rsidRPr="002D5112">
        <w:rPr>
          <w:sz w:val="18"/>
          <w:szCs w:val="18"/>
          <w:lang w:val="en-GB" w:eastAsia="zh-TW"/>
        </w:rPr>
        <w:t>EA.</w:t>
      </w:r>
      <w:r w:rsidRPr="002D5112">
        <w:rPr>
          <w:sz w:val="18"/>
          <w:szCs w:val="18"/>
          <w:lang w:eastAsia="zh-TW"/>
        </w:rPr>
        <w:t>4/1/Rev.1</w:t>
      </w:r>
      <w:r w:rsidR="00D86E43">
        <w:rPr>
          <w:lang w:eastAsia="zh-TW"/>
        </w:rPr>
        <w:t xml:space="preserve"> </w:t>
      </w:r>
      <w:r w:rsidR="00D86E43" w:rsidRPr="00D86E43">
        <w:rPr>
          <w:lang w:eastAsia="zh-TW"/>
        </w:rPr>
        <w:t xml:space="preserve"> </w:t>
      </w:r>
      <w:r w:rsidR="00D86E43" w:rsidRPr="00B63ACB">
        <w:rPr>
          <w:sz w:val="26"/>
          <w:szCs w:val="26"/>
          <w:vertAlign w:val="superscript"/>
          <w:lang w:eastAsia="zh-TW"/>
        </w:rPr>
        <w:t>*</w:t>
      </w:r>
      <w:r w:rsidR="00D86E43">
        <w:rPr>
          <w:rFonts w:ascii="Traditional Arabic" w:hAnsi="Traditional Arabic" w:cs="Traditional Arabic" w:hint="cs"/>
          <w:sz w:val="26"/>
          <w:szCs w:val="26"/>
          <w:rtl/>
          <w:lang w:eastAsia="zh-TW"/>
        </w:rPr>
        <w:t>.</w:t>
      </w:r>
    </w:p>
  </w:footnote>
  <w:footnote w:id="2">
    <w:p w14:paraId="46A93004" w14:textId="17436930" w:rsidR="005E0EF6" w:rsidRPr="00B63ACB" w:rsidRDefault="005E0EF6" w:rsidP="00B63ACB">
      <w:pPr>
        <w:pStyle w:val="FootnoteText"/>
        <w:ind w:firstLine="1132"/>
        <w:jc w:val="left"/>
        <w:rPr>
          <w:rFonts w:ascii="Traditional Arabic" w:hAnsi="Traditional Arabic" w:cs="Traditional Arabic"/>
          <w:sz w:val="26"/>
          <w:szCs w:val="26"/>
          <w:rtl/>
        </w:rPr>
      </w:pPr>
      <w:r>
        <w:rPr>
          <w:rFonts w:ascii="Traditional Arabic" w:hAnsi="Traditional Arabic" w:cs="Traditional Arabic" w:hint="cs"/>
          <w:sz w:val="26"/>
          <w:szCs w:val="26"/>
          <w:rtl/>
        </w:rPr>
        <w:t>(</w:t>
      </w:r>
      <w:r w:rsidRPr="0043188F">
        <w:rPr>
          <w:rStyle w:val="FootnoteReference"/>
          <w:rFonts w:ascii="Traditional Arabic" w:hAnsi="Traditional Arabic" w:cs="Traditional Arabic"/>
          <w:sz w:val="26"/>
          <w:szCs w:val="26"/>
          <w:vertAlign w:val="baseline"/>
          <w:rtl/>
        </w:rPr>
        <w:footnoteRef/>
      </w:r>
      <w:r>
        <w:rPr>
          <w:rFonts w:ascii="Traditional Arabic" w:hAnsi="Traditional Arabic" w:cs="Traditional Arabic" w:hint="cs"/>
          <w:sz w:val="26"/>
          <w:szCs w:val="26"/>
          <w:rtl/>
        </w:rPr>
        <w:t xml:space="preserve">)  </w:t>
      </w:r>
      <w:r w:rsidRPr="00B63ACB">
        <w:rPr>
          <w:rFonts w:asciiTheme="majorBidi" w:hAnsiTheme="majorBidi" w:cstheme="majorBidi"/>
          <w:sz w:val="18"/>
          <w:szCs w:val="18"/>
        </w:rPr>
        <w:t>UNEP/EA.2/Res.12</w:t>
      </w:r>
      <w:r w:rsidRPr="00B63ACB">
        <w:rPr>
          <w:rFonts w:ascii="Traditional Arabic" w:hAnsi="Traditional Arabic" w:cs="Traditional Arabic"/>
          <w:sz w:val="26"/>
          <w:szCs w:val="26"/>
          <w:rtl/>
        </w:rPr>
        <w:t>.</w:t>
      </w:r>
    </w:p>
  </w:footnote>
  <w:footnote w:id="3">
    <w:p w14:paraId="59946FBF" w14:textId="708CB860" w:rsidR="002169A4" w:rsidRPr="002169A4" w:rsidRDefault="002169A4" w:rsidP="00B63ACB">
      <w:pPr>
        <w:pStyle w:val="FootnoteText"/>
        <w:spacing w:after="40" w:line="300" w:lineRule="exact"/>
        <w:ind w:firstLine="1132"/>
        <w:jc w:val="both"/>
        <w:textDirection w:val="tbRlV"/>
        <w:rPr>
          <w:rFonts w:ascii="Traditional Arabic" w:hAnsi="Traditional Arabic" w:cs="Traditional Arabic"/>
          <w:sz w:val="26"/>
          <w:szCs w:val="26"/>
          <w:rtl/>
          <w:lang w:val="en-GB" w:eastAsia="zh-TW"/>
        </w:rPr>
      </w:pPr>
      <w:r>
        <w:rPr>
          <w:rFonts w:ascii="Traditional Arabic" w:hAnsi="Traditional Arabic" w:cs="Traditional Arabic" w:hint="cs"/>
          <w:sz w:val="26"/>
          <w:szCs w:val="26"/>
          <w:rtl/>
          <w:lang w:val="en-GB" w:eastAsia="zh-TW"/>
        </w:rPr>
        <w:t>(</w:t>
      </w:r>
      <w:r w:rsidRPr="002169A4">
        <w:rPr>
          <w:rStyle w:val="FootnoteReference"/>
          <w:rFonts w:ascii="Traditional Arabic" w:hAnsi="Traditional Arabic" w:cs="Traditional Arabic"/>
          <w:sz w:val="26"/>
          <w:szCs w:val="26"/>
          <w:vertAlign w:val="baseline"/>
          <w:rtl/>
          <w:lang w:val="en-GB" w:eastAsia="zh-TW"/>
        </w:rPr>
        <w:footnoteRef/>
      </w:r>
      <w:r>
        <w:rPr>
          <w:rFonts w:ascii="Traditional Arabic" w:hAnsi="Traditional Arabic" w:cs="Traditional Arabic" w:hint="cs"/>
          <w:sz w:val="26"/>
          <w:szCs w:val="26"/>
          <w:rtl/>
          <w:lang w:val="en-GB" w:eastAsia="zh-TW"/>
        </w:rPr>
        <w:t xml:space="preserve">) </w:t>
      </w:r>
      <w:r w:rsidRPr="002169A4">
        <w:rPr>
          <w:rFonts w:ascii="Traditional Arabic" w:hAnsi="Traditional Arabic" w:cs="Traditional Arabic"/>
          <w:sz w:val="26"/>
          <w:szCs w:val="26"/>
          <w:rtl/>
          <w:lang w:val="en-GB" w:eastAsia="zh-TW"/>
        </w:rPr>
        <w:t xml:space="preserve"> </w:t>
      </w:r>
      <w:r w:rsidRPr="002169A4">
        <w:rPr>
          <w:rFonts w:asciiTheme="majorBidi" w:hAnsiTheme="majorBidi" w:cstheme="majorBidi"/>
          <w:sz w:val="18"/>
          <w:szCs w:val="18"/>
          <w:lang w:val="en-GB" w:eastAsia="zh-TW"/>
        </w:rPr>
        <w:t>UNEP/EA.4/INF/</w:t>
      </w:r>
      <w:r w:rsidR="005E0EF6">
        <w:rPr>
          <w:rFonts w:asciiTheme="majorBidi" w:hAnsiTheme="majorBidi" w:cstheme="majorBidi"/>
          <w:sz w:val="18"/>
          <w:szCs w:val="18"/>
          <w:lang w:val="en-GB" w:eastAsia="zh-TW"/>
        </w:rPr>
        <w:t>6</w:t>
      </w:r>
      <w:r w:rsidRPr="002169A4">
        <w:rPr>
          <w:rFonts w:ascii="Traditional Arabic" w:hAnsi="Traditional Arabic" w:cs="Traditional Arabic"/>
          <w:sz w:val="26"/>
          <w:szCs w:val="26"/>
          <w:rtl/>
          <w:lang w:val="en-GB" w:eastAsia="zh-TW"/>
        </w:rPr>
        <w:t>.</w:t>
      </w:r>
    </w:p>
  </w:footnote>
  <w:footnote w:id="4">
    <w:p w14:paraId="2E8FD093" w14:textId="7DA3AB25" w:rsidR="002169A4" w:rsidRPr="006B4B1D" w:rsidRDefault="0012118D" w:rsidP="008A34FB">
      <w:pPr>
        <w:pStyle w:val="FootnoteText"/>
        <w:spacing w:after="40" w:line="300" w:lineRule="exact"/>
        <w:ind w:firstLine="1132"/>
        <w:jc w:val="left"/>
        <w:textDirection w:val="tbRlV"/>
        <w:rPr>
          <w:rFonts w:ascii="Traditional Arabic" w:hAnsi="Traditional Arabic" w:cs="Traditional Arabic"/>
          <w:sz w:val="26"/>
          <w:szCs w:val="26"/>
          <w:rtl/>
          <w:lang w:val="en-GB" w:eastAsia="zh-TW"/>
        </w:rPr>
      </w:pPr>
      <w:r>
        <w:rPr>
          <w:rFonts w:ascii="Traditional Arabic" w:hAnsi="Traditional Arabic" w:cs="Traditional Arabic" w:hint="cs"/>
          <w:sz w:val="26"/>
          <w:szCs w:val="26"/>
          <w:rtl/>
          <w:lang w:val="en-GB" w:eastAsia="zh-TW"/>
        </w:rPr>
        <w:t>(</w:t>
      </w:r>
      <w:r w:rsidR="002169A4" w:rsidRPr="006B4B1D">
        <w:rPr>
          <w:rFonts w:ascii="Traditional Arabic" w:hAnsi="Traditional Arabic" w:cs="Traditional Arabic"/>
          <w:sz w:val="26"/>
          <w:szCs w:val="26"/>
          <w:rtl/>
        </w:rPr>
        <w:footnoteRef/>
      </w:r>
      <w:r>
        <w:rPr>
          <w:rFonts w:ascii="Traditional Arabic" w:hAnsi="Traditional Arabic" w:cs="Traditional Arabic" w:hint="cs"/>
          <w:sz w:val="26"/>
          <w:szCs w:val="26"/>
          <w:rtl/>
          <w:lang w:val="en-GB" w:eastAsia="zh-TW"/>
        </w:rPr>
        <w:t xml:space="preserve">) </w:t>
      </w:r>
      <w:r w:rsidR="002169A4" w:rsidRPr="006B4B1D">
        <w:rPr>
          <w:rFonts w:ascii="Traditional Arabic" w:hAnsi="Traditional Arabic" w:cs="Traditional Arabic"/>
          <w:sz w:val="26"/>
          <w:szCs w:val="26"/>
          <w:rtl/>
          <w:lang w:val="en-GB" w:eastAsia="zh-TW"/>
        </w:rPr>
        <w:t xml:space="preserve"> </w:t>
      </w:r>
      <w:r w:rsidR="002169A4" w:rsidRPr="0012118D">
        <w:rPr>
          <w:rFonts w:asciiTheme="majorBidi" w:hAnsiTheme="majorBidi" w:cstheme="majorBidi"/>
          <w:sz w:val="18"/>
          <w:szCs w:val="18"/>
          <w:lang w:val="en-GB" w:eastAsia="zh-TW"/>
        </w:rPr>
        <w:t>https://www.icriforum.org/ICRIGM33</w:t>
      </w:r>
      <w:r w:rsidR="002169A4" w:rsidRPr="006B4B1D">
        <w:rPr>
          <w:rFonts w:ascii="Traditional Arabic" w:hAnsi="Traditional Arabic" w:cs="Traditional Arabic"/>
          <w:sz w:val="26"/>
          <w:szCs w:val="26"/>
          <w:rtl/>
          <w:lang w:val="en-GB" w:eastAsia="zh-TW"/>
        </w:rPr>
        <w:t>.</w:t>
      </w:r>
    </w:p>
  </w:footnote>
  <w:footnote w:id="5">
    <w:p w14:paraId="5E41573D" w14:textId="15C81644" w:rsidR="002169A4" w:rsidRPr="006B4B1D" w:rsidRDefault="0012118D" w:rsidP="008A34FB">
      <w:pPr>
        <w:pStyle w:val="FootnoteText"/>
        <w:spacing w:after="40" w:line="300" w:lineRule="exact"/>
        <w:ind w:firstLine="1132"/>
        <w:jc w:val="left"/>
        <w:textDirection w:val="tbRlV"/>
        <w:rPr>
          <w:rFonts w:ascii="Traditional Arabic" w:hAnsi="Traditional Arabic" w:cs="Traditional Arabic"/>
          <w:sz w:val="26"/>
          <w:szCs w:val="26"/>
          <w:rtl/>
          <w:lang w:val="en-GB" w:eastAsia="zh-TW"/>
        </w:rPr>
      </w:pPr>
      <w:r>
        <w:rPr>
          <w:rFonts w:ascii="Traditional Arabic" w:hAnsi="Traditional Arabic" w:cs="Traditional Arabic" w:hint="cs"/>
          <w:sz w:val="26"/>
          <w:szCs w:val="26"/>
          <w:rtl/>
          <w:lang w:val="en-GB" w:eastAsia="zh-TW"/>
        </w:rPr>
        <w:t>(</w:t>
      </w:r>
      <w:r w:rsidR="002169A4" w:rsidRPr="006B4B1D">
        <w:rPr>
          <w:rFonts w:ascii="Traditional Arabic" w:hAnsi="Traditional Arabic" w:cs="Traditional Arabic"/>
          <w:sz w:val="26"/>
          <w:szCs w:val="26"/>
          <w:rtl/>
        </w:rPr>
        <w:footnoteRef/>
      </w:r>
      <w:r>
        <w:rPr>
          <w:rFonts w:ascii="Traditional Arabic" w:hAnsi="Traditional Arabic" w:cs="Traditional Arabic" w:hint="cs"/>
          <w:sz w:val="26"/>
          <w:szCs w:val="26"/>
          <w:rtl/>
          <w:lang w:val="en-GB" w:eastAsia="zh-TW"/>
        </w:rPr>
        <w:t xml:space="preserve">) </w:t>
      </w:r>
      <w:r w:rsidR="002169A4" w:rsidRPr="006B4B1D">
        <w:rPr>
          <w:rFonts w:ascii="Traditional Arabic" w:hAnsi="Traditional Arabic" w:cs="Traditional Arabic"/>
          <w:sz w:val="26"/>
          <w:szCs w:val="26"/>
          <w:rtl/>
          <w:lang w:val="en-GB" w:eastAsia="zh-TW"/>
        </w:rPr>
        <w:t xml:space="preserve"> </w:t>
      </w:r>
      <w:r w:rsidR="002169A4" w:rsidRPr="0012118D">
        <w:rPr>
          <w:rFonts w:asciiTheme="majorBidi" w:hAnsiTheme="majorBidi" w:cstheme="majorBidi"/>
          <w:sz w:val="18"/>
          <w:szCs w:val="18"/>
          <w:lang w:val="en-GB" w:eastAsia="zh-TW"/>
        </w:rPr>
        <w:t>https://wedocs.unep.org/bitstream/handle/20.500.11822/26824/status-coral-reefs-pacific.pdf</w:t>
      </w:r>
      <w:r w:rsidR="002169A4" w:rsidRPr="006B4B1D">
        <w:rPr>
          <w:rFonts w:ascii="Traditional Arabic" w:hAnsi="Traditional Arabic" w:cs="Traditional Arabic"/>
          <w:sz w:val="26"/>
          <w:szCs w:val="26"/>
          <w:rtl/>
          <w:lang w:val="en-GB" w:eastAsia="zh-TW"/>
        </w:rPr>
        <w:t>.</w:t>
      </w:r>
    </w:p>
  </w:footnote>
  <w:footnote w:id="6">
    <w:p w14:paraId="0BBCB613" w14:textId="173E72F4" w:rsidR="002169A4" w:rsidRPr="006B4B1D" w:rsidRDefault="0012118D" w:rsidP="008A34FB">
      <w:pPr>
        <w:pStyle w:val="FootnoteText"/>
        <w:spacing w:after="40" w:line="300" w:lineRule="exact"/>
        <w:ind w:firstLine="1132"/>
        <w:jc w:val="left"/>
        <w:textDirection w:val="tbRlV"/>
        <w:rPr>
          <w:rFonts w:ascii="Traditional Arabic" w:hAnsi="Traditional Arabic" w:cs="Traditional Arabic"/>
          <w:sz w:val="26"/>
          <w:szCs w:val="26"/>
          <w:rtl/>
          <w:lang w:val="en-GB" w:eastAsia="zh-TW"/>
        </w:rPr>
      </w:pPr>
      <w:r>
        <w:rPr>
          <w:rFonts w:ascii="Traditional Arabic" w:hAnsi="Traditional Arabic" w:cs="Traditional Arabic" w:hint="cs"/>
          <w:sz w:val="26"/>
          <w:szCs w:val="26"/>
          <w:rtl/>
          <w:lang w:val="en-GB" w:eastAsia="zh-TW"/>
        </w:rPr>
        <w:t>(</w:t>
      </w:r>
      <w:r w:rsidR="002169A4" w:rsidRPr="006B4B1D">
        <w:rPr>
          <w:rFonts w:ascii="Traditional Arabic" w:hAnsi="Traditional Arabic" w:cs="Traditional Arabic"/>
          <w:sz w:val="26"/>
          <w:szCs w:val="26"/>
          <w:rtl/>
        </w:rPr>
        <w:footnoteRef/>
      </w:r>
      <w:r>
        <w:rPr>
          <w:rFonts w:ascii="Traditional Arabic" w:hAnsi="Traditional Arabic" w:cs="Traditional Arabic" w:hint="cs"/>
          <w:sz w:val="26"/>
          <w:szCs w:val="26"/>
          <w:rtl/>
          <w:lang w:val="en-GB" w:eastAsia="zh-TW"/>
        </w:rPr>
        <w:t xml:space="preserve">) </w:t>
      </w:r>
      <w:r w:rsidR="002169A4" w:rsidRPr="006B4B1D">
        <w:rPr>
          <w:rFonts w:ascii="Traditional Arabic" w:hAnsi="Traditional Arabic" w:cs="Traditional Arabic"/>
          <w:sz w:val="26"/>
          <w:szCs w:val="26"/>
          <w:rtl/>
          <w:lang w:val="en-GB" w:eastAsia="zh-TW"/>
        </w:rPr>
        <w:t xml:space="preserve"> </w:t>
      </w:r>
      <w:r w:rsidR="002169A4" w:rsidRPr="0012118D">
        <w:rPr>
          <w:rFonts w:ascii="Times New Roman" w:hAnsi="Times New Roman" w:cs="Times New Roman"/>
          <w:sz w:val="18"/>
          <w:szCs w:val="18"/>
          <w:lang w:val="en-GB" w:eastAsia="zh-TW"/>
        </w:rPr>
        <w:t>https://www.icriforum.org/sites/default/files/ICRI_Funding_landscape_coral_reef.pdf</w:t>
      </w:r>
      <w:r w:rsidR="002169A4" w:rsidRPr="006B4B1D">
        <w:rPr>
          <w:rFonts w:ascii="Traditional Arabic" w:hAnsi="Traditional Arabic" w:cs="Traditional Arabic"/>
          <w:sz w:val="26"/>
          <w:szCs w:val="26"/>
          <w:rtl/>
          <w:lang w:val="en-GB" w:eastAsia="zh-TW"/>
        </w:rPr>
        <w:t>.</w:t>
      </w:r>
    </w:p>
  </w:footnote>
  <w:footnote w:id="7">
    <w:p w14:paraId="61A1B47E" w14:textId="51D9DA00" w:rsidR="002169A4" w:rsidRPr="006B4B1D" w:rsidRDefault="0012118D" w:rsidP="008A34FB">
      <w:pPr>
        <w:pStyle w:val="FootnoteText"/>
        <w:spacing w:after="40" w:line="300" w:lineRule="exact"/>
        <w:ind w:firstLine="1132"/>
        <w:jc w:val="left"/>
        <w:textDirection w:val="tbRlV"/>
        <w:rPr>
          <w:rFonts w:ascii="Traditional Arabic" w:hAnsi="Traditional Arabic" w:cs="Traditional Arabic"/>
          <w:sz w:val="26"/>
          <w:szCs w:val="26"/>
          <w:rtl/>
          <w:lang w:val="en-GB" w:eastAsia="zh-TW"/>
        </w:rPr>
      </w:pPr>
      <w:r>
        <w:rPr>
          <w:rFonts w:ascii="Traditional Arabic" w:hAnsi="Traditional Arabic" w:cs="Traditional Arabic" w:hint="cs"/>
          <w:sz w:val="26"/>
          <w:szCs w:val="26"/>
          <w:rtl/>
          <w:lang w:val="en-GB" w:eastAsia="zh-TW"/>
        </w:rPr>
        <w:t>(</w:t>
      </w:r>
      <w:r w:rsidR="002169A4" w:rsidRPr="006B4B1D">
        <w:rPr>
          <w:rFonts w:ascii="Traditional Arabic" w:hAnsi="Traditional Arabic" w:cs="Traditional Arabic"/>
          <w:sz w:val="26"/>
          <w:szCs w:val="26"/>
          <w:rtl/>
        </w:rPr>
        <w:footnoteRef/>
      </w:r>
      <w:r>
        <w:rPr>
          <w:rFonts w:ascii="Traditional Arabic" w:hAnsi="Traditional Arabic" w:cs="Traditional Arabic" w:hint="cs"/>
          <w:sz w:val="26"/>
          <w:szCs w:val="26"/>
          <w:rtl/>
          <w:lang w:val="en-GB" w:eastAsia="zh-TW"/>
        </w:rPr>
        <w:t xml:space="preserve">) </w:t>
      </w:r>
      <w:r w:rsidR="002169A4" w:rsidRPr="006B4B1D">
        <w:rPr>
          <w:rFonts w:ascii="Traditional Arabic" w:hAnsi="Traditional Arabic" w:cs="Traditional Arabic"/>
          <w:sz w:val="26"/>
          <w:szCs w:val="26"/>
          <w:rtl/>
          <w:lang w:val="en-GB" w:eastAsia="zh-TW"/>
        </w:rPr>
        <w:t xml:space="preserve"> </w:t>
      </w:r>
      <w:r w:rsidR="002169A4" w:rsidRPr="0012118D">
        <w:rPr>
          <w:rFonts w:asciiTheme="majorBidi" w:hAnsiTheme="majorBidi" w:cstheme="majorBidi"/>
          <w:sz w:val="18"/>
          <w:szCs w:val="18"/>
          <w:lang w:val="en-GB" w:eastAsia="zh-TW"/>
        </w:rPr>
        <w:t>https://www.icriforum.org/icri-documents/icri-publications-reports-and-posters/coral-reef-economy</w:t>
      </w:r>
      <w:r w:rsidR="002169A4" w:rsidRPr="006B4B1D">
        <w:rPr>
          <w:rFonts w:ascii="Traditional Arabic" w:hAnsi="Traditional Arabic" w:cs="Traditional Arabic"/>
          <w:sz w:val="26"/>
          <w:szCs w:val="26"/>
          <w:rtl/>
          <w:lang w:val="en-GB" w:eastAsia="zh-TW"/>
        </w:rPr>
        <w:t>.</w:t>
      </w:r>
    </w:p>
  </w:footnote>
  <w:footnote w:id="8">
    <w:p w14:paraId="13962B74" w14:textId="3D226F67" w:rsidR="002169A4" w:rsidRPr="0012118D" w:rsidRDefault="0012118D" w:rsidP="008A34FB">
      <w:pPr>
        <w:pStyle w:val="FootnoteText"/>
        <w:spacing w:after="40" w:line="300" w:lineRule="exact"/>
        <w:ind w:firstLine="1132"/>
        <w:jc w:val="left"/>
        <w:textDirection w:val="tbRlV"/>
        <w:rPr>
          <w:rFonts w:ascii="Traditional Arabic" w:hAnsi="Traditional Arabic" w:cs="Traditional Arabic"/>
          <w:sz w:val="26"/>
          <w:szCs w:val="26"/>
          <w:rtl/>
          <w:lang w:val="en-GB" w:eastAsia="zh-TW"/>
        </w:rPr>
      </w:pPr>
      <w:r>
        <w:rPr>
          <w:rFonts w:ascii="Traditional Arabic" w:hAnsi="Traditional Arabic" w:cs="Traditional Arabic" w:hint="cs"/>
          <w:sz w:val="26"/>
          <w:szCs w:val="26"/>
          <w:rtl/>
          <w:lang w:val="en-GB" w:eastAsia="zh-TW"/>
        </w:rPr>
        <w:t>(</w:t>
      </w:r>
      <w:r w:rsidR="002169A4" w:rsidRPr="0012118D">
        <w:rPr>
          <w:rFonts w:ascii="Traditional Arabic" w:hAnsi="Traditional Arabic" w:cs="Traditional Arabic"/>
          <w:sz w:val="26"/>
          <w:szCs w:val="26"/>
          <w:rtl/>
          <w:lang w:val="en-GB" w:eastAsia="zh-TW"/>
        </w:rPr>
        <w:footnoteRef/>
      </w:r>
      <w:r>
        <w:rPr>
          <w:rFonts w:ascii="Traditional Arabic" w:hAnsi="Traditional Arabic" w:cs="Traditional Arabic" w:hint="cs"/>
          <w:sz w:val="26"/>
          <w:szCs w:val="26"/>
          <w:rtl/>
          <w:lang w:val="en-GB" w:eastAsia="zh-TW"/>
        </w:rPr>
        <w:t xml:space="preserve">) </w:t>
      </w:r>
      <w:r w:rsidR="002169A4" w:rsidRPr="006B4B1D">
        <w:rPr>
          <w:rFonts w:ascii="Traditional Arabic" w:hAnsi="Traditional Arabic" w:cs="Traditional Arabic"/>
          <w:sz w:val="26"/>
          <w:szCs w:val="26"/>
          <w:rtl/>
          <w:lang w:val="en-GB" w:eastAsia="zh-TW"/>
        </w:rPr>
        <w:t xml:space="preserve"> </w:t>
      </w:r>
      <w:r w:rsidR="002169A4" w:rsidRPr="0012118D">
        <w:rPr>
          <w:rFonts w:asciiTheme="majorBidi" w:hAnsiTheme="majorBidi" w:cstheme="majorBidi"/>
          <w:sz w:val="18"/>
          <w:szCs w:val="18"/>
          <w:lang w:val="en-GB" w:eastAsia="zh-TW"/>
        </w:rPr>
        <w:t>https://www.iyor2018.org/news/fijis-great-sea-reef-nominated-ramsar-site-start-international-year-reef</w:t>
      </w:r>
      <w:r w:rsidR="002169A4" w:rsidRPr="0012118D">
        <w:rPr>
          <w:rFonts w:ascii="Traditional Arabic" w:hAnsi="Traditional Arabic" w:cs="Traditional Arabic"/>
          <w:sz w:val="26"/>
          <w:szCs w:val="26"/>
          <w:lang w:val="en-GB" w:eastAsia="zh-TW"/>
        </w:rPr>
        <w:t>/</w:t>
      </w:r>
      <w:r w:rsidR="002169A4" w:rsidRPr="0012118D">
        <w:rPr>
          <w:rFonts w:ascii="Traditional Arabic" w:hAnsi="Traditional Arabic" w:cs="Traditional Arabic"/>
          <w:sz w:val="26"/>
          <w:szCs w:val="26"/>
          <w:rtl/>
          <w:lang w:val="en-GB" w:eastAsia="zh-TW"/>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A8D6FF" w14:textId="2ACB430E" w:rsidR="00386B73" w:rsidRPr="0073400D" w:rsidRDefault="00386B73" w:rsidP="00A94CE7">
    <w:pPr>
      <w:pBdr>
        <w:bottom w:val="single" w:sz="4" w:space="0" w:color="auto"/>
      </w:pBdr>
      <w:spacing w:before="20" w:after="40"/>
      <w:rPr>
        <w:b/>
        <w:bCs/>
        <w:sz w:val="17"/>
        <w:szCs w:val="17"/>
        <w:rtl/>
        <w:lang w:val="fr-FR"/>
      </w:rPr>
    </w:pPr>
    <w:r>
      <w:rPr>
        <w:rStyle w:val="PageNumber"/>
        <w:rFonts w:cs="Times New Roman"/>
        <w:b/>
        <w:bCs/>
        <w:sz w:val="17"/>
        <w:szCs w:val="17"/>
      </w:rPr>
      <w:t>U</w:t>
    </w:r>
    <w:r w:rsidR="00315A11">
      <w:rPr>
        <w:rStyle w:val="PageNumber"/>
        <w:rFonts w:cs="Times New Roman"/>
        <w:b/>
        <w:bCs/>
        <w:sz w:val="17"/>
        <w:szCs w:val="17"/>
      </w:rPr>
      <w:t>N</w:t>
    </w:r>
    <w:r>
      <w:rPr>
        <w:rStyle w:val="PageNumber"/>
        <w:rFonts w:cs="Times New Roman"/>
        <w:b/>
        <w:bCs/>
        <w:sz w:val="17"/>
        <w:szCs w:val="17"/>
      </w:rPr>
      <w:t>EP/EA.</w:t>
    </w:r>
    <w:r w:rsidR="00900B6E">
      <w:rPr>
        <w:rStyle w:val="PageNumber"/>
        <w:rFonts w:cs="Times New Roman"/>
        <w:b/>
        <w:bCs/>
        <w:sz w:val="17"/>
        <w:szCs w:val="17"/>
      </w:rPr>
      <w:t>4</w:t>
    </w:r>
    <w:r>
      <w:rPr>
        <w:rStyle w:val="PageNumber"/>
        <w:rFonts w:cs="Times New Roman"/>
        <w:b/>
        <w:bCs/>
        <w:sz w:val="17"/>
        <w:szCs w:val="17"/>
      </w:rPr>
      <w:t>/</w:t>
    </w:r>
    <w:r w:rsidR="003F2F51">
      <w:rPr>
        <w:b/>
        <w:bCs/>
        <w:sz w:val="17"/>
        <w:szCs w:val="17"/>
        <w:lang w:val="fr-FR"/>
      </w:rPr>
      <w:t>2</w:t>
    </w:r>
    <w:r w:rsidR="002169A4">
      <w:rPr>
        <w:b/>
        <w:bCs/>
        <w:sz w:val="17"/>
        <w:szCs w:val="17"/>
        <w:lang w:val="fr-FR"/>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130195" w14:textId="065046B8" w:rsidR="00386B73" w:rsidRPr="003E4388" w:rsidRDefault="00386B73" w:rsidP="00A94CE7">
    <w:pPr>
      <w:pBdr>
        <w:bottom w:val="single" w:sz="4" w:space="1" w:color="auto"/>
      </w:pBdr>
      <w:bidi w:val="0"/>
      <w:spacing w:before="20" w:after="40"/>
      <w:rPr>
        <w:b/>
        <w:bCs/>
        <w:sz w:val="17"/>
        <w:szCs w:val="17"/>
        <w:lang w:val="en-GB"/>
      </w:rPr>
    </w:pPr>
    <w:r w:rsidRPr="00EC3A5F">
      <w:rPr>
        <w:rStyle w:val="PageNumber"/>
        <w:rFonts w:cs="Times New Roman"/>
        <w:b/>
        <w:bCs/>
        <w:sz w:val="17"/>
        <w:szCs w:val="17"/>
        <w:lang w:val="fr-FR"/>
      </w:rPr>
      <w:t>UNEP/</w:t>
    </w:r>
    <w:r>
      <w:rPr>
        <w:rStyle w:val="PageNumber"/>
        <w:rFonts w:cs="Times New Roman"/>
        <w:b/>
        <w:bCs/>
        <w:sz w:val="17"/>
        <w:szCs w:val="17"/>
      </w:rPr>
      <w:t>EA.</w:t>
    </w:r>
    <w:r w:rsidR="00900B6E">
      <w:rPr>
        <w:rStyle w:val="PageNumber"/>
        <w:rFonts w:cs="Times New Roman"/>
        <w:b/>
        <w:bCs/>
        <w:sz w:val="17"/>
        <w:szCs w:val="17"/>
      </w:rPr>
      <w:t>4</w:t>
    </w:r>
    <w:r w:rsidRPr="00EC3A5F">
      <w:rPr>
        <w:rStyle w:val="PageNumber"/>
        <w:rFonts w:cs="Times New Roman"/>
        <w:b/>
        <w:bCs/>
        <w:sz w:val="17"/>
        <w:szCs w:val="17"/>
      </w:rPr>
      <w:t>/</w:t>
    </w:r>
    <w:r w:rsidR="003E4388">
      <w:rPr>
        <w:b/>
        <w:bCs/>
        <w:sz w:val="17"/>
        <w:szCs w:val="17"/>
        <w:lang w:val="en-GB"/>
      </w:rPr>
      <w:t>2</w:t>
    </w:r>
    <w:r w:rsidR="002169A4">
      <w:rPr>
        <w:b/>
        <w:bCs/>
        <w:sz w:val="17"/>
        <w:szCs w:val="17"/>
        <w:lang w:val="en-GB"/>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1113A7"/>
    <w:multiLevelType w:val="multilevel"/>
    <w:tmpl w:val="48241D10"/>
    <w:numStyleLink w:val="Normallist"/>
  </w:abstractNum>
  <w:abstractNum w:abstractNumId="1" w15:restartNumberingAfterBreak="0">
    <w:nsid w:val="1AA2780F"/>
    <w:multiLevelType w:val="hybridMultilevel"/>
    <w:tmpl w:val="3DDA515E"/>
    <w:lvl w:ilvl="0" w:tplc="6F1E64FA">
      <w:start w:val="1"/>
      <w:numFmt w:val="decimal"/>
      <w:lvlText w:val="%1 -"/>
      <w:lvlJc w:val="left"/>
      <w:pPr>
        <w:ind w:left="1852" w:hanging="360"/>
      </w:pPr>
      <w:rPr>
        <w:rFonts w:hint="default"/>
      </w:rPr>
    </w:lvl>
    <w:lvl w:ilvl="1" w:tplc="04090019" w:tentative="1">
      <w:start w:val="1"/>
      <w:numFmt w:val="lowerLetter"/>
      <w:lvlText w:val="%2."/>
      <w:lvlJc w:val="left"/>
      <w:pPr>
        <w:ind w:left="2572" w:hanging="360"/>
      </w:pPr>
    </w:lvl>
    <w:lvl w:ilvl="2" w:tplc="0409001B" w:tentative="1">
      <w:start w:val="1"/>
      <w:numFmt w:val="lowerRoman"/>
      <w:lvlText w:val="%3."/>
      <w:lvlJc w:val="right"/>
      <w:pPr>
        <w:ind w:left="3292" w:hanging="180"/>
      </w:pPr>
    </w:lvl>
    <w:lvl w:ilvl="3" w:tplc="0409000F" w:tentative="1">
      <w:start w:val="1"/>
      <w:numFmt w:val="decimal"/>
      <w:lvlText w:val="%4."/>
      <w:lvlJc w:val="left"/>
      <w:pPr>
        <w:ind w:left="4012" w:hanging="360"/>
      </w:pPr>
    </w:lvl>
    <w:lvl w:ilvl="4" w:tplc="04090019" w:tentative="1">
      <w:start w:val="1"/>
      <w:numFmt w:val="lowerLetter"/>
      <w:lvlText w:val="%5."/>
      <w:lvlJc w:val="left"/>
      <w:pPr>
        <w:ind w:left="4732" w:hanging="360"/>
      </w:pPr>
    </w:lvl>
    <w:lvl w:ilvl="5" w:tplc="0409001B" w:tentative="1">
      <w:start w:val="1"/>
      <w:numFmt w:val="lowerRoman"/>
      <w:lvlText w:val="%6."/>
      <w:lvlJc w:val="right"/>
      <w:pPr>
        <w:ind w:left="5452" w:hanging="180"/>
      </w:pPr>
    </w:lvl>
    <w:lvl w:ilvl="6" w:tplc="0409000F" w:tentative="1">
      <w:start w:val="1"/>
      <w:numFmt w:val="decimal"/>
      <w:lvlText w:val="%7."/>
      <w:lvlJc w:val="left"/>
      <w:pPr>
        <w:ind w:left="6172" w:hanging="360"/>
      </w:pPr>
    </w:lvl>
    <w:lvl w:ilvl="7" w:tplc="04090019" w:tentative="1">
      <w:start w:val="1"/>
      <w:numFmt w:val="lowerLetter"/>
      <w:lvlText w:val="%8."/>
      <w:lvlJc w:val="left"/>
      <w:pPr>
        <w:ind w:left="6892" w:hanging="360"/>
      </w:pPr>
    </w:lvl>
    <w:lvl w:ilvl="8" w:tplc="0409001B" w:tentative="1">
      <w:start w:val="1"/>
      <w:numFmt w:val="lowerRoman"/>
      <w:lvlText w:val="%9."/>
      <w:lvlJc w:val="right"/>
      <w:pPr>
        <w:ind w:left="7612" w:hanging="180"/>
      </w:pPr>
    </w:lvl>
  </w:abstractNum>
  <w:abstractNum w:abstractNumId="2" w15:restartNumberingAfterBreak="0">
    <w:nsid w:val="2946226F"/>
    <w:multiLevelType w:val="hybridMultilevel"/>
    <w:tmpl w:val="58922C66"/>
    <w:lvl w:ilvl="0" w:tplc="C1DA614C">
      <w:start w:val="1"/>
      <w:numFmt w:val="decimal"/>
      <w:lvlText w:val="%1-"/>
      <w:lvlJc w:val="left"/>
      <w:pPr>
        <w:ind w:left="1967" w:hanging="360"/>
      </w:pPr>
      <w:rPr>
        <w:rFonts w:hint="default"/>
      </w:rPr>
    </w:lvl>
    <w:lvl w:ilvl="1" w:tplc="04090019" w:tentative="1">
      <w:start w:val="1"/>
      <w:numFmt w:val="lowerLetter"/>
      <w:lvlText w:val="%2."/>
      <w:lvlJc w:val="left"/>
      <w:pPr>
        <w:ind w:left="2687" w:hanging="360"/>
      </w:p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3"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4" w15:restartNumberingAfterBreak="0">
    <w:nsid w:val="6AA50DB1"/>
    <w:multiLevelType w:val="singleLevel"/>
    <w:tmpl w:val="0C00B568"/>
    <w:lvl w:ilvl="0">
      <w:start w:val="1"/>
      <w:numFmt w:val="decimal"/>
      <w:lvlText w:val="%1."/>
      <w:lvlJc w:val="left"/>
      <w:pPr>
        <w:tabs>
          <w:tab w:val="num" w:pos="360"/>
        </w:tabs>
        <w:ind w:left="0" w:firstLine="0"/>
      </w:pPr>
      <w:rPr>
        <w:rFonts w:ascii="Times New Roman" w:hAnsi="Times New Roman" w:hint="default"/>
        <w:b w:val="0"/>
        <w:i w:val="0"/>
        <w:sz w:val="22"/>
      </w:rPr>
    </w:lvl>
  </w:abstractNum>
  <w:num w:numId="1">
    <w:abstractNumId w:val="4"/>
  </w:num>
  <w:num w:numId="2">
    <w:abstractNumId w:val="3"/>
  </w:num>
  <w:num w:numId="3">
    <w:abstractNumId w:val="0"/>
    <w:lvlOverride w:ilvl="0">
      <w:lvl w:ilvl="0">
        <w:start w:val="1"/>
        <w:numFmt w:val="decimal"/>
        <w:pStyle w:val="Normalnumber"/>
        <w:lvlText w:val="%1-"/>
        <w:lvlJc w:val="left"/>
        <w:pPr>
          <w:tabs>
            <w:tab w:val="num" w:pos="567"/>
          </w:tabs>
          <w:ind w:left="1247" w:firstLine="0"/>
        </w:pPr>
        <w:rPr>
          <w:rFonts w:hint="default"/>
          <w:color w:val="000000" w:themeColor="text1"/>
        </w:rPr>
      </w:lvl>
    </w:lvlOverride>
  </w:num>
  <w:num w:numId="4">
    <w:abstractNumId w:val="0"/>
    <w:lvlOverride w:ilvl="0">
      <w:lvl w:ilvl="0">
        <w:start w:val="1"/>
        <w:numFmt w:val="decimal"/>
        <w:pStyle w:val="Normalnumber"/>
        <w:lvlText w:val="%1-"/>
        <w:lvlJc w:val="left"/>
        <w:pPr>
          <w:tabs>
            <w:tab w:val="num" w:pos="567"/>
          </w:tabs>
          <w:ind w:left="1247" w:firstLine="0"/>
        </w:pPr>
        <w:rPr>
          <w:rFonts w:hint="default"/>
          <w:color w:val="000000" w:themeColor="text1"/>
        </w:rPr>
      </w:lvl>
    </w:lvlOverride>
  </w:num>
  <w:num w:numId="5">
    <w:abstractNumId w:val="2"/>
  </w:num>
  <w:num w:numId="6">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71"/>
  <w:drawingGridVerticalSpacing w:val="233"/>
  <w:displayHorizontalDrawingGridEvery w:val="0"/>
  <w:noPunctuationKerning/>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02B"/>
    <w:rsid w:val="00004629"/>
    <w:rsid w:val="000242CB"/>
    <w:rsid w:val="000255EE"/>
    <w:rsid w:val="00080DBA"/>
    <w:rsid w:val="0008359A"/>
    <w:rsid w:val="000844F9"/>
    <w:rsid w:val="00087210"/>
    <w:rsid w:val="000938E9"/>
    <w:rsid w:val="000C095D"/>
    <w:rsid w:val="000D0380"/>
    <w:rsid w:val="000E24FF"/>
    <w:rsid w:val="001044B6"/>
    <w:rsid w:val="00113EC2"/>
    <w:rsid w:val="00116C73"/>
    <w:rsid w:val="0012040B"/>
    <w:rsid w:val="0012118D"/>
    <w:rsid w:val="00131CE1"/>
    <w:rsid w:val="00143F0A"/>
    <w:rsid w:val="00144421"/>
    <w:rsid w:val="00153644"/>
    <w:rsid w:val="00153926"/>
    <w:rsid w:val="00154CC2"/>
    <w:rsid w:val="001602FD"/>
    <w:rsid w:val="00165BE3"/>
    <w:rsid w:val="00175870"/>
    <w:rsid w:val="00177C0C"/>
    <w:rsid w:val="001914D3"/>
    <w:rsid w:val="00193855"/>
    <w:rsid w:val="0019738E"/>
    <w:rsid w:val="001A7B84"/>
    <w:rsid w:val="001B69F3"/>
    <w:rsid w:val="001E4795"/>
    <w:rsid w:val="002169A4"/>
    <w:rsid w:val="00217B48"/>
    <w:rsid w:val="00226109"/>
    <w:rsid w:val="00227268"/>
    <w:rsid w:val="00243FC6"/>
    <w:rsid w:val="002568E6"/>
    <w:rsid w:val="00260C3B"/>
    <w:rsid w:val="00261451"/>
    <w:rsid w:val="0027481A"/>
    <w:rsid w:val="00282759"/>
    <w:rsid w:val="002B0E93"/>
    <w:rsid w:val="002C60AD"/>
    <w:rsid w:val="002D6F30"/>
    <w:rsid w:val="00315A11"/>
    <w:rsid w:val="00322368"/>
    <w:rsid w:val="00324C76"/>
    <w:rsid w:val="00386B73"/>
    <w:rsid w:val="00386BD3"/>
    <w:rsid w:val="00392389"/>
    <w:rsid w:val="003A3C5E"/>
    <w:rsid w:val="003A5DFB"/>
    <w:rsid w:val="003D7E80"/>
    <w:rsid w:val="003E4388"/>
    <w:rsid w:val="003E4E41"/>
    <w:rsid w:val="003F2F51"/>
    <w:rsid w:val="00405211"/>
    <w:rsid w:val="004073F0"/>
    <w:rsid w:val="00417F36"/>
    <w:rsid w:val="00440290"/>
    <w:rsid w:val="00442979"/>
    <w:rsid w:val="004965D3"/>
    <w:rsid w:val="004B0A17"/>
    <w:rsid w:val="004C5D36"/>
    <w:rsid w:val="004D08E4"/>
    <w:rsid w:val="004D0E35"/>
    <w:rsid w:val="004D0E9D"/>
    <w:rsid w:val="004D1F6B"/>
    <w:rsid w:val="004D2B12"/>
    <w:rsid w:val="004D3BED"/>
    <w:rsid w:val="004D6802"/>
    <w:rsid w:val="004E4E97"/>
    <w:rsid w:val="004E5370"/>
    <w:rsid w:val="004E557C"/>
    <w:rsid w:val="004E7B30"/>
    <w:rsid w:val="004F230A"/>
    <w:rsid w:val="00500B42"/>
    <w:rsid w:val="005018F4"/>
    <w:rsid w:val="00530F46"/>
    <w:rsid w:val="00565047"/>
    <w:rsid w:val="005809B9"/>
    <w:rsid w:val="00581ED6"/>
    <w:rsid w:val="005945AA"/>
    <w:rsid w:val="005A19CF"/>
    <w:rsid w:val="005B7D85"/>
    <w:rsid w:val="005C55FF"/>
    <w:rsid w:val="005D099D"/>
    <w:rsid w:val="005E06C5"/>
    <w:rsid w:val="005E0EF6"/>
    <w:rsid w:val="0060772E"/>
    <w:rsid w:val="006135DA"/>
    <w:rsid w:val="00614103"/>
    <w:rsid w:val="006160A4"/>
    <w:rsid w:val="006227F4"/>
    <w:rsid w:val="00642185"/>
    <w:rsid w:val="006517DF"/>
    <w:rsid w:val="00662274"/>
    <w:rsid w:val="00671875"/>
    <w:rsid w:val="006A7796"/>
    <w:rsid w:val="006B4B1D"/>
    <w:rsid w:val="006C560D"/>
    <w:rsid w:val="006E1B00"/>
    <w:rsid w:val="006E4BE0"/>
    <w:rsid w:val="006F060B"/>
    <w:rsid w:val="00706852"/>
    <w:rsid w:val="007071C8"/>
    <w:rsid w:val="007159C9"/>
    <w:rsid w:val="00715AF4"/>
    <w:rsid w:val="00722365"/>
    <w:rsid w:val="007653B3"/>
    <w:rsid w:val="007712A8"/>
    <w:rsid w:val="00780A9D"/>
    <w:rsid w:val="007B4E5E"/>
    <w:rsid w:val="007C0FF8"/>
    <w:rsid w:val="007C3EB8"/>
    <w:rsid w:val="00805014"/>
    <w:rsid w:val="00810D57"/>
    <w:rsid w:val="00816D4C"/>
    <w:rsid w:val="00821CBF"/>
    <w:rsid w:val="008226DC"/>
    <w:rsid w:val="00827F6A"/>
    <w:rsid w:val="00852DD4"/>
    <w:rsid w:val="00856921"/>
    <w:rsid w:val="00864C12"/>
    <w:rsid w:val="008721C9"/>
    <w:rsid w:val="00895358"/>
    <w:rsid w:val="008A34FB"/>
    <w:rsid w:val="008B2E95"/>
    <w:rsid w:val="008C5028"/>
    <w:rsid w:val="0090002B"/>
    <w:rsid w:val="00900B6E"/>
    <w:rsid w:val="009024C1"/>
    <w:rsid w:val="00924796"/>
    <w:rsid w:val="00926C1F"/>
    <w:rsid w:val="00945D6A"/>
    <w:rsid w:val="0097227D"/>
    <w:rsid w:val="009819E2"/>
    <w:rsid w:val="009906A6"/>
    <w:rsid w:val="00997B87"/>
    <w:rsid w:val="009A16F9"/>
    <w:rsid w:val="009B38CE"/>
    <w:rsid w:val="009B79AE"/>
    <w:rsid w:val="009C06F1"/>
    <w:rsid w:val="009C60CE"/>
    <w:rsid w:val="009E5574"/>
    <w:rsid w:val="009E55B5"/>
    <w:rsid w:val="009F23D3"/>
    <w:rsid w:val="00A00198"/>
    <w:rsid w:val="00A47CC8"/>
    <w:rsid w:val="00A47EB4"/>
    <w:rsid w:val="00A576F2"/>
    <w:rsid w:val="00A579D1"/>
    <w:rsid w:val="00A70EED"/>
    <w:rsid w:val="00A81553"/>
    <w:rsid w:val="00A841A3"/>
    <w:rsid w:val="00A94CE7"/>
    <w:rsid w:val="00A969A0"/>
    <w:rsid w:val="00AB1E5D"/>
    <w:rsid w:val="00AB2B5A"/>
    <w:rsid w:val="00AD1EE5"/>
    <w:rsid w:val="00AF0EBF"/>
    <w:rsid w:val="00B14D70"/>
    <w:rsid w:val="00B270C7"/>
    <w:rsid w:val="00B34EA4"/>
    <w:rsid w:val="00B4256C"/>
    <w:rsid w:val="00B63ACB"/>
    <w:rsid w:val="00B748E6"/>
    <w:rsid w:val="00B92BCD"/>
    <w:rsid w:val="00B96D40"/>
    <w:rsid w:val="00BA6ED1"/>
    <w:rsid w:val="00BD795E"/>
    <w:rsid w:val="00C07013"/>
    <w:rsid w:val="00C07A4A"/>
    <w:rsid w:val="00C130F3"/>
    <w:rsid w:val="00C22877"/>
    <w:rsid w:val="00C2334D"/>
    <w:rsid w:val="00C35B65"/>
    <w:rsid w:val="00C47D0B"/>
    <w:rsid w:val="00C56205"/>
    <w:rsid w:val="00C7051C"/>
    <w:rsid w:val="00C811BE"/>
    <w:rsid w:val="00C85728"/>
    <w:rsid w:val="00C95361"/>
    <w:rsid w:val="00CA1B4E"/>
    <w:rsid w:val="00CA4B0F"/>
    <w:rsid w:val="00CA4F8C"/>
    <w:rsid w:val="00CC797B"/>
    <w:rsid w:val="00CD28D2"/>
    <w:rsid w:val="00D00843"/>
    <w:rsid w:val="00D17F74"/>
    <w:rsid w:val="00D304DE"/>
    <w:rsid w:val="00D42F1B"/>
    <w:rsid w:val="00D553BC"/>
    <w:rsid w:val="00D578BF"/>
    <w:rsid w:val="00D71822"/>
    <w:rsid w:val="00D86E43"/>
    <w:rsid w:val="00D9173E"/>
    <w:rsid w:val="00D91942"/>
    <w:rsid w:val="00DA1588"/>
    <w:rsid w:val="00DC0FF0"/>
    <w:rsid w:val="00DD2FA5"/>
    <w:rsid w:val="00DD6C8F"/>
    <w:rsid w:val="00DD7FB2"/>
    <w:rsid w:val="00DE796A"/>
    <w:rsid w:val="00E11905"/>
    <w:rsid w:val="00E20C50"/>
    <w:rsid w:val="00E32A3D"/>
    <w:rsid w:val="00E57228"/>
    <w:rsid w:val="00E760C7"/>
    <w:rsid w:val="00E9640A"/>
    <w:rsid w:val="00EA2CCF"/>
    <w:rsid w:val="00EC3A5F"/>
    <w:rsid w:val="00ED77A3"/>
    <w:rsid w:val="00EE6015"/>
    <w:rsid w:val="00EE70DB"/>
    <w:rsid w:val="00F10C46"/>
    <w:rsid w:val="00F240DC"/>
    <w:rsid w:val="00F2495E"/>
    <w:rsid w:val="00F27726"/>
    <w:rsid w:val="00F65F58"/>
    <w:rsid w:val="00F7639B"/>
    <w:rsid w:val="00F81A30"/>
    <w:rsid w:val="00FA78D2"/>
    <w:rsid w:val="00FB2080"/>
    <w:rsid w:val="00FC1DEC"/>
    <w:rsid w:val="00FC2264"/>
    <w:rsid w:val="00FC582C"/>
    <w:rsid w:val="00FD2B77"/>
    <w:rsid w:val="00FD42F5"/>
    <w:rsid w:val="00FD4D75"/>
    <w:rsid w:val="00FF59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C56E8D"/>
  <w15:docId w15:val="{E6ADE4B8-2C9B-4B79-901A-1C736A871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bidi/>
    </w:pPr>
    <w:rPr>
      <w:rFonts w:cs="Simplified Arabic"/>
      <w:sz w:val="22"/>
      <w:szCs w:val="28"/>
    </w:rPr>
  </w:style>
  <w:style w:type="paragraph" w:styleId="Heading1">
    <w:name w:val="heading 1"/>
    <w:basedOn w:val="Normal"/>
    <w:next w:val="Normal"/>
    <w:qFormat/>
    <w:pPr>
      <w:keepNext/>
      <w:spacing w:before="120" w:after="120" w:line="360" w:lineRule="exact"/>
      <w:jc w:val="center"/>
      <w:outlineLvl w:val="0"/>
    </w:pPr>
    <w:rPr>
      <w:u w:val="single"/>
    </w:rPr>
  </w:style>
  <w:style w:type="paragraph" w:styleId="Heading2">
    <w:name w:val="heading 2"/>
    <w:basedOn w:val="Normal"/>
    <w:next w:val="Normal"/>
    <w:qFormat/>
    <w:pPr>
      <w:keepNext/>
      <w:spacing w:before="120" w:after="120" w:line="360" w:lineRule="exact"/>
      <w:jc w:val="center"/>
      <w:outlineLvl w:val="1"/>
    </w:pPr>
    <w:rPr>
      <w:u w:val="single"/>
    </w:rPr>
  </w:style>
  <w:style w:type="paragraph" w:styleId="Heading3">
    <w:name w:val="heading 3"/>
    <w:basedOn w:val="Normal"/>
    <w:next w:val="Normal"/>
    <w:qFormat/>
    <w:pPr>
      <w:keepNext/>
      <w:spacing w:before="120" w:after="120" w:line="360" w:lineRule="exact"/>
      <w:jc w:val="both"/>
      <w:outlineLvl w:val="2"/>
    </w:pPr>
    <w:rPr>
      <w:u w:val="single"/>
    </w:rPr>
  </w:style>
  <w:style w:type="paragraph" w:styleId="Heading4">
    <w:name w:val="heading 4"/>
    <w:basedOn w:val="Normal"/>
    <w:next w:val="Normal"/>
    <w:qFormat/>
    <w:pPr>
      <w:keepNext/>
      <w:spacing w:before="120" w:after="120" w:line="360" w:lineRule="exact"/>
      <w:jc w:val="both"/>
      <w:outlineLvl w:val="3"/>
    </w:pPr>
  </w:style>
  <w:style w:type="paragraph" w:styleId="Heading5">
    <w:name w:val="heading 5"/>
    <w:basedOn w:val="Normal"/>
    <w:next w:val="Normal"/>
    <w:qFormat/>
    <w:pPr>
      <w:keepNext/>
      <w:jc w:val="right"/>
      <w:outlineLvl w:val="4"/>
    </w:pPr>
    <w:rPr>
      <w:rFonts w:ascii="Times" w:hAnsi="Times" w:cs="Arabic Transparent"/>
      <w:b/>
      <w:bCs/>
      <w:noProof/>
      <w:sz w:val="20"/>
      <w:szCs w:val="44"/>
    </w:rPr>
  </w:style>
  <w:style w:type="paragraph" w:styleId="Heading6">
    <w:name w:val="heading 6"/>
    <w:basedOn w:val="Normal"/>
    <w:next w:val="Normal"/>
    <w:qFormat/>
    <w:pPr>
      <w:keepNext/>
      <w:spacing w:before="120" w:after="120" w:line="360" w:lineRule="exact"/>
      <w:jc w:val="both"/>
      <w:outlineLvl w:val="5"/>
    </w:pPr>
    <w:rPr>
      <w:u w:val="single"/>
    </w:rPr>
  </w:style>
  <w:style w:type="paragraph" w:styleId="Heading7">
    <w:name w:val="heading 7"/>
    <w:basedOn w:val="Normal"/>
    <w:next w:val="Normal"/>
    <w:qFormat/>
    <w:pPr>
      <w:keepNext/>
      <w:jc w:val="center"/>
      <w:outlineLvl w:val="6"/>
    </w:pPr>
    <w:rPr>
      <w:rFonts w:ascii="Times" w:hAnsi="Times"/>
      <w:b/>
      <w:bCs/>
      <w:noProof/>
      <w:sz w:val="20"/>
    </w:rPr>
  </w:style>
  <w:style w:type="paragraph" w:styleId="Heading8">
    <w:name w:val="heading 8"/>
    <w:basedOn w:val="Normal"/>
    <w:next w:val="Normal"/>
    <w:qFormat/>
    <w:pPr>
      <w:keepNext/>
      <w:jc w:val="center"/>
      <w:outlineLvl w:val="7"/>
    </w:pPr>
    <w:rPr>
      <w:b/>
      <w:bCs/>
      <w:sz w:val="30"/>
      <w:szCs w:val="30"/>
    </w:rPr>
  </w:style>
  <w:style w:type="paragraph" w:styleId="Heading9">
    <w:name w:val="heading 9"/>
    <w:basedOn w:val="Normal"/>
    <w:next w:val="Normal"/>
    <w:qFormat/>
    <w:pPr>
      <w:keepNext/>
      <w:spacing w:line="360" w:lineRule="exact"/>
      <w:jc w:val="center"/>
      <w:outlineLvl w:val="8"/>
    </w:pPr>
    <w:rPr>
      <w:rFonts w:ascii="Times" w:hAnsi="Times"/>
      <w:b/>
      <w:bCs/>
      <w:noProof/>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jc w:val="right"/>
    </w:pPr>
    <w:rPr>
      <w:rFonts w:ascii="Times" w:hAnsi="Times"/>
      <w:noProof/>
      <w:sz w:val="20"/>
      <w:szCs w:val="24"/>
    </w:rPr>
  </w:style>
  <w:style w:type="character" w:styleId="PageNumber">
    <w:name w:val="page number"/>
    <w:basedOn w:val="DefaultParagraphFont"/>
  </w:style>
  <w:style w:type="paragraph" w:styleId="Footer">
    <w:name w:val="footer"/>
    <w:basedOn w:val="Normal"/>
    <w:pPr>
      <w:tabs>
        <w:tab w:val="center" w:pos="4153"/>
        <w:tab w:val="right" w:pos="8306"/>
      </w:tabs>
      <w:jc w:val="right"/>
    </w:pPr>
    <w:rPr>
      <w:rFonts w:ascii="Times" w:hAnsi="Times"/>
      <w:noProof/>
      <w:sz w:val="20"/>
      <w:szCs w:val="24"/>
    </w:rPr>
  </w:style>
  <w:style w:type="paragraph" w:styleId="FootnoteText">
    <w:name w:val="footnote text"/>
    <w:aliases w:val="Geneva 9,Font: Geneva 9,Boston 10,f,DNV-FT,fn,footnote text,Footnotes,Footnote ak,ft,fn cafc,Footnotes Char Char,Footnote Text Char Char,fn Char Char,footnote text Char Char Char Ch,footnote text Char Char Char Ch Char,-E Fußnotentext,93"/>
    <w:basedOn w:val="Normal"/>
    <w:link w:val="FootnoteTextChar"/>
    <w:pPr>
      <w:jc w:val="right"/>
    </w:pPr>
    <w:rPr>
      <w:rFonts w:ascii="Times" w:hAnsi="Times"/>
      <w:noProof/>
      <w:sz w:val="20"/>
      <w:szCs w:val="20"/>
    </w:rPr>
  </w:style>
  <w:style w:type="character" w:styleId="FootnoteReference">
    <w:name w:val="footnote reference"/>
    <w:aliases w:val="ftref,16 Point,Superscript 6 Point,(Ref. de nota al pie),number,SUPERS,Footnote Reference Superscript,Footnote Reference S,fr,Fotnotsreferens"/>
    <w:qFormat/>
    <w:rPr>
      <w:vertAlign w:val="superscript"/>
    </w:rPr>
  </w:style>
  <w:style w:type="paragraph" w:customStyle="1" w:styleId="Level1">
    <w:name w:val="Level1"/>
    <w:basedOn w:val="Normal"/>
    <w:pPr>
      <w:tabs>
        <w:tab w:val="left" w:pos="578"/>
        <w:tab w:val="left" w:pos="1157"/>
      </w:tabs>
      <w:bidi w:val="0"/>
      <w:spacing w:after="240"/>
    </w:pPr>
    <w:rPr>
      <w:rFonts w:cs="Times New Roman"/>
      <w:szCs w:val="22"/>
      <w:lang w:val="en-GB" w:eastAsia="fr-FR"/>
    </w:rPr>
  </w:style>
  <w:style w:type="paragraph" w:customStyle="1" w:styleId="font6">
    <w:name w:val="font6"/>
    <w:basedOn w:val="Normal"/>
    <w:pPr>
      <w:bidi w:val="0"/>
      <w:spacing w:before="100" w:beforeAutospacing="1" w:after="100" w:afterAutospacing="1"/>
    </w:pPr>
    <w:rPr>
      <w:rFonts w:ascii="Arial" w:eastAsia="Arial Unicode MS" w:hAnsi="Arial" w:cs="Arial"/>
      <w:sz w:val="20"/>
      <w:szCs w:val="20"/>
      <w:lang w:val="fr-FR" w:eastAsia="fr-FR"/>
    </w:rPr>
  </w:style>
  <w:style w:type="paragraph" w:styleId="BodyText">
    <w:name w:val="Body Text"/>
    <w:basedOn w:val="Normal"/>
    <w:pPr>
      <w:bidi w:val="0"/>
    </w:pPr>
    <w:rPr>
      <w:rFonts w:ascii="Times" w:hAnsi="Times"/>
      <w:sz w:val="20"/>
    </w:rPr>
  </w:style>
  <w:style w:type="paragraph" w:styleId="BodyText2">
    <w:name w:val="Body Text 2"/>
    <w:basedOn w:val="Normal"/>
    <w:pPr>
      <w:jc w:val="both"/>
    </w:pPr>
    <w:rPr>
      <w:rFonts w:ascii="Times" w:hAnsi="Times"/>
      <w:noProof/>
      <w:sz w:val="28"/>
    </w:rPr>
  </w:style>
  <w:style w:type="paragraph" w:customStyle="1" w:styleId="SingleTxt">
    <w:name w:val="__Single Txt"/>
    <w:basedOn w:val="Normal"/>
    <w:rsid w:val="003D7E80"/>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rFonts w:cs="Traditional Arabic"/>
      <w:w w:val="103"/>
      <w:kern w:val="14"/>
      <w:sz w:val="20"/>
      <w:szCs w:val="30"/>
    </w:rPr>
  </w:style>
  <w:style w:type="paragraph" w:styleId="BalloonText">
    <w:name w:val="Balloon Text"/>
    <w:basedOn w:val="Normal"/>
    <w:link w:val="BalloonTextChar"/>
    <w:rsid w:val="00FD42F5"/>
    <w:rPr>
      <w:rFonts w:ascii="Tahoma" w:hAnsi="Tahoma" w:cs="Tahoma"/>
      <w:sz w:val="16"/>
      <w:szCs w:val="16"/>
    </w:rPr>
  </w:style>
  <w:style w:type="character" w:customStyle="1" w:styleId="BalloonTextChar">
    <w:name w:val="Balloon Text Char"/>
    <w:link w:val="BalloonText"/>
    <w:rsid w:val="00FD42F5"/>
    <w:rPr>
      <w:rFonts w:ascii="Tahoma" w:hAnsi="Tahoma" w:cs="Tahoma"/>
      <w:sz w:val="16"/>
      <w:szCs w:val="16"/>
    </w:rPr>
  </w:style>
  <w:style w:type="paragraph" w:customStyle="1" w:styleId="CH1">
    <w:name w:val="CH1"/>
    <w:basedOn w:val="Normal"/>
    <w:next w:val="CH2"/>
    <w:rsid w:val="00B4256C"/>
    <w:pPr>
      <w:keepNext/>
      <w:keepLines/>
      <w:tabs>
        <w:tab w:val="right" w:pos="851"/>
        <w:tab w:val="left" w:pos="1247"/>
        <w:tab w:val="left" w:pos="1814"/>
        <w:tab w:val="left" w:pos="2381"/>
        <w:tab w:val="left" w:pos="2948"/>
        <w:tab w:val="left" w:pos="3515"/>
      </w:tabs>
      <w:suppressAutoHyphens/>
      <w:bidi w:val="0"/>
      <w:spacing w:before="240" w:after="120"/>
      <w:ind w:left="1247" w:right="284" w:hanging="1247"/>
    </w:pPr>
    <w:rPr>
      <w:rFonts w:cs="Traditional Arabic" w:hint="cs"/>
      <w:b/>
      <w:sz w:val="28"/>
      <w:lang w:val="en-GB"/>
    </w:rPr>
  </w:style>
  <w:style w:type="paragraph" w:customStyle="1" w:styleId="CH2">
    <w:name w:val="CH2"/>
    <w:basedOn w:val="Normal"/>
    <w:next w:val="Normalnumber"/>
    <w:rsid w:val="00B4256C"/>
    <w:pPr>
      <w:keepNext/>
      <w:keepLines/>
      <w:tabs>
        <w:tab w:val="right" w:pos="851"/>
        <w:tab w:val="left" w:pos="1247"/>
        <w:tab w:val="left" w:pos="1814"/>
        <w:tab w:val="left" w:pos="2381"/>
        <w:tab w:val="left" w:pos="2948"/>
        <w:tab w:val="left" w:pos="3515"/>
      </w:tabs>
      <w:suppressAutoHyphens/>
      <w:bidi w:val="0"/>
      <w:spacing w:before="80" w:after="120"/>
      <w:ind w:left="1247" w:right="284" w:hanging="1247"/>
    </w:pPr>
    <w:rPr>
      <w:rFonts w:cs="Traditional Arabic" w:hint="cs"/>
      <w:b/>
      <w:sz w:val="24"/>
      <w:szCs w:val="24"/>
      <w:lang w:val="en-GB"/>
    </w:rPr>
  </w:style>
  <w:style w:type="character" w:customStyle="1" w:styleId="FootnoteTextChar">
    <w:name w:val="Footnote Text Char"/>
    <w:aliases w:val="Geneva 9 Char,Font: Geneva 9 Char,Boston 10 Char,f Char,DNV-FT Char,fn Char,footnote text Char,Footnotes Char,Footnote ak Char,ft Char,fn cafc Char,Footnotes Char Char Char,Footnote Text Char Char Char,fn Char Char Char,93 Char"/>
    <w:basedOn w:val="DefaultParagraphFont"/>
    <w:link w:val="FootnoteText"/>
    <w:rsid w:val="00B4256C"/>
    <w:rPr>
      <w:rFonts w:ascii="Times" w:hAnsi="Times" w:cs="Simplified Arabic"/>
      <w:noProof/>
    </w:rPr>
  </w:style>
  <w:style w:type="paragraph" w:customStyle="1" w:styleId="AATitle">
    <w:name w:val="AA_Title"/>
    <w:basedOn w:val="Normal"/>
    <w:rsid w:val="00B4256C"/>
    <w:pPr>
      <w:keepNext/>
      <w:keepLines/>
      <w:tabs>
        <w:tab w:val="left" w:pos="1247"/>
        <w:tab w:val="left" w:pos="1814"/>
        <w:tab w:val="left" w:pos="2381"/>
        <w:tab w:val="left" w:pos="2948"/>
        <w:tab w:val="left" w:pos="3515"/>
      </w:tabs>
      <w:suppressAutoHyphens/>
      <w:bidi w:val="0"/>
      <w:ind w:right="3402"/>
    </w:pPr>
    <w:rPr>
      <w:rFonts w:cs="Traditional Arabic" w:hint="cs"/>
      <w:b/>
      <w:sz w:val="20"/>
      <w:szCs w:val="30"/>
      <w:lang w:val="en-GB"/>
    </w:rPr>
  </w:style>
  <w:style w:type="paragraph" w:customStyle="1" w:styleId="BBTitle">
    <w:name w:val="BB_Title"/>
    <w:basedOn w:val="Normal"/>
    <w:rsid w:val="00B4256C"/>
    <w:pPr>
      <w:keepNext/>
      <w:keepLines/>
      <w:tabs>
        <w:tab w:val="left" w:pos="1247"/>
        <w:tab w:val="left" w:pos="1814"/>
        <w:tab w:val="left" w:pos="2381"/>
        <w:tab w:val="left" w:pos="2948"/>
        <w:tab w:val="left" w:pos="3515"/>
      </w:tabs>
      <w:suppressAutoHyphens/>
      <w:bidi w:val="0"/>
      <w:spacing w:before="320" w:after="240"/>
      <w:ind w:left="1247" w:right="567"/>
    </w:pPr>
    <w:rPr>
      <w:rFonts w:cs="Traditional Arabic" w:hint="cs"/>
      <w:b/>
      <w:sz w:val="28"/>
      <w:lang w:val="en-GB"/>
    </w:rPr>
  </w:style>
  <w:style w:type="numbering" w:customStyle="1" w:styleId="Normallist">
    <w:name w:val="Normal_list"/>
    <w:basedOn w:val="NoList"/>
    <w:rsid w:val="00B4256C"/>
    <w:pPr>
      <w:numPr>
        <w:numId w:val="2"/>
      </w:numPr>
    </w:pPr>
  </w:style>
  <w:style w:type="paragraph" w:customStyle="1" w:styleId="NormalNonumber">
    <w:name w:val="Normal_No_number"/>
    <w:basedOn w:val="Normal"/>
    <w:rsid w:val="00B4256C"/>
    <w:pPr>
      <w:tabs>
        <w:tab w:val="left" w:pos="1247"/>
        <w:tab w:val="left" w:pos="1814"/>
        <w:tab w:val="left" w:pos="2381"/>
        <w:tab w:val="left" w:pos="2948"/>
        <w:tab w:val="left" w:pos="3515"/>
      </w:tabs>
      <w:bidi w:val="0"/>
      <w:spacing w:after="120"/>
      <w:ind w:left="1247"/>
    </w:pPr>
    <w:rPr>
      <w:rFonts w:cs="Traditional Arabic" w:hint="cs"/>
      <w:sz w:val="20"/>
      <w:szCs w:val="30"/>
      <w:lang w:val="en-GB"/>
    </w:rPr>
  </w:style>
  <w:style w:type="paragraph" w:customStyle="1" w:styleId="Normalnumber">
    <w:name w:val="Normal_number"/>
    <w:basedOn w:val="Normal"/>
    <w:rsid w:val="00B4256C"/>
    <w:pPr>
      <w:numPr>
        <w:numId w:val="3"/>
      </w:numPr>
      <w:tabs>
        <w:tab w:val="left" w:pos="1247"/>
        <w:tab w:val="left" w:pos="1814"/>
        <w:tab w:val="left" w:pos="2381"/>
        <w:tab w:val="left" w:pos="2948"/>
        <w:tab w:val="left" w:pos="3515"/>
      </w:tabs>
      <w:bidi w:val="0"/>
      <w:spacing w:after="120"/>
    </w:pPr>
    <w:rPr>
      <w:rFonts w:cs="Traditional Arabic" w:hint="cs"/>
      <w:sz w:val="20"/>
      <w:szCs w:val="30"/>
      <w:lang w:val="en-GB"/>
    </w:rPr>
  </w:style>
  <w:style w:type="paragraph" w:styleId="ListParagraph">
    <w:name w:val="List Paragraph"/>
    <w:basedOn w:val="Normal"/>
    <w:uiPriority w:val="34"/>
    <w:qFormat/>
    <w:rsid w:val="00C07A4A"/>
    <w:pPr>
      <w:ind w:left="720"/>
      <w:contextualSpacing/>
    </w:pPr>
  </w:style>
  <w:style w:type="table" w:styleId="TableGrid">
    <w:name w:val="Table Grid"/>
    <w:basedOn w:val="TableNormal"/>
    <w:uiPriority w:val="39"/>
    <w:rsid w:val="00C07A4A"/>
    <w:rPr>
      <w:rFonts w:ascii="Century" w:eastAsia="MS Mincho" w:hAnsi="Century" w:cs="Times New Roman"/>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CharCharCharCharCharChar">
    <w:name w:val="Char1 Char Char Char Char Char Char"/>
    <w:basedOn w:val="Normal"/>
    <w:rsid w:val="009C06F1"/>
    <w:pPr>
      <w:bidi w:val="0"/>
      <w:spacing w:after="160" w:line="240" w:lineRule="exact"/>
    </w:pPr>
    <w:rPr>
      <w:rFonts w:ascii="Tahoma" w:hAnsi="Tahoma" w:cs="Times New Roman"/>
      <w:sz w:val="20"/>
      <w:szCs w:val="20"/>
    </w:rPr>
  </w:style>
  <w:style w:type="paragraph" w:customStyle="1" w:styleId="Normal-pool">
    <w:name w:val="Normal-pool"/>
    <w:link w:val="Normal-poolChar1"/>
    <w:rsid w:val="003F2F51"/>
    <w:pPr>
      <w:tabs>
        <w:tab w:val="left" w:pos="1247"/>
        <w:tab w:val="left" w:pos="1814"/>
        <w:tab w:val="left" w:pos="2381"/>
        <w:tab w:val="left" w:pos="2948"/>
        <w:tab w:val="left" w:pos="3515"/>
        <w:tab w:val="left" w:pos="4082"/>
      </w:tabs>
    </w:pPr>
    <w:rPr>
      <w:rFonts w:cs="Times New Roman"/>
      <w:lang w:val="en-GB"/>
    </w:rPr>
  </w:style>
  <w:style w:type="character" w:customStyle="1" w:styleId="Normal-poolChar1">
    <w:name w:val="Normal-pool Char1"/>
    <w:link w:val="Normal-pool"/>
    <w:locked/>
    <w:rsid w:val="003F2F51"/>
    <w:rPr>
      <w:rFonts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224523-1239-4260-A660-AF1ABDE29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1777</Words>
  <Characters>10134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UNEP/EA</vt:lpstr>
    </vt:vector>
  </TitlesOfParts>
  <Company>UNON</Company>
  <LinksUpToDate>false</LinksUpToDate>
  <CharactersWithSpaces>11888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UNEP/EA</dc:title>
  <dc:creator>kotb</dc:creator>
  <cp:lastModifiedBy>Angeline Djampou</cp:lastModifiedBy>
  <cp:revision>2</cp:revision>
  <cp:lastPrinted>2017-10-16T10:36:00Z</cp:lastPrinted>
  <dcterms:created xsi:type="dcterms:W3CDTF">2020-01-20T17:01:00Z</dcterms:created>
  <dcterms:modified xsi:type="dcterms:W3CDTF">2020-01-20T17:01:00Z</dcterms:modified>
</cp:coreProperties>
</file>