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142F12" w:rsidRPr="008B21C6" w14:paraId="2BE64AD3" w14:textId="77777777" w:rsidTr="008E2F15">
        <w:trPr>
          <w:cantSplit/>
          <w:trHeight w:val="20"/>
          <w:jc w:val="right"/>
        </w:trPr>
        <w:tc>
          <w:tcPr>
            <w:tcW w:w="1550" w:type="dxa"/>
          </w:tcPr>
          <w:p w14:paraId="7F29B0E8" w14:textId="77777777" w:rsidR="00142F12" w:rsidRPr="008B21C6" w:rsidRDefault="00142F12" w:rsidP="008E2F15">
            <w:pPr>
              <w:tabs>
                <w:tab w:val="left" w:pos="1247"/>
                <w:tab w:val="left" w:pos="1814"/>
                <w:tab w:val="left" w:pos="2381"/>
                <w:tab w:val="left" w:pos="2948"/>
                <w:tab w:val="left" w:pos="3515"/>
              </w:tabs>
              <w:spacing w:after="0" w:line="240" w:lineRule="auto"/>
              <w:rPr>
                <w:rFonts w:ascii="Univers" w:hAnsi="Univers"/>
                <w:b/>
                <w:noProof/>
                <w:sz w:val="27"/>
                <w:szCs w:val="27"/>
                <w:lang w:val="en-GB"/>
              </w:rPr>
            </w:pPr>
            <w:r w:rsidRPr="008B21C6">
              <w:rPr>
                <w:rFonts w:ascii="Arial" w:eastAsia="Times New Roman" w:hAnsi="Arial" w:cs="Arial"/>
                <w:b/>
                <w:noProof/>
                <w:sz w:val="27"/>
                <w:szCs w:val="27"/>
                <w:lang w:val="en-GB"/>
              </w:rPr>
              <w:t>UNITED</w:t>
            </w:r>
            <w:r>
              <w:rPr>
                <w:rFonts w:ascii="Arial" w:eastAsia="Times New Roman" w:hAnsi="Arial" w:cs="Arial"/>
                <w:b/>
                <w:noProof/>
                <w:sz w:val="27"/>
                <w:szCs w:val="27"/>
                <w:lang w:val="en-GB"/>
              </w:rPr>
              <w:t xml:space="preserve"> </w:t>
            </w:r>
            <w:r w:rsidRPr="008B21C6">
              <w:rPr>
                <w:rFonts w:ascii="Arial" w:eastAsia="Times New Roman" w:hAnsi="Arial" w:cs="Arial"/>
                <w:b/>
                <w:noProof/>
                <w:sz w:val="27"/>
                <w:szCs w:val="27"/>
                <w:lang w:val="en-GB"/>
              </w:rPr>
              <w:br/>
              <w:t>NATIONS</w:t>
            </w:r>
          </w:p>
        </w:tc>
        <w:tc>
          <w:tcPr>
            <w:tcW w:w="5347" w:type="dxa"/>
          </w:tcPr>
          <w:p w14:paraId="7D74B2C2" w14:textId="77777777" w:rsidR="00142F12" w:rsidRPr="008B21C6" w:rsidRDefault="00142F12" w:rsidP="008E2F15">
            <w:pPr>
              <w:rPr>
                <w:rFonts w:ascii="Univers" w:hAnsi="Univers"/>
                <w:b/>
                <w:sz w:val="27"/>
                <w:szCs w:val="27"/>
                <w:lang w:val="en-GB"/>
              </w:rPr>
            </w:pPr>
          </w:p>
        </w:tc>
        <w:tc>
          <w:tcPr>
            <w:tcW w:w="2815" w:type="dxa"/>
          </w:tcPr>
          <w:p w14:paraId="00FAADB3" w14:textId="77777777" w:rsidR="00142F12" w:rsidRPr="008B21C6" w:rsidRDefault="00142F12" w:rsidP="008E2F15">
            <w:pPr>
              <w:jc w:val="right"/>
              <w:rPr>
                <w:rFonts w:ascii="Arial" w:hAnsi="Arial" w:cs="Arial"/>
                <w:b/>
                <w:sz w:val="64"/>
                <w:szCs w:val="64"/>
                <w:lang w:val="en-GB"/>
              </w:rPr>
            </w:pPr>
            <w:r w:rsidRPr="008B21C6">
              <w:rPr>
                <w:rFonts w:ascii="Arial" w:hAnsi="Arial" w:cs="Arial"/>
                <w:b/>
                <w:sz w:val="64"/>
                <w:szCs w:val="64"/>
                <w:lang w:val="en-GB"/>
              </w:rPr>
              <w:t>EP</w:t>
            </w:r>
          </w:p>
        </w:tc>
      </w:tr>
      <w:tr w:rsidR="00142F12" w:rsidRPr="00A67F0E" w14:paraId="6A46EA52" w14:textId="77777777" w:rsidTr="008E2F15">
        <w:trPr>
          <w:cantSplit/>
          <w:trHeight w:val="20"/>
          <w:jc w:val="right"/>
        </w:trPr>
        <w:tc>
          <w:tcPr>
            <w:tcW w:w="1550" w:type="dxa"/>
            <w:tcBorders>
              <w:bottom w:val="single" w:sz="4" w:space="0" w:color="auto"/>
            </w:tcBorders>
          </w:tcPr>
          <w:p w14:paraId="3CD14D3B" w14:textId="77777777" w:rsidR="00142F12" w:rsidRPr="008768F1" w:rsidRDefault="00142F12" w:rsidP="008E2F15">
            <w:pPr>
              <w:tabs>
                <w:tab w:val="left" w:pos="1247"/>
                <w:tab w:val="left" w:pos="1814"/>
                <w:tab w:val="left" w:pos="2381"/>
                <w:tab w:val="left" w:pos="2948"/>
                <w:tab w:val="left" w:pos="3515"/>
              </w:tabs>
              <w:spacing w:after="0" w:line="240" w:lineRule="auto"/>
              <w:rPr>
                <w:rFonts w:ascii="Times New Roman" w:eastAsia="Times New Roman" w:hAnsi="Times New Roman"/>
                <w:b/>
                <w:noProof/>
                <w:sz w:val="18"/>
                <w:szCs w:val="18"/>
                <w:highlight w:val="cyan"/>
                <w:lang w:val="en-GB"/>
              </w:rPr>
            </w:pPr>
          </w:p>
        </w:tc>
        <w:tc>
          <w:tcPr>
            <w:tcW w:w="5347" w:type="dxa"/>
            <w:tcBorders>
              <w:bottom w:val="single" w:sz="4" w:space="0" w:color="auto"/>
            </w:tcBorders>
          </w:tcPr>
          <w:p w14:paraId="448CA7D6" w14:textId="77777777" w:rsidR="00142F12" w:rsidRPr="008B21C6" w:rsidRDefault="00142F12" w:rsidP="008E2F15">
            <w:pPr>
              <w:tabs>
                <w:tab w:val="left" w:pos="1247"/>
                <w:tab w:val="left" w:pos="1814"/>
                <w:tab w:val="left" w:pos="2381"/>
                <w:tab w:val="left" w:pos="2948"/>
                <w:tab w:val="left" w:pos="3515"/>
              </w:tabs>
              <w:spacing w:after="0" w:line="240" w:lineRule="auto"/>
              <w:rPr>
                <w:rFonts w:ascii="Times New Roman" w:eastAsia="Times New Roman" w:hAnsi="Times New Roman"/>
                <w:noProof/>
                <w:sz w:val="18"/>
                <w:szCs w:val="18"/>
                <w:lang w:val="en-GB"/>
              </w:rPr>
            </w:pPr>
          </w:p>
        </w:tc>
        <w:tc>
          <w:tcPr>
            <w:tcW w:w="2815" w:type="dxa"/>
            <w:tcBorders>
              <w:bottom w:val="single" w:sz="4" w:space="0" w:color="auto"/>
            </w:tcBorders>
          </w:tcPr>
          <w:p w14:paraId="630FA557" w14:textId="5B093D97" w:rsidR="00142F12" w:rsidRPr="008B21C6" w:rsidRDefault="00142F12" w:rsidP="008E2F15">
            <w:pPr>
              <w:tabs>
                <w:tab w:val="left" w:pos="1247"/>
                <w:tab w:val="left" w:pos="1814"/>
                <w:tab w:val="left" w:pos="2381"/>
                <w:tab w:val="left" w:pos="2948"/>
                <w:tab w:val="left" w:pos="3515"/>
              </w:tabs>
              <w:spacing w:after="0" w:line="240" w:lineRule="auto"/>
              <w:rPr>
                <w:rFonts w:ascii="Times New Roman" w:eastAsia="Times New Roman" w:hAnsi="Times New Roman"/>
                <w:noProof/>
                <w:sz w:val="18"/>
                <w:szCs w:val="18"/>
                <w:lang w:val="en-GB"/>
              </w:rPr>
            </w:pPr>
            <w:r w:rsidRPr="008B21C6">
              <w:rPr>
                <w:rFonts w:ascii="Times New Roman" w:eastAsia="Times New Roman" w:hAnsi="Times New Roman"/>
                <w:b/>
                <w:bCs/>
                <w:sz w:val="28"/>
                <w:szCs w:val="20"/>
                <w:lang w:val="en-GB"/>
              </w:rPr>
              <w:t>UNEP</w:t>
            </w:r>
            <w:r w:rsidRPr="00707233">
              <w:rPr>
                <w:rFonts w:ascii="Times New Roman" w:eastAsia="Times New Roman" w:hAnsi="Times New Roman"/>
                <w:noProof/>
                <w:sz w:val="20"/>
                <w:szCs w:val="20"/>
                <w:lang w:val="en-GB"/>
              </w:rPr>
              <w:t>/EA.</w:t>
            </w:r>
            <w:r w:rsidRPr="00677FDB">
              <w:rPr>
                <w:rFonts w:ascii="Times New Roman" w:eastAsia="Times New Roman" w:hAnsi="Times New Roman"/>
                <w:noProof/>
                <w:sz w:val="20"/>
                <w:szCs w:val="20"/>
                <w:lang w:val="en-GB"/>
              </w:rPr>
              <w:t>4/INF.</w:t>
            </w:r>
            <w:r w:rsidR="008001D0">
              <w:rPr>
                <w:rFonts w:ascii="Times New Roman" w:eastAsia="Times New Roman" w:hAnsi="Times New Roman"/>
                <w:noProof/>
                <w:sz w:val="20"/>
                <w:szCs w:val="20"/>
                <w:lang w:val="en-GB"/>
              </w:rPr>
              <w:t>19</w:t>
            </w:r>
            <w:bookmarkStart w:id="0" w:name="_GoBack"/>
            <w:bookmarkEnd w:id="0"/>
          </w:p>
        </w:tc>
      </w:tr>
      <w:bookmarkStart w:id="1" w:name="_MON_1021710510"/>
      <w:bookmarkEnd w:id="1"/>
      <w:tr w:rsidR="00142F12" w:rsidRPr="00A67F0E" w14:paraId="3112AB4D" w14:textId="77777777" w:rsidTr="008E2F15">
        <w:trPr>
          <w:cantSplit/>
          <w:trHeight w:val="20"/>
          <w:jc w:val="right"/>
        </w:trPr>
        <w:tc>
          <w:tcPr>
            <w:tcW w:w="1550" w:type="dxa"/>
            <w:tcBorders>
              <w:top w:val="single" w:sz="4" w:space="0" w:color="auto"/>
              <w:bottom w:val="single" w:sz="24" w:space="0" w:color="auto"/>
            </w:tcBorders>
          </w:tcPr>
          <w:p w14:paraId="3D984553" w14:textId="77777777" w:rsidR="00142F12" w:rsidRPr="00A67F0E" w:rsidRDefault="00142F12" w:rsidP="008E2F15">
            <w:pPr>
              <w:rPr>
                <w:rFonts w:ascii="Times New Roman" w:hAnsi="Times New Roman"/>
                <w:noProof/>
                <w:lang w:val="en-GB"/>
              </w:rPr>
            </w:pPr>
            <w:r w:rsidRPr="008B21C6">
              <w:rPr>
                <w:noProof/>
                <w:lang w:val="en-GB"/>
              </w:rPr>
              <w:object w:dxaOrig="1831" w:dyaOrig="1726" w14:anchorId="36E15F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61.5pt" o:ole="" fillcolor="window">
                  <v:imagedata r:id="rId8" o:title=""/>
                </v:shape>
                <o:OLEObject Type="Embed" ProgID="Word.Picture.8" ShapeID="_x0000_i1025" DrawAspect="Content" ObjectID="_1613136968" r:id="rId9"/>
              </w:object>
            </w:r>
            <w:r w:rsidRPr="008B21C6">
              <w:rPr>
                <w:noProof/>
                <w:lang w:val="en-GB" w:eastAsia="en-GB"/>
              </w:rPr>
              <w:drawing>
                <wp:inline distT="0" distB="0" distL="0" distR="0" wp14:anchorId="50006C5E" wp14:editId="3B4A3E7F">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15A84C75" w14:textId="77777777" w:rsidR="00142F12" w:rsidRPr="00677FDB" w:rsidRDefault="00142F12" w:rsidP="008E2F15">
            <w:pPr>
              <w:tabs>
                <w:tab w:val="left" w:pos="1247"/>
                <w:tab w:val="left" w:pos="1814"/>
                <w:tab w:val="left" w:pos="2381"/>
                <w:tab w:val="left" w:pos="2948"/>
                <w:tab w:val="left" w:pos="3515"/>
              </w:tabs>
              <w:spacing w:before="1400" w:after="120" w:line="240" w:lineRule="auto"/>
              <w:rPr>
                <w:rFonts w:ascii="Univers" w:hAnsi="Univers"/>
                <w:b/>
                <w:sz w:val="28"/>
                <w:szCs w:val="28"/>
                <w:lang w:val="en-GB"/>
              </w:rPr>
            </w:pPr>
            <w:r w:rsidRPr="00677FDB">
              <w:rPr>
                <w:rFonts w:ascii="Arial" w:eastAsia="Times New Roman" w:hAnsi="Arial" w:cs="Arial"/>
                <w:b/>
                <w:sz w:val="28"/>
                <w:szCs w:val="28"/>
                <w:lang w:val="en-GB"/>
              </w:rPr>
              <w:t xml:space="preserve">United Nations </w:t>
            </w:r>
            <w:r w:rsidRPr="00677FDB">
              <w:rPr>
                <w:rFonts w:ascii="Arial" w:eastAsia="Times New Roman" w:hAnsi="Arial" w:cs="Arial"/>
                <w:b/>
                <w:sz w:val="28"/>
                <w:szCs w:val="28"/>
                <w:lang w:val="en-GB"/>
              </w:rPr>
              <w:br/>
              <w:t xml:space="preserve">Environment Assembly of the </w:t>
            </w:r>
            <w:r w:rsidRPr="00677FDB">
              <w:rPr>
                <w:rFonts w:ascii="Arial" w:eastAsia="Times New Roman" w:hAnsi="Arial" w:cs="Arial"/>
                <w:b/>
                <w:sz w:val="28"/>
                <w:szCs w:val="28"/>
                <w:lang w:val="en-GB"/>
              </w:rPr>
              <w:br/>
              <w:t>United Nations Environment Programme</w:t>
            </w:r>
          </w:p>
        </w:tc>
        <w:tc>
          <w:tcPr>
            <w:tcW w:w="2815" w:type="dxa"/>
            <w:tcBorders>
              <w:top w:val="single" w:sz="4" w:space="0" w:color="auto"/>
              <w:bottom w:val="single" w:sz="24" w:space="0" w:color="auto"/>
            </w:tcBorders>
          </w:tcPr>
          <w:p w14:paraId="7489ED08" w14:textId="77777777" w:rsidR="00142F12" w:rsidRPr="00677FDB" w:rsidRDefault="00142F12" w:rsidP="008E2F15">
            <w:pPr>
              <w:pStyle w:val="Normal-pool"/>
              <w:spacing w:before="120"/>
            </w:pPr>
            <w:r w:rsidRPr="00677FDB">
              <w:t xml:space="preserve">Distr.: General </w:t>
            </w:r>
            <w:r w:rsidRPr="00677FDB">
              <w:br/>
              <w:t>26 February 2019</w:t>
            </w:r>
          </w:p>
          <w:p w14:paraId="6A574583" w14:textId="77777777" w:rsidR="00142F12" w:rsidRPr="00677FDB" w:rsidRDefault="00142F12" w:rsidP="008E2F15">
            <w:pPr>
              <w:pStyle w:val="Normal-pool"/>
              <w:spacing w:before="120"/>
            </w:pPr>
            <w:r w:rsidRPr="00677FDB">
              <w:t>Original: English</w:t>
            </w:r>
          </w:p>
        </w:tc>
      </w:tr>
    </w:tbl>
    <w:p w14:paraId="3442745A" w14:textId="77777777" w:rsidR="00142F12" w:rsidRDefault="00142F12" w:rsidP="00142F12">
      <w:pPr>
        <w:pStyle w:val="AATitle"/>
      </w:pPr>
      <w:r w:rsidRPr="008B21C6">
        <w:t>United Nations Environment Assembly of the</w:t>
      </w:r>
      <w:r w:rsidRPr="008B21C6">
        <w:br/>
        <w:t>United Nations Environment Programme</w:t>
      </w:r>
    </w:p>
    <w:p w14:paraId="74767031" w14:textId="77777777" w:rsidR="00142F12" w:rsidRDefault="00142F12" w:rsidP="00142F12">
      <w:pPr>
        <w:pStyle w:val="AATitle"/>
      </w:pPr>
      <w:r>
        <w:t>Fourth session</w:t>
      </w:r>
    </w:p>
    <w:p w14:paraId="7EBAFD49" w14:textId="77777777" w:rsidR="00142F12" w:rsidRDefault="00142F12" w:rsidP="00142F12">
      <w:pPr>
        <w:pStyle w:val="AATitle"/>
        <w:rPr>
          <w:b w:val="0"/>
        </w:rPr>
      </w:pPr>
      <w:r>
        <w:rPr>
          <w:b w:val="0"/>
        </w:rPr>
        <w:t>Nairobi, 11–15 March 2019</w:t>
      </w:r>
    </w:p>
    <w:p w14:paraId="6693D287" w14:textId="77777777" w:rsidR="00142F12" w:rsidRDefault="00142F12" w:rsidP="00142F12">
      <w:pPr>
        <w:pStyle w:val="Normal-pool"/>
      </w:pPr>
    </w:p>
    <w:p w14:paraId="750F33F4" w14:textId="2A4C5AA4" w:rsidR="00757EF9" w:rsidRPr="008261BD" w:rsidRDefault="00E61B1D" w:rsidP="009C56A7">
      <w:pPr>
        <w:tabs>
          <w:tab w:val="left" w:pos="1247"/>
          <w:tab w:val="left" w:pos="1814"/>
          <w:tab w:val="left" w:pos="2381"/>
          <w:tab w:val="left" w:pos="2948"/>
          <w:tab w:val="left" w:pos="3515"/>
        </w:tabs>
        <w:spacing w:before="360" w:after="120" w:line="240" w:lineRule="auto"/>
        <w:ind w:left="1247"/>
        <w:rPr>
          <w:rFonts w:asciiTheme="majorBidi" w:eastAsia="Times New Roman" w:hAnsiTheme="majorBidi" w:cstheme="majorBidi"/>
          <w:b/>
          <w:bCs/>
          <w:sz w:val="28"/>
          <w:szCs w:val="26"/>
          <w:lang w:val="en-GB"/>
        </w:rPr>
      </w:pPr>
      <w:r w:rsidRPr="008261BD">
        <w:rPr>
          <w:rFonts w:asciiTheme="majorBidi" w:eastAsia="Times New Roman" w:hAnsiTheme="majorBidi" w:cstheme="majorBidi"/>
          <w:b/>
          <w:bCs/>
          <w:sz w:val="28"/>
          <w:szCs w:val="26"/>
          <w:lang w:val="en-GB"/>
        </w:rPr>
        <w:t xml:space="preserve">Information on the work undertaken within the framework of Basel, Rotterdam and Stockholm conventions </w:t>
      </w:r>
      <w:r w:rsidR="00757EF9" w:rsidRPr="008261BD">
        <w:rPr>
          <w:rFonts w:asciiTheme="majorBidi" w:eastAsia="Times New Roman" w:hAnsiTheme="majorBidi" w:cstheme="majorBidi"/>
          <w:b/>
          <w:bCs/>
          <w:sz w:val="28"/>
          <w:szCs w:val="26"/>
          <w:lang w:val="en-GB"/>
        </w:rPr>
        <w:t xml:space="preserve">as it relates to the </w:t>
      </w:r>
      <w:r w:rsidR="00FB5191" w:rsidRPr="008261BD">
        <w:rPr>
          <w:rFonts w:asciiTheme="majorBidi" w:eastAsia="Times New Roman" w:hAnsiTheme="majorBidi" w:cstheme="majorBidi"/>
          <w:b/>
          <w:bCs/>
          <w:sz w:val="28"/>
          <w:szCs w:val="26"/>
          <w:lang w:val="en-GB"/>
        </w:rPr>
        <w:t>fourth</w:t>
      </w:r>
      <w:r w:rsidR="00757EF9" w:rsidRPr="008261BD">
        <w:rPr>
          <w:rFonts w:asciiTheme="majorBidi" w:eastAsia="Times New Roman" w:hAnsiTheme="majorBidi" w:cstheme="majorBidi"/>
          <w:b/>
          <w:bCs/>
          <w:sz w:val="28"/>
          <w:szCs w:val="26"/>
          <w:lang w:val="en-GB"/>
        </w:rPr>
        <w:t xml:space="preserve"> session of the Environment Assembly </w:t>
      </w:r>
    </w:p>
    <w:tbl>
      <w:tblPr>
        <w:tblStyle w:val="TableGrid"/>
        <w:tblW w:w="0" w:type="auto"/>
        <w:tblInd w:w="1384" w:type="dxa"/>
        <w:tblLook w:val="04A0" w:firstRow="1" w:lastRow="0" w:firstColumn="1" w:lastColumn="0" w:noHBand="0" w:noVBand="1"/>
      </w:tblPr>
      <w:tblGrid>
        <w:gridCol w:w="7789"/>
      </w:tblGrid>
      <w:tr w:rsidR="00E61B1D" w:rsidRPr="003D09EA" w14:paraId="4AF3A50B" w14:textId="77777777" w:rsidTr="00DD6CD7">
        <w:trPr>
          <w:trHeight w:val="1117"/>
        </w:trPr>
        <w:tc>
          <w:tcPr>
            <w:tcW w:w="7789" w:type="dxa"/>
          </w:tcPr>
          <w:p w14:paraId="63491405" w14:textId="77777777" w:rsidR="00757EF9" w:rsidRPr="008261BD" w:rsidRDefault="00757EF9" w:rsidP="00757EF9">
            <w:pPr>
              <w:spacing w:after="0" w:line="240" w:lineRule="auto"/>
              <w:rPr>
                <w:rFonts w:asciiTheme="majorBidi" w:hAnsiTheme="majorBidi" w:cstheme="majorBidi"/>
                <w:sz w:val="20"/>
                <w:szCs w:val="20"/>
                <w:lang w:val="en-US"/>
              </w:rPr>
            </w:pPr>
          </w:p>
          <w:p w14:paraId="0591F1BD" w14:textId="081A1D9B" w:rsidR="00E61B1D" w:rsidRPr="008261BD" w:rsidRDefault="00E61B1D" w:rsidP="00436D6A">
            <w:pPr>
              <w:rPr>
                <w:rFonts w:asciiTheme="majorBidi" w:hAnsiTheme="majorBidi" w:cstheme="majorBidi"/>
                <w:sz w:val="20"/>
                <w:szCs w:val="20"/>
                <w:lang w:val="en-US"/>
              </w:rPr>
            </w:pPr>
            <w:r w:rsidRPr="008261BD">
              <w:rPr>
                <w:rFonts w:asciiTheme="majorBidi" w:hAnsiTheme="majorBidi" w:cstheme="majorBidi"/>
                <w:sz w:val="20"/>
                <w:szCs w:val="20"/>
                <w:lang w:val="en-US"/>
              </w:rPr>
              <w:t>The present note</w:t>
            </w:r>
            <w:r w:rsidR="00436D6A" w:rsidRPr="008261BD">
              <w:rPr>
                <w:rFonts w:asciiTheme="majorBidi" w:hAnsiTheme="majorBidi" w:cstheme="majorBidi"/>
                <w:sz w:val="20"/>
                <w:szCs w:val="20"/>
                <w:lang w:val="en-US"/>
              </w:rPr>
              <w:t xml:space="preserve"> </w:t>
            </w:r>
            <w:r w:rsidRPr="008261BD">
              <w:rPr>
                <w:rFonts w:asciiTheme="majorBidi" w:hAnsiTheme="majorBidi" w:cstheme="majorBidi"/>
                <w:sz w:val="20"/>
                <w:szCs w:val="20"/>
                <w:lang w:val="en-US"/>
              </w:rPr>
              <w:t xml:space="preserve">sets out </w:t>
            </w:r>
            <w:r w:rsidR="00436D6A" w:rsidRPr="008261BD">
              <w:rPr>
                <w:rFonts w:asciiTheme="majorBidi" w:hAnsiTheme="majorBidi" w:cstheme="majorBidi"/>
                <w:sz w:val="20"/>
                <w:szCs w:val="20"/>
                <w:lang w:val="en-US"/>
              </w:rPr>
              <w:t xml:space="preserve">information on </w:t>
            </w:r>
            <w:r w:rsidRPr="008261BD">
              <w:rPr>
                <w:rFonts w:asciiTheme="majorBidi" w:eastAsia="Times New Roman" w:hAnsiTheme="majorBidi" w:cstheme="majorBidi"/>
                <w:sz w:val="20"/>
                <w:szCs w:val="20"/>
                <w:lang w:val="en-GB"/>
              </w:rPr>
              <w:t xml:space="preserve">the mandates and activities undertaken within the framework of Basel </w:t>
            </w:r>
            <w:r w:rsidRPr="008261BD">
              <w:rPr>
                <w:rFonts w:asciiTheme="majorBidi" w:hAnsiTheme="majorBidi" w:cstheme="majorBidi"/>
                <w:sz w:val="20"/>
                <w:szCs w:val="20"/>
                <w:lang w:val="en-US"/>
              </w:rPr>
              <w:t xml:space="preserve">Convention on the Control of Transboundary Movements of Hazardous Wastes and their Disposal, the Rotterdam Convention on the Prior Informed Consent Procedure for Certain Hazardous Chemicals and Pesticides in International Trade and the Stockholm Convention on Persistent Organic Pollutants as they relate to items on the provisional agenda of the </w:t>
            </w:r>
            <w:r w:rsidR="00FB5191" w:rsidRPr="008261BD">
              <w:rPr>
                <w:rFonts w:asciiTheme="majorBidi" w:hAnsiTheme="majorBidi" w:cstheme="majorBidi"/>
                <w:sz w:val="20"/>
                <w:szCs w:val="20"/>
                <w:lang w:val="en-US"/>
              </w:rPr>
              <w:t>fourth</w:t>
            </w:r>
            <w:r w:rsidRPr="008261BD">
              <w:rPr>
                <w:rFonts w:asciiTheme="majorBidi" w:hAnsiTheme="majorBidi" w:cstheme="majorBidi"/>
                <w:sz w:val="20"/>
                <w:szCs w:val="20"/>
                <w:lang w:val="en-US"/>
              </w:rPr>
              <w:t xml:space="preserve"> session of the United Nations Environment Assembly of the United Nations Environment Programme. </w:t>
            </w:r>
            <w:r w:rsidR="00436D6A" w:rsidRPr="008261BD">
              <w:rPr>
                <w:rFonts w:asciiTheme="majorBidi" w:hAnsiTheme="majorBidi" w:cstheme="majorBidi"/>
                <w:sz w:val="20"/>
                <w:lang w:val="en-GB"/>
              </w:rPr>
              <w:t xml:space="preserve">The information has been submitted by </w:t>
            </w:r>
            <w:r w:rsidR="00436D6A" w:rsidRPr="008261BD">
              <w:rPr>
                <w:rFonts w:asciiTheme="majorBidi" w:hAnsiTheme="majorBidi" w:cstheme="majorBidi"/>
                <w:sz w:val="20"/>
                <w:szCs w:val="20"/>
                <w:lang w:val="en-US"/>
              </w:rPr>
              <w:t xml:space="preserve">the Secretariat of the Basel, Rotterdam and Stockholm Conventions. The present note, </w:t>
            </w:r>
            <w:r w:rsidR="00436D6A" w:rsidRPr="008261BD">
              <w:rPr>
                <w:rFonts w:asciiTheme="majorBidi" w:hAnsiTheme="majorBidi" w:cstheme="majorBidi"/>
                <w:sz w:val="20"/>
                <w:lang w:val="en-GB"/>
              </w:rPr>
              <w:t xml:space="preserve">including its annex, has not been formally edited. </w:t>
            </w:r>
          </w:p>
        </w:tc>
      </w:tr>
    </w:tbl>
    <w:p w14:paraId="000F787B" w14:textId="77777777" w:rsidR="00346CE5" w:rsidRPr="008261BD" w:rsidRDefault="00346CE5" w:rsidP="009C56A7">
      <w:pPr>
        <w:tabs>
          <w:tab w:val="left" w:pos="1247"/>
          <w:tab w:val="left" w:pos="1814"/>
          <w:tab w:val="left" w:pos="2381"/>
          <w:tab w:val="left" w:pos="2948"/>
          <w:tab w:val="left" w:pos="3515"/>
        </w:tabs>
        <w:spacing w:before="360" w:after="120" w:line="240" w:lineRule="auto"/>
        <w:ind w:left="1247"/>
        <w:rPr>
          <w:rFonts w:asciiTheme="majorBidi" w:eastAsia="Times New Roman" w:hAnsiTheme="majorBidi" w:cstheme="majorBidi"/>
          <w:b/>
          <w:bCs/>
          <w:sz w:val="28"/>
          <w:szCs w:val="26"/>
          <w:lang w:val="en-US"/>
        </w:rPr>
      </w:pPr>
    </w:p>
    <w:p w14:paraId="6C8DC638" w14:textId="77777777" w:rsidR="00346CE5" w:rsidRPr="008261BD" w:rsidRDefault="00346CE5" w:rsidP="009C56A7">
      <w:pPr>
        <w:tabs>
          <w:tab w:val="left" w:pos="1247"/>
          <w:tab w:val="left" w:pos="1814"/>
          <w:tab w:val="left" w:pos="2381"/>
          <w:tab w:val="left" w:pos="2948"/>
          <w:tab w:val="left" w:pos="3515"/>
        </w:tabs>
        <w:spacing w:before="360" w:after="120" w:line="240" w:lineRule="auto"/>
        <w:ind w:left="1247"/>
        <w:rPr>
          <w:rFonts w:asciiTheme="majorBidi" w:eastAsia="Times New Roman" w:hAnsiTheme="majorBidi" w:cstheme="majorBidi"/>
          <w:b/>
          <w:bCs/>
          <w:sz w:val="28"/>
          <w:szCs w:val="26"/>
          <w:lang w:val="en-GB"/>
        </w:rPr>
      </w:pPr>
    </w:p>
    <w:p w14:paraId="15FA53C0" w14:textId="77777777" w:rsidR="00346CE5" w:rsidRPr="008261BD" w:rsidRDefault="00346CE5" w:rsidP="009C56A7">
      <w:pPr>
        <w:tabs>
          <w:tab w:val="left" w:pos="1247"/>
          <w:tab w:val="left" w:pos="1814"/>
          <w:tab w:val="left" w:pos="2381"/>
          <w:tab w:val="left" w:pos="2948"/>
          <w:tab w:val="left" w:pos="3515"/>
        </w:tabs>
        <w:spacing w:before="360" w:after="120" w:line="240" w:lineRule="auto"/>
        <w:ind w:left="1247"/>
        <w:rPr>
          <w:rFonts w:asciiTheme="majorBidi" w:eastAsia="Times New Roman" w:hAnsiTheme="majorBidi" w:cstheme="majorBidi"/>
          <w:b/>
          <w:bCs/>
          <w:sz w:val="28"/>
          <w:szCs w:val="26"/>
          <w:lang w:val="en-GB"/>
        </w:rPr>
      </w:pPr>
    </w:p>
    <w:p w14:paraId="3F6BA22D" w14:textId="77777777" w:rsidR="00346CE5" w:rsidRPr="008261BD" w:rsidRDefault="00346CE5" w:rsidP="009C56A7">
      <w:pPr>
        <w:tabs>
          <w:tab w:val="left" w:pos="1247"/>
          <w:tab w:val="left" w:pos="1814"/>
          <w:tab w:val="left" w:pos="2381"/>
          <w:tab w:val="left" w:pos="2948"/>
          <w:tab w:val="left" w:pos="3515"/>
        </w:tabs>
        <w:spacing w:before="360" w:after="120" w:line="240" w:lineRule="auto"/>
        <w:ind w:left="1247"/>
        <w:rPr>
          <w:rFonts w:asciiTheme="majorBidi" w:eastAsia="Times New Roman" w:hAnsiTheme="majorBidi" w:cstheme="majorBidi"/>
          <w:b/>
          <w:bCs/>
          <w:sz w:val="28"/>
          <w:szCs w:val="26"/>
          <w:lang w:val="en-GB"/>
        </w:rPr>
      </w:pPr>
    </w:p>
    <w:p w14:paraId="1F395F62" w14:textId="77777777" w:rsidR="00346CE5" w:rsidRPr="008261BD" w:rsidRDefault="00346CE5" w:rsidP="009C56A7">
      <w:pPr>
        <w:tabs>
          <w:tab w:val="left" w:pos="1247"/>
          <w:tab w:val="left" w:pos="1814"/>
          <w:tab w:val="left" w:pos="2381"/>
          <w:tab w:val="left" w:pos="2948"/>
          <w:tab w:val="left" w:pos="3515"/>
        </w:tabs>
        <w:spacing w:before="360" w:after="120" w:line="240" w:lineRule="auto"/>
        <w:ind w:left="1247"/>
        <w:rPr>
          <w:rFonts w:asciiTheme="majorBidi" w:eastAsia="Times New Roman" w:hAnsiTheme="majorBidi" w:cstheme="majorBidi"/>
          <w:b/>
          <w:bCs/>
          <w:sz w:val="28"/>
          <w:szCs w:val="26"/>
          <w:lang w:val="en-GB"/>
        </w:rPr>
      </w:pPr>
    </w:p>
    <w:p w14:paraId="770CED91" w14:textId="77777777" w:rsidR="00346CE5" w:rsidRPr="008261BD" w:rsidRDefault="00346CE5" w:rsidP="009C56A7">
      <w:pPr>
        <w:tabs>
          <w:tab w:val="left" w:pos="1247"/>
          <w:tab w:val="left" w:pos="1814"/>
          <w:tab w:val="left" w:pos="2381"/>
          <w:tab w:val="left" w:pos="2948"/>
          <w:tab w:val="left" w:pos="3515"/>
        </w:tabs>
        <w:spacing w:before="360" w:after="120" w:line="240" w:lineRule="auto"/>
        <w:ind w:left="1247"/>
        <w:rPr>
          <w:rFonts w:asciiTheme="majorBidi" w:eastAsia="Times New Roman" w:hAnsiTheme="majorBidi" w:cstheme="majorBidi"/>
          <w:b/>
          <w:bCs/>
          <w:sz w:val="28"/>
          <w:szCs w:val="26"/>
          <w:lang w:val="en-GB"/>
        </w:rPr>
      </w:pPr>
    </w:p>
    <w:p w14:paraId="4602D201" w14:textId="77777777" w:rsidR="00346CE5" w:rsidRPr="008261BD" w:rsidRDefault="00346CE5" w:rsidP="009C56A7">
      <w:pPr>
        <w:tabs>
          <w:tab w:val="left" w:pos="1247"/>
          <w:tab w:val="left" w:pos="1814"/>
          <w:tab w:val="left" w:pos="2381"/>
          <w:tab w:val="left" w:pos="2948"/>
          <w:tab w:val="left" w:pos="3515"/>
        </w:tabs>
        <w:spacing w:before="360" w:after="120" w:line="240" w:lineRule="auto"/>
        <w:ind w:left="1247"/>
        <w:rPr>
          <w:rFonts w:asciiTheme="majorBidi" w:eastAsia="Times New Roman" w:hAnsiTheme="majorBidi" w:cstheme="majorBidi"/>
          <w:b/>
          <w:bCs/>
          <w:sz w:val="28"/>
          <w:szCs w:val="26"/>
          <w:lang w:val="en-GB"/>
        </w:rPr>
      </w:pPr>
    </w:p>
    <w:p w14:paraId="4083EB93" w14:textId="047735BD" w:rsidR="008261BD" w:rsidRDefault="008261BD" w:rsidP="00AB1B77">
      <w:pPr>
        <w:tabs>
          <w:tab w:val="left" w:pos="1247"/>
          <w:tab w:val="left" w:pos="1814"/>
          <w:tab w:val="left" w:pos="2381"/>
          <w:tab w:val="left" w:pos="2948"/>
          <w:tab w:val="left" w:pos="3515"/>
        </w:tabs>
        <w:spacing w:before="360" w:after="120" w:line="240" w:lineRule="auto"/>
        <w:rPr>
          <w:rFonts w:asciiTheme="majorBidi" w:eastAsia="Times New Roman" w:hAnsiTheme="majorBidi" w:cstheme="majorBidi"/>
          <w:b/>
          <w:bCs/>
          <w:sz w:val="28"/>
          <w:szCs w:val="26"/>
          <w:lang w:val="en-GB"/>
        </w:rPr>
      </w:pPr>
    </w:p>
    <w:p w14:paraId="4E24B58F" w14:textId="1DC8114E" w:rsidR="009C56A7" w:rsidRPr="00CF44DC" w:rsidRDefault="009C56A7" w:rsidP="00CF44DC">
      <w:pPr>
        <w:tabs>
          <w:tab w:val="left" w:pos="1247"/>
          <w:tab w:val="left" w:pos="1814"/>
          <w:tab w:val="left" w:pos="2381"/>
          <w:tab w:val="left" w:pos="2948"/>
          <w:tab w:val="left" w:pos="3515"/>
        </w:tabs>
        <w:spacing w:before="360" w:after="240" w:line="240" w:lineRule="auto"/>
        <w:ind w:left="1247"/>
        <w:rPr>
          <w:rFonts w:asciiTheme="majorBidi" w:eastAsia="Times New Roman" w:hAnsiTheme="majorBidi" w:cstheme="majorBidi"/>
          <w:b/>
          <w:bCs/>
          <w:sz w:val="28"/>
          <w:szCs w:val="26"/>
          <w:lang w:val="en-GB"/>
        </w:rPr>
      </w:pPr>
      <w:r w:rsidRPr="008261BD">
        <w:rPr>
          <w:rFonts w:asciiTheme="majorBidi" w:eastAsia="Times New Roman" w:hAnsiTheme="majorBidi" w:cstheme="majorBidi"/>
          <w:b/>
          <w:bCs/>
          <w:sz w:val="28"/>
          <w:szCs w:val="26"/>
          <w:lang w:val="en-GB"/>
        </w:rPr>
        <w:t xml:space="preserve">Information </w:t>
      </w:r>
      <w:r w:rsidR="00436D6A" w:rsidRPr="008261BD">
        <w:rPr>
          <w:rFonts w:asciiTheme="majorBidi" w:eastAsia="Times New Roman" w:hAnsiTheme="majorBidi" w:cstheme="majorBidi"/>
          <w:b/>
          <w:bCs/>
          <w:sz w:val="28"/>
          <w:szCs w:val="26"/>
          <w:lang w:val="en-GB"/>
        </w:rPr>
        <w:t xml:space="preserve">on the work undertaken within the framework of </w:t>
      </w:r>
      <w:r w:rsidR="008E23D7">
        <w:rPr>
          <w:rFonts w:asciiTheme="majorBidi" w:eastAsia="Times New Roman" w:hAnsiTheme="majorBidi" w:cstheme="majorBidi"/>
          <w:b/>
          <w:bCs/>
          <w:sz w:val="28"/>
          <w:szCs w:val="26"/>
          <w:lang w:val="en-GB"/>
        </w:rPr>
        <w:t xml:space="preserve">the </w:t>
      </w:r>
      <w:r w:rsidR="00436D6A" w:rsidRPr="008261BD">
        <w:rPr>
          <w:rFonts w:asciiTheme="majorBidi" w:eastAsia="Times New Roman" w:hAnsiTheme="majorBidi" w:cstheme="majorBidi"/>
          <w:b/>
          <w:bCs/>
          <w:sz w:val="28"/>
          <w:szCs w:val="26"/>
          <w:lang w:val="en-GB"/>
        </w:rPr>
        <w:t xml:space="preserve">Basel, Rotterdam and Stockholm conventions </w:t>
      </w:r>
      <w:r w:rsidR="00757EF9" w:rsidRPr="008261BD">
        <w:rPr>
          <w:rFonts w:asciiTheme="majorBidi" w:eastAsia="Times New Roman" w:hAnsiTheme="majorBidi" w:cstheme="majorBidi"/>
          <w:b/>
          <w:bCs/>
          <w:sz w:val="28"/>
          <w:szCs w:val="26"/>
          <w:lang w:val="en-GB"/>
        </w:rPr>
        <w:t xml:space="preserve">as it relates </w:t>
      </w:r>
      <w:r w:rsidR="006E2DC8" w:rsidRPr="008261BD">
        <w:rPr>
          <w:rFonts w:asciiTheme="majorBidi" w:eastAsia="Times New Roman" w:hAnsiTheme="majorBidi" w:cstheme="majorBidi"/>
          <w:b/>
          <w:bCs/>
          <w:sz w:val="28"/>
          <w:szCs w:val="26"/>
          <w:lang w:val="en-GB"/>
        </w:rPr>
        <w:t xml:space="preserve">to the </w:t>
      </w:r>
      <w:r w:rsidR="00FB5191" w:rsidRPr="008261BD">
        <w:rPr>
          <w:rFonts w:asciiTheme="majorBidi" w:eastAsia="Times New Roman" w:hAnsiTheme="majorBidi" w:cstheme="majorBidi"/>
          <w:b/>
          <w:bCs/>
          <w:sz w:val="28"/>
          <w:szCs w:val="26"/>
          <w:lang w:val="en-GB"/>
        </w:rPr>
        <w:t>fourth</w:t>
      </w:r>
      <w:r w:rsidR="006E2DC8" w:rsidRPr="008261BD">
        <w:rPr>
          <w:rFonts w:asciiTheme="majorBidi" w:eastAsia="Times New Roman" w:hAnsiTheme="majorBidi" w:cstheme="majorBidi"/>
          <w:b/>
          <w:bCs/>
          <w:sz w:val="28"/>
          <w:szCs w:val="26"/>
          <w:lang w:val="en-GB"/>
        </w:rPr>
        <w:t xml:space="preserve"> session of the Environment Assembly</w:t>
      </w:r>
    </w:p>
    <w:p w14:paraId="715606C3" w14:textId="77777777" w:rsidR="005E689E" w:rsidRPr="008261BD" w:rsidRDefault="009C56A7" w:rsidP="00D63870">
      <w:pPr>
        <w:pStyle w:val="ListParagraph"/>
        <w:numPr>
          <w:ilvl w:val="0"/>
          <w:numId w:val="5"/>
        </w:numPr>
        <w:tabs>
          <w:tab w:val="left" w:pos="1276"/>
          <w:tab w:val="left" w:pos="1843"/>
          <w:tab w:val="left" w:pos="2381"/>
          <w:tab w:val="left" w:pos="2948"/>
          <w:tab w:val="left" w:pos="3515"/>
        </w:tabs>
        <w:spacing w:after="120" w:line="240" w:lineRule="auto"/>
        <w:ind w:left="1843" w:hanging="1276"/>
        <w:contextualSpacing w:val="0"/>
        <w:rPr>
          <w:rFonts w:asciiTheme="majorBidi" w:eastAsia="Times New Roman" w:hAnsiTheme="majorBidi" w:cstheme="majorBidi"/>
          <w:sz w:val="24"/>
          <w:szCs w:val="24"/>
          <w:lang w:val="en-GB"/>
        </w:rPr>
      </w:pPr>
      <w:r w:rsidRPr="008261BD">
        <w:rPr>
          <w:rFonts w:asciiTheme="majorBidi" w:eastAsia="Times New Roman" w:hAnsiTheme="majorBidi" w:cstheme="majorBidi"/>
          <w:b/>
          <w:snapToGrid w:val="0"/>
          <w:color w:val="000000"/>
          <w:sz w:val="24"/>
          <w:szCs w:val="24"/>
          <w:lang w:val="en-US"/>
        </w:rPr>
        <w:t xml:space="preserve">Introduction </w:t>
      </w:r>
    </w:p>
    <w:p w14:paraId="0C4E628D" w14:textId="1F4C8EA4" w:rsidR="007C7465" w:rsidRPr="008261BD" w:rsidRDefault="002A6A49" w:rsidP="00A14C52">
      <w:pPr>
        <w:numPr>
          <w:ilvl w:val="0"/>
          <w:numId w:val="1"/>
        </w:numPr>
        <w:tabs>
          <w:tab w:val="left" w:pos="1276"/>
          <w:tab w:val="left" w:pos="1814"/>
          <w:tab w:val="left" w:pos="2381"/>
          <w:tab w:val="left" w:pos="2948"/>
          <w:tab w:val="left" w:pos="3515"/>
        </w:tabs>
        <w:spacing w:after="120" w:line="240" w:lineRule="auto"/>
        <w:ind w:left="1276" w:firstLine="0"/>
        <w:rPr>
          <w:rFonts w:asciiTheme="majorBidi" w:hAnsiTheme="majorBidi" w:cstheme="majorBidi"/>
          <w:sz w:val="20"/>
          <w:szCs w:val="20"/>
          <w:lang w:val="en-US"/>
        </w:rPr>
      </w:pPr>
      <w:r w:rsidRPr="008261BD">
        <w:rPr>
          <w:rFonts w:asciiTheme="majorBidi" w:hAnsiTheme="majorBidi" w:cstheme="majorBidi"/>
          <w:sz w:val="20"/>
          <w:szCs w:val="20"/>
          <w:lang w:val="en-US"/>
        </w:rPr>
        <w:t xml:space="preserve">From 29 April to 10 May 2019, the conferences of the Parties to the </w:t>
      </w:r>
      <w:r w:rsidRPr="008261BD">
        <w:rPr>
          <w:rFonts w:asciiTheme="majorBidi" w:eastAsia="Times New Roman" w:hAnsiTheme="majorBidi" w:cstheme="majorBidi"/>
          <w:sz w:val="20"/>
          <w:szCs w:val="20"/>
          <w:lang w:val="en-GB"/>
        </w:rPr>
        <w:t xml:space="preserve">Basel </w:t>
      </w:r>
      <w:r w:rsidRPr="008261BD">
        <w:rPr>
          <w:rFonts w:asciiTheme="majorBidi" w:hAnsiTheme="majorBidi" w:cstheme="majorBidi"/>
          <w:sz w:val="20"/>
          <w:szCs w:val="20"/>
          <w:lang w:val="en-US"/>
        </w:rPr>
        <w:t>Convention on the Control of Transboundary Movements of Hazardous Wastes and their Disposal, the Rotterdam Convention on the Prior Informed Consent Procedure for Certain Hazardous Chemicals and Pesticides in International Trade and the Stockholm Convention on Persistent Organic Pollutants will meet back-to-back in Geneva for the fourth time. The present document provides an overview on developments under the conventions of relevance to the implementation of:</w:t>
      </w:r>
      <w:r w:rsidR="007C7465" w:rsidRPr="008261BD">
        <w:rPr>
          <w:rFonts w:asciiTheme="majorBidi" w:hAnsiTheme="majorBidi" w:cstheme="majorBidi"/>
          <w:sz w:val="20"/>
          <w:szCs w:val="20"/>
          <w:lang w:val="en-US"/>
        </w:rPr>
        <w:t xml:space="preserve"> </w:t>
      </w:r>
    </w:p>
    <w:p w14:paraId="36276A81" w14:textId="77777777" w:rsidR="001A5BB3" w:rsidRPr="008261BD" w:rsidRDefault="002A6A49" w:rsidP="00D63870">
      <w:pPr>
        <w:numPr>
          <w:ilvl w:val="0"/>
          <w:numId w:val="4"/>
        </w:numPr>
        <w:tabs>
          <w:tab w:val="left" w:pos="1276"/>
          <w:tab w:val="left" w:pos="2381"/>
          <w:tab w:val="left" w:pos="2948"/>
          <w:tab w:val="left" w:pos="3515"/>
        </w:tabs>
        <w:spacing w:after="120" w:line="240" w:lineRule="auto"/>
        <w:ind w:left="1282" w:firstLine="562"/>
        <w:rPr>
          <w:rFonts w:asciiTheme="majorBidi" w:hAnsiTheme="majorBidi" w:cstheme="majorBidi"/>
          <w:b/>
          <w:sz w:val="20"/>
          <w:szCs w:val="20"/>
          <w:lang w:val="en-US"/>
        </w:rPr>
      </w:pPr>
      <w:r w:rsidRPr="008261BD">
        <w:rPr>
          <w:rFonts w:asciiTheme="majorBidi" w:hAnsiTheme="majorBidi" w:cstheme="majorBidi"/>
          <w:sz w:val="20"/>
          <w:szCs w:val="20"/>
          <w:lang w:val="en-GB"/>
        </w:rPr>
        <w:t>Resolution 3/4 on environment and health;</w:t>
      </w:r>
      <w:r w:rsidR="00CE07F0" w:rsidRPr="008261BD">
        <w:rPr>
          <w:rFonts w:asciiTheme="majorBidi" w:hAnsiTheme="majorBidi" w:cstheme="majorBidi"/>
          <w:sz w:val="20"/>
          <w:szCs w:val="20"/>
          <w:lang w:val="en-US"/>
        </w:rPr>
        <w:t xml:space="preserve">  </w:t>
      </w:r>
    </w:p>
    <w:p w14:paraId="212DA1F2" w14:textId="77777777" w:rsidR="001A5BB3" w:rsidRPr="008261BD" w:rsidRDefault="002A6A49" w:rsidP="00D63870">
      <w:pPr>
        <w:numPr>
          <w:ilvl w:val="0"/>
          <w:numId w:val="4"/>
        </w:numPr>
        <w:tabs>
          <w:tab w:val="left" w:pos="1276"/>
          <w:tab w:val="left" w:pos="2381"/>
          <w:tab w:val="left" w:pos="2948"/>
          <w:tab w:val="left" w:pos="3515"/>
        </w:tabs>
        <w:spacing w:after="120" w:line="240" w:lineRule="auto"/>
        <w:ind w:left="1276" w:firstLine="567"/>
        <w:rPr>
          <w:rFonts w:asciiTheme="majorBidi" w:hAnsiTheme="majorBidi" w:cstheme="majorBidi"/>
          <w:b/>
          <w:sz w:val="20"/>
          <w:szCs w:val="20"/>
          <w:lang w:val="en-US"/>
        </w:rPr>
      </w:pPr>
      <w:r w:rsidRPr="008261BD">
        <w:rPr>
          <w:rFonts w:asciiTheme="majorBidi" w:hAnsiTheme="majorBidi" w:cstheme="majorBidi"/>
          <w:sz w:val="20"/>
          <w:szCs w:val="20"/>
          <w:lang w:val="en-US"/>
        </w:rPr>
        <w:t>Resolution 3/6 on managing soil pollution to achieve sustainable development;</w:t>
      </w:r>
      <w:r w:rsidR="00CE07F0" w:rsidRPr="008261BD">
        <w:rPr>
          <w:rFonts w:asciiTheme="majorBidi" w:hAnsiTheme="majorBidi" w:cstheme="majorBidi"/>
          <w:sz w:val="20"/>
          <w:szCs w:val="20"/>
          <w:lang w:val="en-US"/>
        </w:rPr>
        <w:t xml:space="preserve"> </w:t>
      </w:r>
    </w:p>
    <w:p w14:paraId="6EAA748A" w14:textId="792BA95F" w:rsidR="001A5BB3" w:rsidRPr="008261BD" w:rsidRDefault="002A6A49" w:rsidP="00D63870">
      <w:pPr>
        <w:numPr>
          <w:ilvl w:val="0"/>
          <w:numId w:val="4"/>
        </w:numPr>
        <w:tabs>
          <w:tab w:val="left" w:pos="1276"/>
          <w:tab w:val="left" w:pos="2381"/>
          <w:tab w:val="left" w:pos="2948"/>
          <w:tab w:val="left" w:pos="3515"/>
        </w:tabs>
        <w:spacing w:after="120" w:line="240" w:lineRule="auto"/>
        <w:ind w:left="1276" w:firstLine="567"/>
        <w:rPr>
          <w:rFonts w:asciiTheme="majorBidi" w:hAnsiTheme="majorBidi" w:cstheme="majorBidi"/>
          <w:sz w:val="20"/>
          <w:szCs w:val="20"/>
          <w:lang w:val="en-US"/>
        </w:rPr>
      </w:pPr>
      <w:r w:rsidRPr="008261BD">
        <w:rPr>
          <w:rFonts w:asciiTheme="majorBidi" w:hAnsiTheme="majorBidi" w:cstheme="majorBidi"/>
          <w:sz w:val="20"/>
          <w:szCs w:val="20"/>
          <w:lang w:val="en-US"/>
        </w:rPr>
        <w:t>Resolution 3/7 on marine litter and microplastics;</w:t>
      </w:r>
      <w:r w:rsidR="00E44EB4" w:rsidRPr="008261BD">
        <w:rPr>
          <w:rFonts w:asciiTheme="majorBidi" w:hAnsiTheme="majorBidi" w:cstheme="majorBidi"/>
          <w:sz w:val="20"/>
          <w:szCs w:val="20"/>
          <w:lang w:val="en-US"/>
        </w:rPr>
        <w:t xml:space="preserve"> </w:t>
      </w:r>
    </w:p>
    <w:p w14:paraId="1C45B1BE" w14:textId="77777777" w:rsidR="009348B8" w:rsidRPr="008261BD" w:rsidRDefault="002A6A49" w:rsidP="00D63870">
      <w:pPr>
        <w:numPr>
          <w:ilvl w:val="0"/>
          <w:numId w:val="4"/>
        </w:numPr>
        <w:tabs>
          <w:tab w:val="left" w:pos="1276"/>
          <w:tab w:val="left" w:pos="2381"/>
          <w:tab w:val="left" w:pos="2948"/>
          <w:tab w:val="left" w:pos="3515"/>
        </w:tabs>
        <w:spacing w:after="120" w:line="240" w:lineRule="auto"/>
        <w:ind w:left="1276" w:firstLine="567"/>
        <w:rPr>
          <w:rFonts w:asciiTheme="majorBidi" w:hAnsiTheme="majorBidi" w:cstheme="majorBidi"/>
          <w:sz w:val="20"/>
          <w:szCs w:val="20"/>
          <w:lang w:val="en-US"/>
        </w:rPr>
      </w:pPr>
      <w:r w:rsidRPr="008261BD">
        <w:rPr>
          <w:rFonts w:asciiTheme="majorBidi" w:hAnsiTheme="majorBidi" w:cstheme="majorBidi"/>
          <w:sz w:val="20"/>
          <w:szCs w:val="20"/>
          <w:lang w:val="en-US"/>
        </w:rPr>
        <w:t>Resolution 3/9 on eliminating exposure to lead paint and promoting environmentally sound management of waste lead-acid batteries.</w:t>
      </w:r>
      <w:r w:rsidR="009348B8" w:rsidRPr="008261BD">
        <w:rPr>
          <w:rFonts w:asciiTheme="majorBidi" w:hAnsiTheme="majorBidi" w:cstheme="majorBidi"/>
          <w:sz w:val="20"/>
          <w:szCs w:val="20"/>
          <w:lang w:val="en-US"/>
        </w:rPr>
        <w:t xml:space="preserve"> </w:t>
      </w:r>
    </w:p>
    <w:p w14:paraId="38C0972C" w14:textId="5708F0FC" w:rsidR="003821E5" w:rsidRPr="008261BD" w:rsidRDefault="003821E5" w:rsidP="00D63870">
      <w:pPr>
        <w:pStyle w:val="ListParagraph"/>
        <w:numPr>
          <w:ilvl w:val="0"/>
          <w:numId w:val="5"/>
        </w:numPr>
        <w:tabs>
          <w:tab w:val="left" w:pos="1276"/>
          <w:tab w:val="left" w:pos="1843"/>
          <w:tab w:val="left" w:pos="2381"/>
          <w:tab w:val="left" w:pos="2948"/>
          <w:tab w:val="left" w:pos="3515"/>
        </w:tabs>
        <w:spacing w:after="120" w:line="240" w:lineRule="auto"/>
        <w:ind w:left="1843" w:hanging="1276"/>
        <w:contextualSpacing w:val="0"/>
        <w:rPr>
          <w:rFonts w:asciiTheme="majorBidi" w:eastAsia="Times New Roman" w:hAnsiTheme="majorBidi" w:cstheme="majorBidi"/>
          <w:b/>
          <w:snapToGrid w:val="0"/>
          <w:color w:val="000000"/>
          <w:sz w:val="24"/>
          <w:szCs w:val="24"/>
          <w:lang w:val="en-US"/>
        </w:rPr>
      </w:pPr>
      <w:r w:rsidRPr="008261BD">
        <w:rPr>
          <w:rFonts w:asciiTheme="majorBidi" w:eastAsia="Times New Roman" w:hAnsiTheme="majorBidi" w:cstheme="majorBidi"/>
          <w:b/>
          <w:snapToGrid w:val="0"/>
          <w:color w:val="000000"/>
          <w:sz w:val="24"/>
          <w:szCs w:val="24"/>
          <w:lang w:val="en-US"/>
        </w:rPr>
        <w:t xml:space="preserve">Overall mandates </w:t>
      </w:r>
      <w:r w:rsidR="00A85618" w:rsidRPr="008261BD">
        <w:rPr>
          <w:rFonts w:asciiTheme="majorBidi" w:eastAsia="Times New Roman" w:hAnsiTheme="majorBidi" w:cstheme="majorBidi"/>
          <w:b/>
          <w:snapToGrid w:val="0"/>
          <w:color w:val="000000"/>
          <w:sz w:val="24"/>
          <w:szCs w:val="24"/>
          <w:lang w:val="en-US"/>
        </w:rPr>
        <w:t>for programmatic cooperation with UN</w:t>
      </w:r>
      <w:r w:rsidR="00C80BC3">
        <w:rPr>
          <w:rFonts w:asciiTheme="majorBidi" w:eastAsia="Times New Roman" w:hAnsiTheme="majorBidi" w:cstheme="majorBidi"/>
          <w:b/>
          <w:snapToGrid w:val="0"/>
          <w:color w:val="000000"/>
          <w:sz w:val="24"/>
          <w:szCs w:val="24"/>
          <w:lang w:val="en-US"/>
        </w:rPr>
        <w:t>EP</w:t>
      </w:r>
    </w:p>
    <w:p w14:paraId="43C39F4E" w14:textId="471A7253" w:rsidR="00CE1F2F" w:rsidRPr="008E23D7" w:rsidRDefault="00887706" w:rsidP="002A6A49">
      <w:pPr>
        <w:numPr>
          <w:ilvl w:val="0"/>
          <w:numId w:val="1"/>
        </w:numPr>
        <w:tabs>
          <w:tab w:val="left" w:pos="1276"/>
          <w:tab w:val="left" w:pos="1814"/>
          <w:tab w:val="left" w:pos="2381"/>
          <w:tab w:val="left" w:pos="2948"/>
          <w:tab w:val="left" w:pos="3515"/>
        </w:tabs>
        <w:spacing w:after="120" w:line="240" w:lineRule="auto"/>
        <w:ind w:left="1276" w:firstLine="0"/>
        <w:rPr>
          <w:rFonts w:asciiTheme="majorBidi" w:hAnsiTheme="majorBidi" w:cstheme="majorBidi"/>
          <w:b/>
          <w:bCs/>
          <w:snapToGrid w:val="0"/>
          <w:color w:val="000000"/>
          <w:sz w:val="24"/>
          <w:szCs w:val="24"/>
          <w:lang w:val="en-US"/>
        </w:rPr>
      </w:pPr>
      <w:r w:rsidRPr="008E23D7">
        <w:rPr>
          <w:rFonts w:asciiTheme="majorBidi" w:hAnsiTheme="majorBidi" w:cstheme="majorBidi"/>
          <w:snapToGrid w:val="0"/>
          <w:color w:val="000000"/>
          <w:sz w:val="20"/>
          <w:szCs w:val="20"/>
          <w:lang w:val="en-US"/>
        </w:rPr>
        <w:t xml:space="preserve">The Secretariat of the Basel, Rotterdam and Stockholm has a general mandate for programmatic cooperation with </w:t>
      </w:r>
      <w:r w:rsidR="00C80BC3" w:rsidRPr="008E23D7">
        <w:rPr>
          <w:rFonts w:asciiTheme="majorBidi" w:hAnsiTheme="majorBidi" w:cstheme="majorBidi"/>
          <w:snapToGrid w:val="0"/>
          <w:color w:val="000000"/>
          <w:sz w:val="20"/>
          <w:szCs w:val="20"/>
          <w:lang w:val="en-US"/>
        </w:rPr>
        <w:t>the United Nations Environment Programme</w:t>
      </w:r>
      <w:r w:rsidRPr="008E23D7">
        <w:rPr>
          <w:rFonts w:asciiTheme="majorBidi" w:hAnsiTheme="majorBidi" w:cstheme="majorBidi"/>
          <w:snapToGrid w:val="0"/>
          <w:color w:val="000000"/>
          <w:sz w:val="20"/>
          <w:szCs w:val="20"/>
          <w:lang w:val="en-US"/>
        </w:rPr>
        <w:t>, which was adopted by the</w:t>
      </w:r>
      <w:r w:rsidR="009B1ABC">
        <w:rPr>
          <w:rFonts w:asciiTheme="majorBidi" w:hAnsiTheme="majorBidi" w:cstheme="majorBidi"/>
          <w:snapToGrid w:val="0"/>
          <w:color w:val="000000"/>
          <w:sz w:val="20"/>
          <w:szCs w:val="20"/>
          <w:lang w:val="en-US"/>
        </w:rPr>
        <w:t>ir</w:t>
      </w:r>
      <w:r w:rsidRPr="008E23D7">
        <w:rPr>
          <w:rFonts w:asciiTheme="majorBidi" w:hAnsiTheme="majorBidi" w:cstheme="majorBidi"/>
          <w:snapToGrid w:val="0"/>
          <w:color w:val="000000"/>
          <w:sz w:val="20"/>
          <w:szCs w:val="20"/>
          <w:lang w:val="en-US"/>
        </w:rPr>
        <w:t xml:space="preserve"> conferences of the Parties in a joint decision in 2017.</w:t>
      </w:r>
      <w:r w:rsidRPr="008E23D7">
        <w:rPr>
          <w:rStyle w:val="FootnoteReference"/>
          <w:rFonts w:cstheme="majorBidi"/>
          <w:snapToGrid w:val="0"/>
          <w:lang w:val="en-US"/>
        </w:rPr>
        <w:footnoteReference w:id="1"/>
      </w:r>
    </w:p>
    <w:p w14:paraId="4F7441F5" w14:textId="00FB4CF2" w:rsidR="00322204" w:rsidRPr="008261BD" w:rsidRDefault="00CE1F2F" w:rsidP="002A6A49">
      <w:pPr>
        <w:numPr>
          <w:ilvl w:val="0"/>
          <w:numId w:val="1"/>
        </w:numPr>
        <w:tabs>
          <w:tab w:val="left" w:pos="1276"/>
          <w:tab w:val="left" w:pos="1814"/>
          <w:tab w:val="left" w:pos="2381"/>
          <w:tab w:val="left" w:pos="2948"/>
          <w:tab w:val="left" w:pos="3515"/>
        </w:tabs>
        <w:spacing w:after="120" w:line="240" w:lineRule="auto"/>
        <w:ind w:left="1276" w:firstLine="0"/>
        <w:rPr>
          <w:rFonts w:asciiTheme="majorBidi" w:hAnsiTheme="majorBidi" w:cstheme="majorBidi"/>
          <w:b/>
          <w:bCs/>
          <w:snapToGrid w:val="0"/>
          <w:color w:val="000000"/>
          <w:sz w:val="24"/>
          <w:szCs w:val="24"/>
          <w:lang w:val="en-US"/>
        </w:rPr>
      </w:pPr>
      <w:r>
        <w:rPr>
          <w:rFonts w:ascii="Times New Roman" w:eastAsia="Times New Roman" w:hAnsi="Times New Roman"/>
          <w:sz w:val="20"/>
          <w:szCs w:val="20"/>
          <w:lang w:val="en-GB"/>
        </w:rPr>
        <w:t>During their 2019 meetings, each C</w:t>
      </w:r>
      <w:r w:rsidRPr="00322204">
        <w:rPr>
          <w:rFonts w:ascii="Times New Roman" w:eastAsia="Times New Roman" w:hAnsi="Times New Roman"/>
          <w:sz w:val="20"/>
          <w:szCs w:val="20"/>
          <w:lang w:val="en-GB"/>
        </w:rPr>
        <w:t xml:space="preserve">onference of the Parties </w:t>
      </w:r>
      <w:r>
        <w:rPr>
          <w:rFonts w:ascii="Times New Roman" w:eastAsia="Times New Roman" w:hAnsi="Times New Roman"/>
          <w:sz w:val="20"/>
          <w:szCs w:val="20"/>
          <w:lang w:val="en-GB"/>
        </w:rPr>
        <w:t xml:space="preserve">will consider for possible adoption a </w:t>
      </w:r>
      <w:r w:rsidRPr="00322204">
        <w:rPr>
          <w:rFonts w:ascii="Times New Roman" w:eastAsia="Times New Roman" w:hAnsi="Times New Roman"/>
          <w:sz w:val="20"/>
          <w:szCs w:val="20"/>
          <w:lang w:val="en-GB"/>
        </w:rPr>
        <w:t xml:space="preserve">memorandum of understanding with </w:t>
      </w:r>
      <w:r>
        <w:rPr>
          <w:rFonts w:ascii="Times New Roman" w:eastAsia="Times New Roman" w:hAnsi="Times New Roman"/>
          <w:sz w:val="20"/>
          <w:szCs w:val="20"/>
          <w:lang w:val="en-GB"/>
        </w:rPr>
        <w:t xml:space="preserve">the </w:t>
      </w:r>
      <w:r w:rsidRPr="00322204">
        <w:rPr>
          <w:rFonts w:ascii="Times New Roman" w:eastAsia="Times New Roman" w:hAnsi="Times New Roman"/>
          <w:sz w:val="20"/>
          <w:szCs w:val="20"/>
          <w:lang w:val="en-GB"/>
        </w:rPr>
        <w:t>United Nations Environment Programme</w:t>
      </w:r>
      <w:r>
        <w:rPr>
          <w:rStyle w:val="FootnoteReference"/>
          <w:rFonts w:eastAsia="Times New Roman"/>
          <w:lang w:val="en-GB"/>
        </w:rPr>
        <w:footnoteReference w:id="2"/>
      </w:r>
      <w:r w:rsidRPr="00322204">
        <w:rPr>
          <w:rFonts w:ascii="Times New Roman" w:eastAsia="Times New Roman" w:hAnsi="Times New Roman"/>
          <w:sz w:val="20"/>
          <w:szCs w:val="20"/>
          <w:lang w:val="en-GB"/>
        </w:rPr>
        <w:t xml:space="preserve"> </w:t>
      </w:r>
      <w:r>
        <w:rPr>
          <w:rFonts w:ascii="Times New Roman" w:eastAsia="Times New Roman" w:hAnsi="Times New Roman"/>
          <w:sz w:val="20"/>
          <w:szCs w:val="20"/>
          <w:lang w:val="en-GB"/>
        </w:rPr>
        <w:t xml:space="preserve">(and with the Food and Agriculture Organization of the United Nations for the Rotterdam Convention) </w:t>
      </w:r>
      <w:r w:rsidRPr="00322204">
        <w:rPr>
          <w:rFonts w:ascii="Times New Roman" w:eastAsia="Times New Roman" w:hAnsi="Times New Roman"/>
          <w:sz w:val="20"/>
          <w:szCs w:val="20"/>
          <w:lang w:val="en-GB"/>
        </w:rPr>
        <w:t xml:space="preserve">concerning the arrangements for the provision of secretariat functions for the </w:t>
      </w:r>
      <w:r>
        <w:rPr>
          <w:rFonts w:ascii="Times New Roman" w:eastAsia="Times New Roman" w:hAnsi="Times New Roman"/>
          <w:sz w:val="20"/>
          <w:szCs w:val="20"/>
          <w:lang w:val="en-GB"/>
        </w:rPr>
        <w:t xml:space="preserve">respective </w:t>
      </w:r>
      <w:r w:rsidRPr="00322204">
        <w:rPr>
          <w:rFonts w:ascii="Times New Roman" w:eastAsia="Times New Roman" w:hAnsi="Times New Roman"/>
          <w:sz w:val="20"/>
          <w:szCs w:val="20"/>
          <w:lang w:val="en-GB"/>
        </w:rPr>
        <w:t>convention</w:t>
      </w:r>
      <w:r>
        <w:rPr>
          <w:rFonts w:ascii="Times New Roman" w:eastAsia="Times New Roman" w:hAnsi="Times New Roman"/>
          <w:sz w:val="20"/>
          <w:szCs w:val="20"/>
          <w:lang w:val="en-GB"/>
        </w:rPr>
        <w:t xml:space="preserve"> which includes a section on programmatic cooperation</w:t>
      </w:r>
      <w:r w:rsidRPr="00322204">
        <w:rPr>
          <w:rFonts w:ascii="Times New Roman" w:eastAsia="Times New Roman" w:hAnsi="Times New Roman"/>
          <w:sz w:val="20"/>
          <w:szCs w:val="20"/>
          <w:lang w:val="en-GB"/>
        </w:rPr>
        <w:t>.</w:t>
      </w:r>
      <w:r w:rsidR="002A6A49" w:rsidRPr="008261BD">
        <w:rPr>
          <w:rFonts w:asciiTheme="majorBidi" w:eastAsia="Times New Roman" w:hAnsiTheme="majorBidi" w:cstheme="majorBidi"/>
          <w:sz w:val="20"/>
          <w:szCs w:val="20"/>
          <w:lang w:val="en-GB"/>
        </w:rPr>
        <w:t xml:space="preserve"> </w:t>
      </w:r>
    </w:p>
    <w:p w14:paraId="0F67AB66" w14:textId="77777777" w:rsidR="002A6A49" w:rsidRPr="008261BD" w:rsidRDefault="002A6A49" w:rsidP="00D63870">
      <w:pPr>
        <w:pStyle w:val="ListParagraph"/>
        <w:numPr>
          <w:ilvl w:val="0"/>
          <w:numId w:val="5"/>
        </w:numPr>
        <w:tabs>
          <w:tab w:val="left" w:pos="1276"/>
          <w:tab w:val="left" w:pos="2381"/>
          <w:tab w:val="left" w:pos="2948"/>
          <w:tab w:val="left" w:pos="3515"/>
        </w:tabs>
        <w:spacing w:after="120" w:line="240" w:lineRule="auto"/>
        <w:ind w:left="1276" w:hanging="709"/>
        <w:contextualSpacing w:val="0"/>
        <w:rPr>
          <w:rFonts w:asciiTheme="majorBidi" w:hAnsiTheme="majorBidi" w:cstheme="majorBidi"/>
          <w:b/>
          <w:bCs/>
          <w:snapToGrid w:val="0"/>
          <w:color w:val="000000"/>
          <w:sz w:val="24"/>
          <w:szCs w:val="24"/>
          <w:lang w:val="en-US"/>
        </w:rPr>
      </w:pPr>
      <w:r w:rsidRPr="008261BD">
        <w:rPr>
          <w:rFonts w:asciiTheme="majorBidi" w:hAnsiTheme="majorBidi" w:cstheme="majorBidi"/>
          <w:b/>
          <w:bCs/>
          <w:snapToGrid w:val="0"/>
          <w:color w:val="000000"/>
          <w:sz w:val="24"/>
          <w:szCs w:val="24"/>
          <w:lang w:val="en-US"/>
        </w:rPr>
        <w:t>Progress in the implementation of resolution 3/4 on environment and health</w:t>
      </w:r>
    </w:p>
    <w:p w14:paraId="17272653" w14:textId="2EB52D1B" w:rsidR="002A6A49" w:rsidRPr="008261BD" w:rsidRDefault="002A6A49" w:rsidP="002A6A49">
      <w:pPr>
        <w:numPr>
          <w:ilvl w:val="0"/>
          <w:numId w:val="1"/>
        </w:numPr>
        <w:tabs>
          <w:tab w:val="left" w:pos="1276"/>
          <w:tab w:val="left" w:pos="1814"/>
          <w:tab w:val="left" w:pos="2381"/>
          <w:tab w:val="left" w:pos="2948"/>
          <w:tab w:val="left" w:pos="3515"/>
        </w:tabs>
        <w:spacing w:after="120" w:line="240" w:lineRule="auto"/>
        <w:ind w:left="1276" w:firstLine="0"/>
        <w:rPr>
          <w:rFonts w:asciiTheme="majorBidi" w:hAnsiTheme="majorBidi" w:cstheme="majorBidi"/>
          <w:b/>
          <w:bCs/>
          <w:snapToGrid w:val="0"/>
          <w:color w:val="000000"/>
          <w:sz w:val="24"/>
          <w:szCs w:val="24"/>
          <w:lang w:val="en-US"/>
        </w:rPr>
      </w:pPr>
      <w:r w:rsidRPr="008261BD">
        <w:rPr>
          <w:rFonts w:asciiTheme="majorBidi" w:hAnsiTheme="majorBidi" w:cstheme="majorBidi"/>
          <w:sz w:val="20"/>
          <w:szCs w:val="20"/>
          <w:lang w:val="en-US"/>
        </w:rPr>
        <w:t xml:space="preserve">In </w:t>
      </w:r>
      <w:r w:rsidR="00C80BC3">
        <w:rPr>
          <w:rFonts w:asciiTheme="majorBidi" w:hAnsiTheme="majorBidi" w:cstheme="majorBidi"/>
          <w:sz w:val="20"/>
          <w:szCs w:val="20"/>
          <w:lang w:val="en-US"/>
        </w:rPr>
        <w:t>r</w:t>
      </w:r>
      <w:r w:rsidRPr="008261BD">
        <w:rPr>
          <w:rFonts w:asciiTheme="majorBidi" w:hAnsiTheme="majorBidi" w:cstheme="majorBidi"/>
          <w:sz w:val="20"/>
          <w:szCs w:val="20"/>
          <w:lang w:val="en-US"/>
        </w:rPr>
        <w:t xml:space="preserve">esolution 3/4 on environment and health, the Environment Assembly, among other things, urged Parties to the Basel Convention, the Rotterdam Convention, </w:t>
      </w:r>
      <w:r w:rsidR="008E23D7">
        <w:rPr>
          <w:rFonts w:asciiTheme="majorBidi" w:hAnsiTheme="majorBidi" w:cstheme="majorBidi"/>
          <w:sz w:val="20"/>
          <w:szCs w:val="20"/>
          <w:lang w:val="en-US"/>
        </w:rPr>
        <w:t xml:space="preserve">and </w:t>
      </w:r>
      <w:r w:rsidRPr="008261BD">
        <w:rPr>
          <w:rFonts w:asciiTheme="majorBidi" w:hAnsiTheme="majorBidi" w:cstheme="majorBidi"/>
          <w:sz w:val="20"/>
          <w:szCs w:val="20"/>
          <w:lang w:val="en-US"/>
        </w:rPr>
        <w:t>the Stockholm Convention to implement those conventions and invite</w:t>
      </w:r>
      <w:r w:rsidR="00322204" w:rsidRPr="008261BD">
        <w:rPr>
          <w:rFonts w:asciiTheme="majorBidi" w:hAnsiTheme="majorBidi" w:cstheme="majorBidi"/>
          <w:sz w:val="20"/>
          <w:szCs w:val="20"/>
          <w:lang w:val="en-US"/>
        </w:rPr>
        <w:t>d</w:t>
      </w:r>
      <w:r w:rsidRPr="008261BD">
        <w:rPr>
          <w:rFonts w:asciiTheme="majorBidi" w:hAnsiTheme="majorBidi" w:cstheme="majorBidi"/>
          <w:sz w:val="20"/>
          <w:szCs w:val="20"/>
          <w:lang w:val="en-US"/>
        </w:rPr>
        <w:t xml:space="preserve"> non-</w:t>
      </w:r>
      <w:r w:rsidR="00F33AEE">
        <w:rPr>
          <w:rFonts w:asciiTheme="majorBidi" w:hAnsiTheme="majorBidi" w:cstheme="majorBidi"/>
          <w:sz w:val="20"/>
          <w:szCs w:val="20"/>
          <w:lang w:val="en-US"/>
        </w:rPr>
        <w:t>P</w:t>
      </w:r>
      <w:r w:rsidRPr="008261BD">
        <w:rPr>
          <w:rFonts w:asciiTheme="majorBidi" w:hAnsiTheme="majorBidi" w:cstheme="majorBidi"/>
          <w:sz w:val="20"/>
          <w:szCs w:val="20"/>
          <w:lang w:val="en-US"/>
        </w:rPr>
        <w:t>arties to consider joining them.</w:t>
      </w:r>
    </w:p>
    <w:p w14:paraId="5357D03F" w14:textId="299AD3A3" w:rsidR="00F33AEE" w:rsidRPr="00322204" w:rsidRDefault="002A6A49" w:rsidP="00F33AEE">
      <w:pPr>
        <w:numPr>
          <w:ilvl w:val="0"/>
          <w:numId w:val="1"/>
        </w:numPr>
        <w:tabs>
          <w:tab w:val="left" w:pos="1276"/>
          <w:tab w:val="left" w:pos="1814"/>
          <w:tab w:val="left" w:pos="2381"/>
          <w:tab w:val="left" w:pos="2948"/>
          <w:tab w:val="left" w:pos="3515"/>
        </w:tabs>
        <w:spacing w:after="120" w:line="240" w:lineRule="auto"/>
        <w:ind w:left="1276" w:firstLine="0"/>
        <w:rPr>
          <w:rFonts w:asciiTheme="majorBidi" w:hAnsiTheme="majorBidi" w:cstheme="majorBidi"/>
          <w:b/>
          <w:bCs/>
          <w:snapToGrid w:val="0"/>
          <w:color w:val="000000"/>
          <w:sz w:val="24"/>
          <w:szCs w:val="24"/>
          <w:lang w:val="en-US"/>
        </w:rPr>
      </w:pPr>
      <w:r w:rsidRPr="008261BD">
        <w:rPr>
          <w:rFonts w:asciiTheme="majorBidi" w:hAnsiTheme="majorBidi" w:cstheme="majorBidi"/>
          <w:sz w:val="20"/>
          <w:szCs w:val="20"/>
          <w:lang w:val="en-US"/>
        </w:rPr>
        <w:t xml:space="preserve">Two States </w:t>
      </w:r>
      <w:r w:rsidR="00F33AEE" w:rsidRPr="00322204">
        <w:rPr>
          <w:rFonts w:asciiTheme="majorBidi" w:hAnsiTheme="majorBidi" w:cstheme="majorBidi"/>
          <w:sz w:val="20"/>
          <w:szCs w:val="20"/>
          <w:lang w:val="en-US"/>
        </w:rPr>
        <w:t xml:space="preserve">have </w:t>
      </w:r>
      <w:r w:rsidR="00F33AEE">
        <w:rPr>
          <w:rFonts w:asciiTheme="majorBidi" w:hAnsiTheme="majorBidi" w:cstheme="majorBidi"/>
          <w:sz w:val="20"/>
          <w:szCs w:val="20"/>
          <w:lang w:val="en-US"/>
        </w:rPr>
        <w:t xml:space="preserve">become Parties to </w:t>
      </w:r>
      <w:r w:rsidR="00F33AEE" w:rsidRPr="00322204">
        <w:rPr>
          <w:rFonts w:asciiTheme="majorBidi" w:hAnsiTheme="majorBidi" w:cstheme="majorBidi"/>
          <w:sz w:val="20"/>
          <w:szCs w:val="20"/>
          <w:lang w:val="en-US"/>
        </w:rPr>
        <w:t xml:space="preserve">two out of the </w:t>
      </w:r>
      <w:r w:rsidR="009B1ABC">
        <w:rPr>
          <w:rFonts w:asciiTheme="majorBidi" w:hAnsiTheme="majorBidi" w:cstheme="majorBidi"/>
          <w:sz w:val="20"/>
          <w:szCs w:val="20"/>
          <w:lang w:val="en-US"/>
        </w:rPr>
        <w:t>three</w:t>
      </w:r>
      <w:r w:rsidR="00F33AEE" w:rsidRPr="00322204">
        <w:rPr>
          <w:rFonts w:asciiTheme="majorBidi" w:hAnsiTheme="majorBidi" w:cstheme="majorBidi"/>
          <w:sz w:val="20"/>
          <w:szCs w:val="20"/>
          <w:lang w:val="en-US"/>
        </w:rPr>
        <w:t xml:space="preserve"> conventions since the third meeting of the Environment Assembly:</w:t>
      </w:r>
    </w:p>
    <w:p w14:paraId="6ADCEF67" w14:textId="0167C4E4" w:rsidR="00F33AEE" w:rsidRPr="00F33AEE" w:rsidRDefault="00F33AEE" w:rsidP="00F33AEE">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b/>
          <w:bCs/>
          <w:snapToGrid w:val="0"/>
          <w:color w:val="000000"/>
          <w:sz w:val="24"/>
          <w:szCs w:val="24"/>
          <w:lang w:val="en-US"/>
        </w:rPr>
      </w:pPr>
      <w:r w:rsidRPr="00322204">
        <w:rPr>
          <w:rFonts w:asciiTheme="majorBidi" w:hAnsiTheme="majorBidi" w:cstheme="majorBidi"/>
          <w:sz w:val="20"/>
          <w:szCs w:val="20"/>
          <w:lang w:val="en-US"/>
        </w:rPr>
        <w:t>The State of Palestine deposited its instrument of accession to the Rotterdam and Stockholm conventions on 29</w:t>
      </w:r>
      <w:r>
        <w:rPr>
          <w:rFonts w:asciiTheme="majorBidi" w:hAnsiTheme="majorBidi" w:cstheme="majorBidi"/>
          <w:sz w:val="20"/>
          <w:szCs w:val="20"/>
          <w:lang w:val="en-US"/>
        </w:rPr>
        <w:t> </w:t>
      </w:r>
      <w:r w:rsidRPr="00322204">
        <w:rPr>
          <w:rFonts w:asciiTheme="majorBidi" w:hAnsiTheme="majorBidi" w:cstheme="majorBidi"/>
          <w:sz w:val="20"/>
          <w:szCs w:val="20"/>
          <w:lang w:val="en-US"/>
        </w:rPr>
        <w:t xml:space="preserve">December 2017 </w:t>
      </w:r>
      <w:r>
        <w:rPr>
          <w:rFonts w:asciiTheme="majorBidi" w:hAnsiTheme="majorBidi" w:cstheme="majorBidi"/>
          <w:sz w:val="20"/>
          <w:szCs w:val="20"/>
          <w:lang w:val="en-US"/>
        </w:rPr>
        <w:t xml:space="preserve">and </w:t>
      </w:r>
      <w:r w:rsidRPr="00322204">
        <w:rPr>
          <w:rFonts w:asciiTheme="majorBidi" w:hAnsiTheme="majorBidi" w:cstheme="majorBidi"/>
          <w:sz w:val="20"/>
          <w:szCs w:val="20"/>
          <w:lang w:val="en-US"/>
        </w:rPr>
        <w:t>the conventions entered into force for this Party on 29</w:t>
      </w:r>
      <w:r>
        <w:rPr>
          <w:rFonts w:asciiTheme="majorBidi" w:hAnsiTheme="majorBidi" w:cstheme="majorBidi"/>
          <w:sz w:val="20"/>
          <w:szCs w:val="20"/>
          <w:lang w:val="en-US"/>
        </w:rPr>
        <w:t> March</w:t>
      </w:r>
      <w:r w:rsidRPr="00322204">
        <w:rPr>
          <w:rFonts w:asciiTheme="majorBidi" w:hAnsiTheme="majorBidi" w:cstheme="majorBidi"/>
          <w:sz w:val="20"/>
          <w:szCs w:val="20"/>
          <w:lang w:val="en-US"/>
        </w:rPr>
        <w:t xml:space="preserve"> 201</w:t>
      </w:r>
      <w:r>
        <w:rPr>
          <w:rFonts w:asciiTheme="majorBidi" w:hAnsiTheme="majorBidi" w:cstheme="majorBidi"/>
          <w:sz w:val="20"/>
          <w:szCs w:val="20"/>
          <w:lang w:val="en-US"/>
        </w:rPr>
        <w:t>8</w:t>
      </w:r>
      <w:r w:rsidRPr="00322204">
        <w:rPr>
          <w:rFonts w:asciiTheme="majorBidi" w:hAnsiTheme="majorBidi" w:cstheme="majorBidi"/>
          <w:sz w:val="20"/>
          <w:szCs w:val="20"/>
          <w:lang w:val="en-US"/>
        </w:rPr>
        <w:t>;</w:t>
      </w:r>
    </w:p>
    <w:p w14:paraId="53F5EF74" w14:textId="779030A2" w:rsidR="002A6A49" w:rsidRPr="00F33AEE" w:rsidRDefault="00F33AEE" w:rsidP="00F33AEE">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b/>
          <w:bCs/>
          <w:snapToGrid w:val="0"/>
          <w:color w:val="000000"/>
          <w:sz w:val="24"/>
          <w:szCs w:val="24"/>
          <w:lang w:val="en-US"/>
        </w:rPr>
      </w:pPr>
      <w:r w:rsidRPr="00322204">
        <w:rPr>
          <w:rFonts w:asciiTheme="majorBidi" w:hAnsiTheme="majorBidi" w:cstheme="majorBidi"/>
          <w:sz w:val="20"/>
          <w:szCs w:val="20"/>
          <w:lang w:val="en-US"/>
        </w:rPr>
        <w:t>Vanuatu deposited its instruments of accession to the Basel and Rotterdam conventions on 16 October 2018 and the conventions entered into force for this Party on 14 January 2019</w:t>
      </w:r>
      <w:r w:rsidR="00C80BC3">
        <w:rPr>
          <w:rFonts w:asciiTheme="majorBidi" w:hAnsiTheme="majorBidi" w:cstheme="majorBidi"/>
          <w:sz w:val="20"/>
          <w:szCs w:val="20"/>
          <w:lang w:val="en-US"/>
        </w:rPr>
        <w:t>.</w:t>
      </w:r>
    </w:p>
    <w:p w14:paraId="1CF022EA" w14:textId="78771B6C" w:rsidR="002A6A49" w:rsidRPr="008261BD" w:rsidRDefault="00E91BA7" w:rsidP="002A6A49">
      <w:pPr>
        <w:numPr>
          <w:ilvl w:val="0"/>
          <w:numId w:val="1"/>
        </w:numPr>
        <w:tabs>
          <w:tab w:val="left" w:pos="1276"/>
          <w:tab w:val="left" w:pos="1814"/>
          <w:tab w:val="left" w:pos="2381"/>
          <w:tab w:val="left" w:pos="2948"/>
          <w:tab w:val="left" w:pos="3515"/>
        </w:tabs>
        <w:spacing w:after="120" w:line="240" w:lineRule="auto"/>
        <w:ind w:left="1276" w:firstLine="0"/>
        <w:rPr>
          <w:rFonts w:asciiTheme="majorBidi" w:hAnsiTheme="majorBidi" w:cstheme="majorBidi"/>
          <w:b/>
          <w:bCs/>
          <w:snapToGrid w:val="0"/>
          <w:color w:val="000000"/>
          <w:sz w:val="24"/>
          <w:szCs w:val="24"/>
          <w:lang w:val="en-US"/>
        </w:rPr>
      </w:pPr>
      <w:r>
        <w:rPr>
          <w:rFonts w:asciiTheme="majorBidi" w:hAnsiTheme="majorBidi" w:cstheme="majorBidi"/>
          <w:sz w:val="20"/>
          <w:szCs w:val="20"/>
          <w:lang w:val="en-US"/>
        </w:rPr>
        <w:t xml:space="preserve">During their 2019 meetings, the conferences of the Parties will consider a range of </w:t>
      </w:r>
      <w:r w:rsidR="00326382">
        <w:rPr>
          <w:rFonts w:asciiTheme="majorBidi" w:hAnsiTheme="majorBidi" w:cstheme="majorBidi"/>
          <w:sz w:val="20"/>
          <w:szCs w:val="20"/>
          <w:lang w:val="en-US"/>
        </w:rPr>
        <w:t xml:space="preserve">possible decisions </w:t>
      </w:r>
      <w:r w:rsidR="00F33AEE">
        <w:rPr>
          <w:rFonts w:asciiTheme="majorBidi" w:hAnsiTheme="majorBidi" w:cstheme="majorBidi"/>
          <w:sz w:val="20"/>
          <w:szCs w:val="20"/>
          <w:lang w:val="en-US"/>
        </w:rPr>
        <w:t xml:space="preserve">to </w:t>
      </w:r>
      <w:r w:rsidR="000662E7" w:rsidRPr="008261BD">
        <w:rPr>
          <w:rFonts w:asciiTheme="majorBidi" w:hAnsiTheme="majorBidi" w:cstheme="majorBidi"/>
          <w:sz w:val="20"/>
          <w:szCs w:val="20"/>
          <w:lang w:val="en-US"/>
        </w:rPr>
        <w:t xml:space="preserve">enhance the </w:t>
      </w:r>
      <w:r w:rsidR="00F33AEE">
        <w:rPr>
          <w:rFonts w:asciiTheme="majorBidi" w:hAnsiTheme="majorBidi" w:cstheme="majorBidi"/>
          <w:sz w:val="20"/>
          <w:szCs w:val="20"/>
          <w:lang w:val="en-US"/>
        </w:rPr>
        <w:t xml:space="preserve">implementation </w:t>
      </w:r>
      <w:r>
        <w:rPr>
          <w:rFonts w:asciiTheme="majorBidi" w:hAnsiTheme="majorBidi" w:cstheme="majorBidi"/>
          <w:sz w:val="20"/>
          <w:szCs w:val="20"/>
          <w:lang w:val="en-US"/>
        </w:rPr>
        <w:t xml:space="preserve">and </w:t>
      </w:r>
      <w:r w:rsidR="000662E7" w:rsidRPr="008261BD">
        <w:rPr>
          <w:rFonts w:asciiTheme="majorBidi" w:hAnsiTheme="majorBidi" w:cstheme="majorBidi"/>
          <w:sz w:val="20"/>
          <w:szCs w:val="20"/>
          <w:lang w:val="en-US"/>
        </w:rPr>
        <w:t>effectiveness</w:t>
      </w:r>
      <w:r>
        <w:rPr>
          <w:rFonts w:asciiTheme="majorBidi" w:hAnsiTheme="majorBidi" w:cstheme="majorBidi"/>
          <w:sz w:val="20"/>
          <w:szCs w:val="20"/>
          <w:lang w:val="en-US"/>
        </w:rPr>
        <w:t xml:space="preserve"> of the three conventions</w:t>
      </w:r>
      <w:r w:rsidR="006661A2" w:rsidRPr="008261BD">
        <w:rPr>
          <w:rFonts w:asciiTheme="majorBidi" w:hAnsiTheme="majorBidi" w:cstheme="majorBidi"/>
          <w:sz w:val="20"/>
          <w:szCs w:val="20"/>
          <w:lang w:val="en-US"/>
        </w:rPr>
        <w:t>.</w:t>
      </w:r>
    </w:p>
    <w:p w14:paraId="43782274" w14:textId="5A01B131" w:rsidR="002A6A49" w:rsidRPr="008261BD" w:rsidRDefault="00E31359" w:rsidP="002A6A49">
      <w:pPr>
        <w:numPr>
          <w:ilvl w:val="0"/>
          <w:numId w:val="1"/>
        </w:numPr>
        <w:tabs>
          <w:tab w:val="left" w:pos="1276"/>
          <w:tab w:val="left" w:pos="1814"/>
          <w:tab w:val="left" w:pos="2381"/>
          <w:tab w:val="left" w:pos="2948"/>
          <w:tab w:val="left" w:pos="3515"/>
        </w:tabs>
        <w:spacing w:after="120" w:line="240" w:lineRule="auto"/>
        <w:ind w:left="1276" w:firstLine="0"/>
        <w:rPr>
          <w:rFonts w:asciiTheme="majorBidi" w:hAnsiTheme="majorBidi" w:cstheme="majorBidi"/>
          <w:b/>
          <w:bCs/>
          <w:snapToGrid w:val="0"/>
          <w:color w:val="000000"/>
          <w:sz w:val="24"/>
          <w:szCs w:val="24"/>
          <w:lang w:val="en-US"/>
        </w:rPr>
      </w:pPr>
      <w:r>
        <w:rPr>
          <w:rFonts w:asciiTheme="majorBidi" w:hAnsiTheme="majorBidi" w:cstheme="majorBidi"/>
          <w:sz w:val="20"/>
          <w:szCs w:val="20"/>
          <w:lang w:val="en-US"/>
        </w:rPr>
        <w:t>T</w:t>
      </w:r>
      <w:r w:rsidR="002A6A49" w:rsidRPr="008261BD">
        <w:rPr>
          <w:rFonts w:asciiTheme="majorBidi" w:hAnsiTheme="majorBidi" w:cstheme="majorBidi"/>
          <w:sz w:val="20"/>
          <w:szCs w:val="20"/>
          <w:lang w:val="en-US"/>
        </w:rPr>
        <w:t xml:space="preserve">he </w:t>
      </w:r>
      <w:r>
        <w:rPr>
          <w:rFonts w:asciiTheme="majorBidi" w:hAnsiTheme="majorBidi" w:cstheme="majorBidi"/>
          <w:sz w:val="20"/>
          <w:szCs w:val="20"/>
          <w:lang w:val="en-US"/>
        </w:rPr>
        <w:t xml:space="preserve">fourteenth </w:t>
      </w:r>
      <w:r w:rsidR="002A6A49" w:rsidRPr="008261BD">
        <w:rPr>
          <w:rFonts w:asciiTheme="majorBidi" w:hAnsiTheme="majorBidi" w:cstheme="majorBidi"/>
          <w:sz w:val="20"/>
          <w:szCs w:val="20"/>
          <w:lang w:val="en-US"/>
        </w:rPr>
        <w:t>Conference of the Parties to the Basel Convention will</w:t>
      </w:r>
      <w:r>
        <w:rPr>
          <w:rFonts w:asciiTheme="majorBidi" w:hAnsiTheme="majorBidi" w:cstheme="majorBidi"/>
          <w:sz w:val="20"/>
          <w:szCs w:val="20"/>
          <w:lang w:val="en-US"/>
        </w:rPr>
        <w:t xml:space="preserve"> </w:t>
      </w:r>
      <w:r w:rsidR="000662E7" w:rsidRPr="008261BD">
        <w:rPr>
          <w:rFonts w:asciiTheme="majorBidi" w:hAnsiTheme="majorBidi" w:cstheme="majorBidi"/>
          <w:sz w:val="20"/>
          <w:szCs w:val="20"/>
          <w:lang w:val="en-US"/>
        </w:rPr>
        <w:t>consider</w:t>
      </w:r>
      <w:r w:rsidR="00E91BA7">
        <w:rPr>
          <w:rFonts w:asciiTheme="majorBidi" w:hAnsiTheme="majorBidi" w:cstheme="majorBidi"/>
          <w:sz w:val="20"/>
          <w:szCs w:val="20"/>
          <w:lang w:val="en-US"/>
        </w:rPr>
        <w:t>, among other things</w:t>
      </w:r>
      <w:r w:rsidR="002A6A49" w:rsidRPr="008261BD">
        <w:rPr>
          <w:rFonts w:asciiTheme="majorBidi" w:hAnsiTheme="majorBidi" w:cstheme="majorBidi"/>
          <w:sz w:val="20"/>
          <w:szCs w:val="20"/>
          <w:lang w:val="en-US"/>
        </w:rPr>
        <w:t>:</w:t>
      </w:r>
    </w:p>
    <w:p w14:paraId="1E574EEC" w14:textId="0C63F4A0" w:rsidR="002A6A49" w:rsidRPr="008261BD" w:rsidRDefault="000662E7" w:rsidP="00F33AEE">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b/>
          <w:bCs/>
          <w:snapToGrid w:val="0"/>
          <w:color w:val="000000"/>
          <w:sz w:val="24"/>
          <w:szCs w:val="24"/>
          <w:lang w:val="en-US"/>
        </w:rPr>
      </w:pPr>
      <w:r w:rsidRPr="008261BD">
        <w:rPr>
          <w:rFonts w:asciiTheme="majorBidi" w:hAnsiTheme="majorBidi" w:cstheme="majorBidi"/>
          <w:sz w:val="20"/>
          <w:szCs w:val="20"/>
          <w:lang w:val="en-US"/>
        </w:rPr>
        <w:t>R</w:t>
      </w:r>
      <w:r w:rsidR="002A6A49" w:rsidRPr="008261BD">
        <w:rPr>
          <w:rFonts w:asciiTheme="majorBidi" w:hAnsiTheme="majorBidi" w:cstheme="majorBidi"/>
          <w:sz w:val="20"/>
          <w:szCs w:val="20"/>
          <w:lang w:val="en-US"/>
        </w:rPr>
        <w:t>ecommendations prepared by the expert working group on the review of annexes for revisions to Annex IV and Annex IX (B1110)</w:t>
      </w:r>
      <w:r w:rsidR="00A26107">
        <w:rPr>
          <w:rFonts w:asciiTheme="majorBidi" w:hAnsiTheme="majorBidi" w:cstheme="majorBidi"/>
          <w:sz w:val="20"/>
          <w:szCs w:val="20"/>
          <w:lang w:val="en-US"/>
        </w:rPr>
        <w:t xml:space="preserve"> to the Convention</w:t>
      </w:r>
      <w:r w:rsidR="002A6A49" w:rsidRPr="008261BD">
        <w:rPr>
          <w:rFonts w:asciiTheme="majorBidi" w:hAnsiTheme="majorBidi" w:cstheme="majorBidi"/>
          <w:sz w:val="20"/>
          <w:szCs w:val="20"/>
          <w:lang w:val="en-US"/>
        </w:rPr>
        <w:t xml:space="preserve">, as well as </w:t>
      </w:r>
      <w:r w:rsidRPr="008261BD">
        <w:rPr>
          <w:rFonts w:asciiTheme="majorBidi" w:hAnsiTheme="majorBidi" w:cstheme="majorBidi"/>
          <w:sz w:val="20"/>
          <w:szCs w:val="20"/>
          <w:lang w:val="en-US"/>
        </w:rPr>
        <w:t>extension</w:t>
      </w:r>
      <w:r w:rsidR="006661A2" w:rsidRPr="008261BD">
        <w:rPr>
          <w:rFonts w:asciiTheme="majorBidi" w:hAnsiTheme="majorBidi" w:cstheme="majorBidi"/>
          <w:sz w:val="20"/>
          <w:szCs w:val="20"/>
          <w:lang w:val="en-US"/>
        </w:rPr>
        <w:t>s</w:t>
      </w:r>
      <w:r w:rsidRPr="008261BD">
        <w:rPr>
          <w:rFonts w:asciiTheme="majorBidi" w:hAnsiTheme="majorBidi" w:cstheme="majorBidi"/>
          <w:sz w:val="20"/>
          <w:szCs w:val="20"/>
          <w:lang w:val="en-US"/>
        </w:rPr>
        <w:t xml:space="preserve"> of</w:t>
      </w:r>
      <w:r w:rsidR="002A6A49" w:rsidRPr="008261BD">
        <w:rPr>
          <w:rFonts w:asciiTheme="majorBidi" w:hAnsiTheme="majorBidi" w:cstheme="majorBidi"/>
          <w:sz w:val="20"/>
          <w:szCs w:val="20"/>
          <w:lang w:val="en-US"/>
        </w:rPr>
        <w:t xml:space="preserve"> the </w:t>
      </w:r>
      <w:r w:rsidR="00C80BC3">
        <w:rPr>
          <w:rFonts w:asciiTheme="majorBidi" w:hAnsiTheme="majorBidi" w:cstheme="majorBidi"/>
          <w:sz w:val="20"/>
          <w:szCs w:val="20"/>
          <w:lang w:val="en-US"/>
        </w:rPr>
        <w:t>expert working group</w:t>
      </w:r>
      <w:r w:rsidR="00C80BC3" w:rsidRPr="00FB1B0B">
        <w:rPr>
          <w:rFonts w:asciiTheme="majorBidi" w:hAnsiTheme="majorBidi" w:cstheme="majorBidi"/>
          <w:sz w:val="20"/>
          <w:szCs w:val="20"/>
          <w:lang w:val="en-US"/>
        </w:rPr>
        <w:t xml:space="preserve">’s </w:t>
      </w:r>
      <w:r w:rsidR="002A6A49" w:rsidRPr="008261BD">
        <w:rPr>
          <w:rFonts w:asciiTheme="majorBidi" w:hAnsiTheme="majorBidi" w:cstheme="majorBidi"/>
          <w:sz w:val="20"/>
          <w:szCs w:val="20"/>
          <w:lang w:val="en-US"/>
        </w:rPr>
        <w:t>mandate</w:t>
      </w:r>
      <w:r w:rsidR="00326382">
        <w:rPr>
          <w:rFonts w:asciiTheme="majorBidi" w:hAnsiTheme="majorBidi" w:cstheme="majorBidi"/>
          <w:sz w:val="20"/>
          <w:szCs w:val="20"/>
          <w:lang w:val="en-US"/>
        </w:rPr>
        <w:t>;</w:t>
      </w:r>
      <w:r w:rsidR="00F33AEE">
        <w:rPr>
          <w:rStyle w:val="FootnoteReference"/>
          <w:rFonts w:cstheme="majorBidi"/>
          <w:lang w:val="en-US"/>
        </w:rPr>
        <w:footnoteReference w:id="3"/>
      </w:r>
    </w:p>
    <w:p w14:paraId="167B6C4F" w14:textId="70B831CD" w:rsidR="002A6A49" w:rsidRPr="008261BD" w:rsidRDefault="000662E7" w:rsidP="002A6A49">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b/>
          <w:bCs/>
          <w:snapToGrid w:val="0"/>
          <w:color w:val="000000"/>
          <w:sz w:val="24"/>
          <w:szCs w:val="24"/>
          <w:lang w:val="en-US"/>
        </w:rPr>
      </w:pPr>
      <w:r w:rsidRPr="008261BD">
        <w:rPr>
          <w:rFonts w:asciiTheme="majorBidi" w:hAnsiTheme="majorBidi" w:cstheme="majorBidi"/>
          <w:sz w:val="20"/>
          <w:szCs w:val="20"/>
          <w:lang w:val="en-US"/>
        </w:rPr>
        <w:lastRenderedPageBreak/>
        <w:t>A</w:t>
      </w:r>
      <w:r w:rsidR="002A6A49" w:rsidRPr="008261BD">
        <w:rPr>
          <w:rFonts w:asciiTheme="majorBidi" w:hAnsiTheme="majorBidi" w:cstheme="majorBidi"/>
          <w:sz w:val="20"/>
          <w:szCs w:val="20"/>
          <w:lang w:val="en-US"/>
        </w:rPr>
        <w:t xml:space="preserve"> proposal to amend Annexes II, VIII and IX to the Convention submitted by Norway on 1</w:t>
      </w:r>
      <w:r w:rsidR="006661A2" w:rsidRPr="008261BD">
        <w:rPr>
          <w:rFonts w:asciiTheme="majorBidi" w:hAnsiTheme="majorBidi" w:cstheme="majorBidi"/>
          <w:sz w:val="20"/>
          <w:szCs w:val="20"/>
          <w:lang w:val="en-US"/>
        </w:rPr>
        <w:t>2</w:t>
      </w:r>
      <w:r w:rsidR="002A6A49" w:rsidRPr="008261BD">
        <w:rPr>
          <w:rFonts w:asciiTheme="majorBidi" w:hAnsiTheme="majorBidi" w:cstheme="majorBidi"/>
          <w:sz w:val="20"/>
          <w:szCs w:val="20"/>
          <w:lang w:val="en-US"/>
        </w:rPr>
        <w:t xml:space="preserve"> </w:t>
      </w:r>
      <w:r w:rsidR="006661A2" w:rsidRPr="008261BD">
        <w:rPr>
          <w:rFonts w:asciiTheme="majorBidi" w:hAnsiTheme="majorBidi" w:cstheme="majorBidi"/>
          <w:sz w:val="20"/>
          <w:szCs w:val="20"/>
          <w:lang w:val="en-US"/>
        </w:rPr>
        <w:t>October</w:t>
      </w:r>
      <w:r w:rsidR="002A6A49" w:rsidRPr="008261BD">
        <w:rPr>
          <w:rFonts w:asciiTheme="majorBidi" w:hAnsiTheme="majorBidi" w:cstheme="majorBidi"/>
          <w:sz w:val="20"/>
          <w:szCs w:val="20"/>
          <w:lang w:val="en-US"/>
        </w:rPr>
        <w:t xml:space="preserve"> 2018, followed by a corrigendum on 19 November 2018, which proposes to distinguish between three categories of plastic waste under the Basel Convention </w:t>
      </w:r>
      <w:r w:rsidR="002A6A49" w:rsidRPr="008261BD">
        <w:rPr>
          <w:rFonts w:asciiTheme="majorBidi" w:eastAsia="TimesNewRomanPS-BoldMT" w:hAnsiTheme="majorBidi" w:cstheme="majorBidi"/>
          <w:sz w:val="20"/>
          <w:szCs w:val="20"/>
          <w:lang w:val="en-US"/>
        </w:rPr>
        <w:t xml:space="preserve">– </w:t>
      </w:r>
      <w:r w:rsidR="002A6A49" w:rsidRPr="008261BD">
        <w:rPr>
          <w:rFonts w:asciiTheme="majorBidi" w:hAnsiTheme="majorBidi" w:cstheme="majorBidi"/>
          <w:sz w:val="20"/>
          <w:szCs w:val="20"/>
          <w:lang w:val="en-US"/>
        </w:rPr>
        <w:t>single polymer uncontaminated plastic waste, plastic waste requiring special consideration, and hazardous plastic waste, the two latter categories falling under the prior informed consent procedure</w:t>
      </w:r>
      <w:r w:rsidR="003D09EA">
        <w:rPr>
          <w:rFonts w:asciiTheme="majorBidi" w:hAnsiTheme="majorBidi" w:cstheme="majorBidi"/>
          <w:sz w:val="20"/>
          <w:szCs w:val="20"/>
          <w:lang w:val="en-US"/>
        </w:rPr>
        <w:t>.</w:t>
      </w:r>
      <w:r w:rsidR="002A6A49" w:rsidRPr="008261BD">
        <w:rPr>
          <w:rStyle w:val="FootnoteReference"/>
          <w:rFonts w:asciiTheme="majorBidi" w:hAnsiTheme="majorBidi" w:cstheme="majorBidi"/>
        </w:rPr>
        <w:footnoteReference w:id="4"/>
      </w:r>
    </w:p>
    <w:p w14:paraId="17F6CB7F" w14:textId="320EABB1" w:rsidR="002A6A49" w:rsidRPr="008261BD" w:rsidRDefault="00E31359" w:rsidP="002A6A49">
      <w:pPr>
        <w:numPr>
          <w:ilvl w:val="0"/>
          <w:numId w:val="1"/>
        </w:numPr>
        <w:tabs>
          <w:tab w:val="left" w:pos="1276"/>
          <w:tab w:val="left" w:pos="1814"/>
          <w:tab w:val="left" w:pos="2381"/>
          <w:tab w:val="left" w:pos="2948"/>
          <w:tab w:val="left" w:pos="3515"/>
        </w:tabs>
        <w:spacing w:after="120" w:line="240" w:lineRule="auto"/>
        <w:ind w:left="1276" w:firstLine="0"/>
        <w:rPr>
          <w:rFonts w:asciiTheme="majorBidi" w:hAnsiTheme="majorBidi" w:cstheme="majorBidi"/>
          <w:b/>
          <w:bCs/>
          <w:snapToGrid w:val="0"/>
          <w:color w:val="000000"/>
          <w:sz w:val="24"/>
          <w:szCs w:val="24"/>
          <w:lang w:val="en-US"/>
        </w:rPr>
      </w:pPr>
      <w:r>
        <w:rPr>
          <w:rFonts w:asciiTheme="majorBidi" w:hAnsiTheme="majorBidi" w:cstheme="majorBidi"/>
          <w:sz w:val="20"/>
          <w:szCs w:val="20"/>
          <w:lang w:val="en-US"/>
        </w:rPr>
        <w:t>Under the Rotterdam Convention,</w:t>
      </w:r>
      <w:r w:rsidR="00E91BA7">
        <w:rPr>
          <w:rFonts w:asciiTheme="majorBidi" w:hAnsiTheme="majorBidi" w:cstheme="majorBidi"/>
          <w:sz w:val="20"/>
          <w:szCs w:val="20"/>
          <w:lang w:val="en-US"/>
        </w:rPr>
        <w:t xml:space="preserve"> among other things, </w:t>
      </w:r>
      <w:r>
        <w:rPr>
          <w:rFonts w:asciiTheme="majorBidi" w:hAnsiTheme="majorBidi" w:cstheme="majorBidi"/>
          <w:sz w:val="20"/>
          <w:szCs w:val="20"/>
          <w:lang w:val="en-US"/>
        </w:rPr>
        <w:t>the following matters of relevance to the implementation of resolution 3/4 will be discussed at the upcoming ninth Conference of the Parties:</w:t>
      </w:r>
    </w:p>
    <w:p w14:paraId="71E994D6" w14:textId="77DD740C" w:rsidR="00BE2BA4" w:rsidRPr="008261BD" w:rsidRDefault="006661A2" w:rsidP="00BE2BA4">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b/>
          <w:bCs/>
          <w:snapToGrid w:val="0"/>
          <w:color w:val="000000"/>
          <w:sz w:val="24"/>
          <w:szCs w:val="24"/>
          <w:lang w:val="en-US"/>
        </w:rPr>
      </w:pPr>
      <w:r w:rsidRPr="008261BD">
        <w:rPr>
          <w:rFonts w:asciiTheme="majorBidi" w:hAnsiTheme="majorBidi" w:cstheme="majorBidi"/>
          <w:sz w:val="20"/>
          <w:szCs w:val="20"/>
          <w:lang w:val="en-US"/>
        </w:rPr>
        <w:t>T</w:t>
      </w:r>
      <w:r w:rsidR="00BE2BA4" w:rsidRPr="008261BD">
        <w:rPr>
          <w:rFonts w:asciiTheme="majorBidi" w:hAnsiTheme="majorBidi" w:cstheme="majorBidi"/>
          <w:sz w:val="20"/>
          <w:szCs w:val="20"/>
          <w:lang w:val="en-US"/>
        </w:rPr>
        <w:t xml:space="preserve">he inclusion of </w:t>
      </w:r>
      <w:r w:rsidR="00875B15">
        <w:rPr>
          <w:rFonts w:asciiTheme="majorBidi" w:hAnsiTheme="majorBidi" w:cstheme="majorBidi"/>
          <w:sz w:val="20"/>
          <w:szCs w:val="20"/>
          <w:lang w:val="en-US"/>
        </w:rPr>
        <w:t>seven</w:t>
      </w:r>
      <w:r w:rsidR="00875B15" w:rsidRPr="008261BD">
        <w:rPr>
          <w:rFonts w:asciiTheme="majorBidi" w:hAnsiTheme="majorBidi" w:cstheme="majorBidi"/>
          <w:sz w:val="20"/>
          <w:szCs w:val="20"/>
          <w:lang w:val="en-US"/>
        </w:rPr>
        <w:t xml:space="preserve"> </w:t>
      </w:r>
      <w:r w:rsidR="00BE2BA4" w:rsidRPr="008261BD">
        <w:rPr>
          <w:rFonts w:asciiTheme="majorBidi" w:hAnsiTheme="majorBidi" w:cstheme="majorBidi"/>
          <w:sz w:val="20"/>
          <w:szCs w:val="20"/>
          <w:lang w:val="en-US"/>
        </w:rPr>
        <w:t xml:space="preserve">new chemicals and severely hazardous pesticide formulations in </w:t>
      </w:r>
      <w:r w:rsidR="00875B15">
        <w:rPr>
          <w:rFonts w:asciiTheme="majorBidi" w:hAnsiTheme="majorBidi" w:cstheme="majorBidi"/>
          <w:sz w:val="20"/>
          <w:szCs w:val="20"/>
          <w:lang w:val="en-US"/>
        </w:rPr>
        <w:t>A</w:t>
      </w:r>
      <w:r w:rsidR="00BE2BA4" w:rsidRPr="008261BD">
        <w:rPr>
          <w:rFonts w:asciiTheme="majorBidi" w:hAnsiTheme="majorBidi" w:cstheme="majorBidi"/>
          <w:sz w:val="20"/>
          <w:szCs w:val="20"/>
          <w:lang w:val="en-US"/>
        </w:rPr>
        <w:t>nnex III to the Convention, namely acetochlor,</w:t>
      </w:r>
      <w:r w:rsidR="00BE2BA4" w:rsidRPr="008261BD">
        <w:rPr>
          <w:rStyle w:val="FootnoteReference"/>
          <w:rFonts w:asciiTheme="majorBidi" w:hAnsiTheme="majorBidi" w:cstheme="majorBidi"/>
          <w:lang w:val="en-US"/>
        </w:rPr>
        <w:footnoteReference w:id="5"/>
      </w:r>
      <w:r w:rsidR="00BE2BA4" w:rsidRPr="008261BD">
        <w:rPr>
          <w:rFonts w:asciiTheme="majorBidi" w:hAnsiTheme="majorBidi" w:cstheme="majorBidi"/>
          <w:sz w:val="20"/>
          <w:szCs w:val="20"/>
          <w:lang w:val="en-US"/>
        </w:rPr>
        <w:t xml:space="preserve"> hexabromocyclododecane,</w:t>
      </w:r>
      <w:r w:rsidR="00BE2BA4" w:rsidRPr="008261BD">
        <w:rPr>
          <w:rStyle w:val="FootnoteReference"/>
          <w:rFonts w:asciiTheme="majorBidi" w:hAnsiTheme="majorBidi" w:cstheme="majorBidi"/>
          <w:lang w:val="en-US"/>
        </w:rPr>
        <w:footnoteReference w:id="6"/>
      </w:r>
      <w:r w:rsidR="00BE2BA4" w:rsidRPr="008261BD">
        <w:rPr>
          <w:rFonts w:asciiTheme="majorBidi" w:hAnsiTheme="majorBidi" w:cstheme="majorBidi"/>
          <w:sz w:val="20"/>
          <w:szCs w:val="20"/>
          <w:lang w:val="en-US"/>
        </w:rPr>
        <w:t xml:space="preserve"> </w:t>
      </w:r>
      <w:proofErr w:type="spellStart"/>
      <w:r w:rsidR="00BE2BA4" w:rsidRPr="008261BD">
        <w:rPr>
          <w:rFonts w:asciiTheme="majorBidi" w:hAnsiTheme="majorBidi" w:cstheme="majorBidi"/>
          <w:sz w:val="20"/>
          <w:szCs w:val="20"/>
          <w:lang w:val="en-US"/>
        </w:rPr>
        <w:t>phorate</w:t>
      </w:r>
      <w:proofErr w:type="spellEnd"/>
      <w:r w:rsidR="00BE2BA4" w:rsidRPr="008261BD">
        <w:rPr>
          <w:rFonts w:asciiTheme="majorBidi" w:hAnsiTheme="majorBidi" w:cstheme="majorBidi"/>
          <w:sz w:val="20"/>
          <w:szCs w:val="20"/>
          <w:lang w:val="en-US"/>
        </w:rPr>
        <w:t>,</w:t>
      </w:r>
      <w:r w:rsidR="00BE2BA4" w:rsidRPr="008261BD">
        <w:rPr>
          <w:rStyle w:val="FootnoteReference"/>
          <w:rFonts w:asciiTheme="majorBidi" w:hAnsiTheme="majorBidi" w:cstheme="majorBidi"/>
          <w:lang w:val="en-US"/>
        </w:rPr>
        <w:footnoteReference w:id="7"/>
      </w:r>
      <w:r w:rsidR="00BE2BA4" w:rsidRPr="008261BD">
        <w:rPr>
          <w:rFonts w:asciiTheme="majorBidi" w:hAnsiTheme="majorBidi" w:cstheme="majorBidi"/>
          <w:sz w:val="20"/>
          <w:szCs w:val="20"/>
          <w:lang w:val="en-US"/>
        </w:rPr>
        <w:t xml:space="preserve"> </w:t>
      </w:r>
      <w:proofErr w:type="spellStart"/>
      <w:r w:rsidR="00BE2BA4" w:rsidRPr="008261BD">
        <w:rPr>
          <w:rFonts w:asciiTheme="majorBidi" w:hAnsiTheme="majorBidi" w:cstheme="majorBidi"/>
          <w:sz w:val="20"/>
          <w:szCs w:val="20"/>
          <w:lang w:val="en-US"/>
        </w:rPr>
        <w:t>carbosulfan</w:t>
      </w:r>
      <w:proofErr w:type="spellEnd"/>
      <w:r w:rsidR="00BE2BA4" w:rsidRPr="008261BD">
        <w:rPr>
          <w:rFonts w:asciiTheme="majorBidi" w:hAnsiTheme="majorBidi" w:cstheme="majorBidi"/>
          <w:sz w:val="20"/>
          <w:szCs w:val="20"/>
          <w:lang w:val="en-US"/>
        </w:rPr>
        <w:t>,</w:t>
      </w:r>
      <w:r w:rsidR="00BE2BA4" w:rsidRPr="008261BD">
        <w:rPr>
          <w:rStyle w:val="FootnoteReference"/>
          <w:rFonts w:asciiTheme="majorBidi" w:hAnsiTheme="majorBidi" w:cstheme="majorBidi"/>
          <w:lang w:val="en-US"/>
        </w:rPr>
        <w:footnoteReference w:id="8"/>
      </w:r>
      <w:r w:rsidR="00BE2BA4" w:rsidRPr="008261BD">
        <w:rPr>
          <w:rFonts w:asciiTheme="majorBidi" w:hAnsiTheme="majorBidi" w:cstheme="majorBidi"/>
          <w:sz w:val="20"/>
          <w:szCs w:val="20"/>
          <w:lang w:val="en-US"/>
        </w:rPr>
        <w:t xml:space="preserve"> chrysotile asbestos,</w:t>
      </w:r>
      <w:r w:rsidR="00BE2BA4" w:rsidRPr="008261BD">
        <w:rPr>
          <w:rStyle w:val="FootnoteReference"/>
          <w:rFonts w:asciiTheme="majorBidi" w:hAnsiTheme="majorBidi" w:cstheme="majorBidi"/>
          <w:lang w:val="en-US"/>
        </w:rPr>
        <w:footnoteReference w:id="9"/>
      </w:r>
      <w:r w:rsidR="00BE2BA4" w:rsidRPr="008261BD">
        <w:rPr>
          <w:rFonts w:asciiTheme="majorBidi" w:hAnsiTheme="majorBidi" w:cstheme="majorBidi"/>
          <w:sz w:val="20"/>
          <w:szCs w:val="20"/>
          <w:lang w:val="en-US"/>
        </w:rPr>
        <w:t xml:space="preserve"> fenthion (ultra-low-volume (ULV) formulations at or above 640g active ingredient/L),</w:t>
      </w:r>
      <w:r w:rsidR="00BE2BA4" w:rsidRPr="008261BD">
        <w:rPr>
          <w:rStyle w:val="FootnoteReference"/>
          <w:rFonts w:asciiTheme="majorBidi" w:hAnsiTheme="majorBidi" w:cstheme="majorBidi"/>
          <w:lang w:val="en-US"/>
        </w:rPr>
        <w:footnoteReference w:id="10"/>
      </w:r>
      <w:r w:rsidR="00BE2BA4" w:rsidRPr="008261BD">
        <w:rPr>
          <w:rFonts w:asciiTheme="majorBidi" w:hAnsiTheme="majorBidi" w:cstheme="majorBidi"/>
          <w:sz w:val="20"/>
          <w:szCs w:val="20"/>
          <w:lang w:val="en-US"/>
        </w:rPr>
        <w:t xml:space="preserve"> and liquid formulations (</w:t>
      </w:r>
      <w:proofErr w:type="spellStart"/>
      <w:r w:rsidR="00BE2BA4" w:rsidRPr="008261BD">
        <w:rPr>
          <w:rFonts w:asciiTheme="majorBidi" w:hAnsiTheme="majorBidi" w:cstheme="majorBidi"/>
          <w:sz w:val="20"/>
          <w:szCs w:val="20"/>
          <w:lang w:val="en-US"/>
        </w:rPr>
        <w:t>emulsifiable</w:t>
      </w:r>
      <w:proofErr w:type="spellEnd"/>
      <w:r w:rsidR="00BE2BA4" w:rsidRPr="008261BD">
        <w:rPr>
          <w:rFonts w:asciiTheme="majorBidi" w:hAnsiTheme="majorBidi" w:cstheme="majorBidi"/>
          <w:sz w:val="20"/>
          <w:szCs w:val="20"/>
          <w:lang w:val="en-US"/>
        </w:rPr>
        <w:t xml:space="preserve"> concentrate and soluble concentrate) containing paraquat dichloride at or above 276 g/L, corresponding to paraquat ion at or above 200 g/L</w:t>
      </w:r>
      <w:r w:rsidR="00326382">
        <w:rPr>
          <w:rFonts w:asciiTheme="majorBidi" w:hAnsiTheme="majorBidi" w:cstheme="majorBidi"/>
          <w:sz w:val="20"/>
          <w:szCs w:val="20"/>
          <w:lang w:val="en-US"/>
        </w:rPr>
        <w:t>;</w:t>
      </w:r>
      <w:r w:rsidR="00BE2BA4" w:rsidRPr="008261BD">
        <w:rPr>
          <w:rStyle w:val="FootnoteReference"/>
          <w:rFonts w:asciiTheme="majorBidi" w:hAnsiTheme="majorBidi" w:cstheme="majorBidi"/>
          <w:lang w:val="en-US"/>
        </w:rPr>
        <w:footnoteReference w:id="11"/>
      </w:r>
    </w:p>
    <w:p w14:paraId="28FFBD72" w14:textId="6E4ADD2C" w:rsidR="00BE2BA4" w:rsidRPr="008261BD" w:rsidRDefault="00A120F6" w:rsidP="00875B15">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b/>
          <w:bCs/>
          <w:snapToGrid w:val="0"/>
          <w:color w:val="000000"/>
          <w:sz w:val="24"/>
          <w:szCs w:val="24"/>
          <w:lang w:val="en-US"/>
        </w:rPr>
      </w:pPr>
      <w:r>
        <w:rPr>
          <w:rFonts w:asciiTheme="majorBidi" w:hAnsiTheme="majorBidi" w:cstheme="majorBidi"/>
          <w:sz w:val="20"/>
          <w:szCs w:val="20"/>
          <w:lang w:val="en-US"/>
        </w:rPr>
        <w:t xml:space="preserve">A </w:t>
      </w:r>
      <w:r w:rsidR="00BC1A6A">
        <w:rPr>
          <w:rFonts w:asciiTheme="majorBidi" w:hAnsiTheme="majorBidi" w:cstheme="majorBidi"/>
          <w:sz w:val="20"/>
          <w:szCs w:val="20"/>
          <w:lang w:val="en-US"/>
        </w:rPr>
        <w:t xml:space="preserve">range </w:t>
      </w:r>
      <w:r>
        <w:rPr>
          <w:rFonts w:asciiTheme="majorBidi" w:hAnsiTheme="majorBidi" w:cstheme="majorBidi"/>
          <w:sz w:val="20"/>
          <w:szCs w:val="20"/>
          <w:lang w:val="en-US"/>
        </w:rPr>
        <w:t>of r</w:t>
      </w:r>
      <w:r w:rsidRPr="00A120F6">
        <w:rPr>
          <w:rFonts w:asciiTheme="majorBidi" w:hAnsiTheme="majorBidi" w:cstheme="majorBidi"/>
          <w:sz w:val="20"/>
          <w:szCs w:val="20"/>
          <w:lang w:val="en-US"/>
        </w:rPr>
        <w:t xml:space="preserve">ecommendations to </w:t>
      </w:r>
      <w:r w:rsidRPr="004906C8">
        <w:rPr>
          <w:rFonts w:asciiTheme="majorBidi" w:hAnsiTheme="majorBidi" w:cstheme="majorBidi"/>
          <w:sz w:val="20"/>
          <w:szCs w:val="20"/>
          <w:lang w:val="en-US"/>
        </w:rPr>
        <w:t>enhance the effectiveness of the Rotterdam Convention</w:t>
      </w:r>
      <w:r>
        <w:rPr>
          <w:rStyle w:val="FootnoteReference"/>
          <w:rFonts w:cstheme="majorBidi"/>
          <w:lang w:val="en-US"/>
        </w:rPr>
        <w:footnoteReference w:id="12"/>
      </w:r>
      <w:r w:rsidRPr="004906C8">
        <w:rPr>
          <w:rFonts w:asciiTheme="majorBidi" w:hAnsiTheme="majorBidi" w:cstheme="majorBidi"/>
          <w:sz w:val="20"/>
          <w:szCs w:val="20"/>
          <w:lang w:val="en-US"/>
        </w:rPr>
        <w:t xml:space="preserve"> as well as </w:t>
      </w:r>
      <w:r w:rsidRPr="00A120F6">
        <w:rPr>
          <w:rFonts w:asciiTheme="majorBidi" w:hAnsiTheme="majorBidi" w:cstheme="majorBidi"/>
          <w:sz w:val="20"/>
          <w:szCs w:val="20"/>
          <w:lang w:val="en-US"/>
        </w:rPr>
        <w:t>p</w:t>
      </w:r>
      <w:r w:rsidR="00BE2BA4" w:rsidRPr="00A120F6">
        <w:rPr>
          <w:rFonts w:asciiTheme="majorBidi" w:hAnsiTheme="majorBidi" w:cstheme="majorBidi"/>
          <w:sz w:val="20"/>
          <w:szCs w:val="20"/>
          <w:lang w:val="en-US"/>
        </w:rPr>
        <w:t>roposal</w:t>
      </w:r>
      <w:r w:rsidR="006D0D91" w:rsidRPr="00A120F6">
        <w:rPr>
          <w:rFonts w:asciiTheme="majorBidi" w:hAnsiTheme="majorBidi" w:cstheme="majorBidi"/>
          <w:sz w:val="20"/>
          <w:szCs w:val="20"/>
          <w:lang w:val="en-US"/>
        </w:rPr>
        <w:t>s</w:t>
      </w:r>
      <w:r w:rsidR="00BE2BA4" w:rsidRPr="00A120F6">
        <w:rPr>
          <w:rFonts w:asciiTheme="majorBidi" w:hAnsiTheme="majorBidi" w:cstheme="majorBidi"/>
          <w:sz w:val="20"/>
          <w:szCs w:val="20"/>
          <w:lang w:val="en-US"/>
        </w:rPr>
        <w:t xml:space="preserve"> to amend Articles 16 and 22 of the </w:t>
      </w:r>
      <w:r w:rsidR="00BE2BA4" w:rsidRPr="00BC1A6A">
        <w:rPr>
          <w:rFonts w:asciiTheme="majorBidi" w:hAnsiTheme="majorBidi" w:cstheme="majorBidi"/>
          <w:sz w:val="20"/>
          <w:szCs w:val="20"/>
          <w:lang w:val="en-US"/>
        </w:rPr>
        <w:t xml:space="preserve">Convention, submitted </w:t>
      </w:r>
      <w:r w:rsidR="00C80BC3" w:rsidRPr="00BC1A6A">
        <w:rPr>
          <w:rFonts w:asciiTheme="majorBidi" w:hAnsiTheme="majorBidi" w:cstheme="majorBidi"/>
          <w:sz w:val="20"/>
          <w:szCs w:val="20"/>
          <w:lang w:val="en-US"/>
        </w:rPr>
        <w:t>on 11</w:t>
      </w:r>
      <w:r w:rsidR="003D09EA">
        <w:rPr>
          <w:rFonts w:asciiTheme="majorBidi" w:hAnsiTheme="majorBidi" w:cstheme="majorBidi"/>
          <w:sz w:val="20"/>
          <w:szCs w:val="20"/>
          <w:lang w:val="en-US"/>
        </w:rPr>
        <w:t> </w:t>
      </w:r>
      <w:r w:rsidR="00C80BC3" w:rsidRPr="00BC1A6A">
        <w:rPr>
          <w:rFonts w:asciiTheme="majorBidi" w:hAnsiTheme="majorBidi" w:cstheme="majorBidi"/>
          <w:sz w:val="20"/>
          <w:szCs w:val="20"/>
          <w:lang w:val="en-US"/>
        </w:rPr>
        <w:t xml:space="preserve">October 2016 </w:t>
      </w:r>
      <w:r w:rsidR="00BE2BA4" w:rsidRPr="00BC1A6A">
        <w:rPr>
          <w:rFonts w:asciiTheme="majorBidi" w:hAnsiTheme="majorBidi" w:cstheme="majorBidi"/>
          <w:sz w:val="20"/>
          <w:szCs w:val="20"/>
          <w:lang w:val="en-US"/>
        </w:rPr>
        <w:t>by Botswan</w:t>
      </w:r>
      <w:r w:rsidR="00BE2BA4" w:rsidRPr="008261BD">
        <w:rPr>
          <w:rFonts w:asciiTheme="majorBidi" w:hAnsiTheme="majorBidi" w:cstheme="majorBidi"/>
          <w:sz w:val="20"/>
          <w:szCs w:val="20"/>
          <w:lang w:val="en-US"/>
        </w:rPr>
        <w:t xml:space="preserve">a, Cameroon, Ghana, Kenya, Lesotho, Malawi, Mozambique, Namibia, Nigeria, South Africa, Swaziland, the United Republic of Tanzania, Zambia and Zimbabwe </w:t>
      </w:r>
      <w:r w:rsidR="00875B15" w:rsidRPr="00875B15">
        <w:rPr>
          <w:rFonts w:asciiTheme="majorBidi" w:hAnsiTheme="majorBidi" w:cstheme="majorBidi"/>
          <w:sz w:val="20"/>
          <w:szCs w:val="20"/>
          <w:lang w:val="en-US"/>
        </w:rPr>
        <w:t>in the case of Article 16, and by Botswana, Cameroon, Ghana, Kenya, Lesotho, Malawi, Mozambique, Namibia, Nigeria, Swaziland, the United Republic of Tanzania and Zambia in the case of Article 22</w:t>
      </w:r>
      <w:r w:rsidR="00BE2BA4" w:rsidRPr="008261BD">
        <w:rPr>
          <w:rFonts w:asciiTheme="majorBidi" w:hAnsiTheme="majorBidi" w:cstheme="majorBidi"/>
          <w:sz w:val="20"/>
          <w:szCs w:val="20"/>
          <w:lang w:val="en-US"/>
        </w:rPr>
        <w:t>, and discussed at the eighth meeting of the Conference of the Parties, but consideration of the agenda sub-item was not completed</w:t>
      </w:r>
      <w:r w:rsidR="006D0D91" w:rsidRPr="008261BD">
        <w:rPr>
          <w:rFonts w:asciiTheme="majorBidi" w:hAnsiTheme="majorBidi" w:cstheme="majorBidi"/>
          <w:sz w:val="20"/>
          <w:szCs w:val="20"/>
          <w:lang w:val="en-US"/>
        </w:rPr>
        <w:t>.</w:t>
      </w:r>
      <w:r w:rsidR="00BE2BA4" w:rsidRPr="008261BD">
        <w:rPr>
          <w:rStyle w:val="FootnoteReference"/>
          <w:rFonts w:asciiTheme="majorBidi" w:hAnsiTheme="majorBidi" w:cstheme="majorBidi"/>
        </w:rPr>
        <w:footnoteReference w:id="13"/>
      </w:r>
      <w:r w:rsidR="00BE2BA4" w:rsidRPr="008261BD">
        <w:rPr>
          <w:rFonts w:asciiTheme="majorBidi" w:hAnsiTheme="majorBidi" w:cstheme="majorBidi"/>
          <w:sz w:val="20"/>
          <w:szCs w:val="20"/>
          <w:lang w:val="en-US"/>
        </w:rPr>
        <w:t xml:space="preserve"> </w:t>
      </w:r>
      <w:r w:rsidR="006D0D91" w:rsidRPr="008261BD">
        <w:rPr>
          <w:rFonts w:asciiTheme="majorBidi" w:hAnsiTheme="majorBidi" w:cstheme="majorBidi"/>
          <w:sz w:val="20"/>
          <w:szCs w:val="20"/>
          <w:lang w:val="en-US"/>
        </w:rPr>
        <w:t>The proposals</w:t>
      </w:r>
      <w:r w:rsidR="00BE2BA4" w:rsidRPr="008261BD">
        <w:rPr>
          <w:rFonts w:asciiTheme="majorBidi" w:hAnsiTheme="majorBidi" w:cstheme="majorBidi"/>
          <w:sz w:val="20"/>
          <w:szCs w:val="20"/>
          <w:lang w:val="en-US"/>
        </w:rPr>
        <w:t xml:space="preserve"> provide for</w:t>
      </w:r>
      <w:r w:rsidR="00875B15">
        <w:rPr>
          <w:rFonts w:asciiTheme="majorBidi" w:hAnsiTheme="majorBidi" w:cstheme="majorBidi"/>
          <w:sz w:val="20"/>
          <w:szCs w:val="20"/>
          <w:lang w:val="en-US"/>
        </w:rPr>
        <w:t>, respectively,</w:t>
      </w:r>
      <w:r w:rsidR="00BE2BA4" w:rsidRPr="008261BD">
        <w:rPr>
          <w:rFonts w:asciiTheme="majorBidi" w:hAnsiTheme="majorBidi" w:cstheme="majorBidi"/>
          <w:sz w:val="20"/>
          <w:szCs w:val="20"/>
          <w:lang w:val="en-US"/>
        </w:rPr>
        <w:t xml:space="preserve"> the possibility to list new substances in </w:t>
      </w:r>
      <w:r w:rsidR="003D09EA">
        <w:rPr>
          <w:rFonts w:asciiTheme="majorBidi" w:hAnsiTheme="majorBidi" w:cstheme="majorBidi"/>
          <w:sz w:val="20"/>
          <w:szCs w:val="20"/>
          <w:lang w:val="en-US"/>
        </w:rPr>
        <w:t>A</w:t>
      </w:r>
      <w:r w:rsidR="00BE2BA4" w:rsidRPr="008261BD">
        <w:rPr>
          <w:rFonts w:asciiTheme="majorBidi" w:hAnsiTheme="majorBidi" w:cstheme="majorBidi"/>
          <w:sz w:val="20"/>
          <w:szCs w:val="20"/>
          <w:lang w:val="en-US"/>
        </w:rPr>
        <w:t xml:space="preserve">nnex III by </w:t>
      </w:r>
      <w:r w:rsidR="006D0D91" w:rsidRPr="008261BD">
        <w:rPr>
          <w:rFonts w:asciiTheme="majorBidi" w:hAnsiTheme="majorBidi" w:cstheme="majorBidi"/>
          <w:sz w:val="20"/>
          <w:szCs w:val="20"/>
          <w:lang w:val="en-US"/>
        </w:rPr>
        <w:t xml:space="preserve">a </w:t>
      </w:r>
      <w:r w:rsidR="00BE2BA4" w:rsidRPr="008261BD">
        <w:rPr>
          <w:rFonts w:asciiTheme="majorBidi" w:hAnsiTheme="majorBidi" w:cstheme="majorBidi"/>
          <w:sz w:val="20"/>
          <w:szCs w:val="20"/>
          <w:lang w:val="en-US"/>
        </w:rPr>
        <w:t>three-fourth majority vote of the Parties present and voting at the meeting, if all efforts at consensus have been exhausted</w:t>
      </w:r>
      <w:r w:rsidR="00FE460B">
        <w:rPr>
          <w:rFonts w:asciiTheme="majorBidi" w:hAnsiTheme="majorBidi" w:cstheme="majorBidi"/>
          <w:sz w:val="20"/>
          <w:szCs w:val="20"/>
          <w:lang w:val="en-US"/>
        </w:rPr>
        <w:t>,</w:t>
      </w:r>
      <w:r w:rsidR="00F33AEE">
        <w:rPr>
          <w:rFonts w:asciiTheme="majorBidi" w:hAnsiTheme="majorBidi" w:cstheme="majorBidi"/>
          <w:sz w:val="20"/>
          <w:szCs w:val="20"/>
          <w:lang w:val="en-US"/>
        </w:rPr>
        <w:t xml:space="preserve"> </w:t>
      </w:r>
      <w:r w:rsidR="00F33AEE" w:rsidRPr="00145872">
        <w:rPr>
          <w:rFonts w:asciiTheme="majorBidi" w:hAnsiTheme="majorBidi" w:cstheme="majorBidi"/>
          <w:sz w:val="20"/>
          <w:szCs w:val="20"/>
          <w:lang w:val="en-US"/>
        </w:rPr>
        <w:t xml:space="preserve">and the provision of </w:t>
      </w:r>
      <w:r w:rsidR="00F33AEE">
        <w:rPr>
          <w:rFonts w:asciiTheme="majorBidi" w:hAnsiTheme="majorBidi" w:cstheme="majorBidi"/>
          <w:sz w:val="20"/>
          <w:szCs w:val="20"/>
          <w:lang w:val="en-US"/>
        </w:rPr>
        <w:t xml:space="preserve">technical and financial assistance through the Global Environment Facility so as to enable eligible Parties to </w:t>
      </w:r>
      <w:r w:rsidR="00F33AEE" w:rsidRPr="00F57F16">
        <w:rPr>
          <w:rFonts w:asciiTheme="majorBidi" w:hAnsiTheme="majorBidi" w:cstheme="majorBidi"/>
          <w:sz w:val="20"/>
          <w:szCs w:val="20"/>
          <w:lang w:val="en-US"/>
        </w:rPr>
        <w:t>take informed decisions to list chemicals</w:t>
      </w:r>
      <w:r w:rsidR="00326382">
        <w:rPr>
          <w:rFonts w:asciiTheme="majorBidi" w:hAnsiTheme="majorBidi" w:cstheme="majorBidi"/>
          <w:sz w:val="20"/>
          <w:szCs w:val="20"/>
          <w:lang w:val="en-US"/>
        </w:rPr>
        <w:t>;</w:t>
      </w:r>
      <w:r w:rsidR="00EB2EE6" w:rsidRPr="008261BD">
        <w:rPr>
          <w:rStyle w:val="FootnoteReference"/>
          <w:rFonts w:asciiTheme="majorBidi" w:hAnsiTheme="majorBidi" w:cstheme="majorBidi"/>
        </w:rPr>
        <w:footnoteReference w:id="14"/>
      </w:r>
    </w:p>
    <w:p w14:paraId="761380DF" w14:textId="4913CC22" w:rsidR="00BE2BA4" w:rsidRPr="008261BD" w:rsidRDefault="006661A2" w:rsidP="00BE2BA4">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b/>
          <w:bCs/>
          <w:snapToGrid w:val="0"/>
          <w:color w:val="000000"/>
          <w:sz w:val="24"/>
          <w:szCs w:val="24"/>
          <w:lang w:val="en-US"/>
        </w:rPr>
      </w:pPr>
      <w:r w:rsidRPr="008261BD">
        <w:rPr>
          <w:rFonts w:asciiTheme="majorBidi" w:hAnsiTheme="majorBidi" w:cstheme="majorBidi"/>
          <w:sz w:val="20"/>
          <w:szCs w:val="20"/>
          <w:lang w:val="en-US"/>
        </w:rPr>
        <w:t>A</w:t>
      </w:r>
      <w:r w:rsidR="00BE2BA4" w:rsidRPr="008261BD">
        <w:rPr>
          <w:rFonts w:asciiTheme="majorBidi" w:hAnsiTheme="majorBidi" w:cstheme="majorBidi"/>
          <w:sz w:val="20"/>
          <w:szCs w:val="20"/>
          <w:lang w:val="en-US"/>
        </w:rPr>
        <w:t xml:space="preserve"> proposal for </w:t>
      </w:r>
      <w:r w:rsidR="006D0D91" w:rsidRPr="008261BD">
        <w:rPr>
          <w:rFonts w:asciiTheme="majorBidi" w:hAnsiTheme="majorBidi" w:cstheme="majorBidi"/>
          <w:sz w:val="20"/>
          <w:szCs w:val="20"/>
          <w:lang w:val="en-US"/>
        </w:rPr>
        <w:t xml:space="preserve">the </w:t>
      </w:r>
      <w:r w:rsidR="00BE2BA4" w:rsidRPr="008261BD">
        <w:rPr>
          <w:rFonts w:asciiTheme="majorBidi" w:hAnsiTheme="majorBidi" w:cstheme="majorBidi"/>
          <w:sz w:val="20"/>
          <w:szCs w:val="20"/>
          <w:lang w:val="en-US"/>
        </w:rPr>
        <w:t xml:space="preserve">adoption of a new </w:t>
      </w:r>
      <w:r w:rsidR="006D0D91" w:rsidRPr="008261BD">
        <w:rPr>
          <w:rFonts w:asciiTheme="majorBidi" w:hAnsiTheme="majorBidi" w:cstheme="majorBidi"/>
          <w:sz w:val="20"/>
          <w:szCs w:val="20"/>
          <w:lang w:val="en-US"/>
        </w:rPr>
        <w:t>a</w:t>
      </w:r>
      <w:r w:rsidR="00BE2BA4" w:rsidRPr="008261BD">
        <w:rPr>
          <w:rFonts w:asciiTheme="majorBidi" w:hAnsiTheme="majorBidi" w:cstheme="majorBidi"/>
          <w:sz w:val="20"/>
          <w:szCs w:val="20"/>
          <w:lang w:val="en-US"/>
        </w:rPr>
        <w:t>nnex to the Convention entitled “Procedures and mechanisms on compliance with the Rotterdam Convention”, submitted by Canada, Colombia, Costa Rica, Ghana, Jordan, Mali, Nigeria, Peru, Switzerland, Thailand, the United Republic of Tanzania and Zambia on 22 October 2018</w:t>
      </w:r>
      <w:r w:rsidR="00F33AEE">
        <w:rPr>
          <w:rFonts w:asciiTheme="majorBidi" w:hAnsiTheme="majorBidi" w:cstheme="majorBidi"/>
          <w:sz w:val="20"/>
          <w:szCs w:val="20"/>
          <w:lang w:val="en-US"/>
        </w:rPr>
        <w:t xml:space="preserve"> and subsequently co-sponsored by the European Union and its member States</w:t>
      </w:r>
      <w:r w:rsidR="00BE2BA4" w:rsidRPr="008261BD">
        <w:rPr>
          <w:rFonts w:asciiTheme="majorBidi" w:hAnsiTheme="majorBidi" w:cstheme="majorBidi"/>
          <w:sz w:val="20"/>
          <w:szCs w:val="20"/>
          <w:lang w:val="en-US"/>
        </w:rPr>
        <w:t xml:space="preserve">, which provides for the adoption of a facilitative compliance mechanism in a new </w:t>
      </w:r>
      <w:r w:rsidR="006D0D91" w:rsidRPr="008261BD">
        <w:rPr>
          <w:rFonts w:asciiTheme="majorBidi" w:hAnsiTheme="majorBidi" w:cstheme="majorBidi"/>
          <w:sz w:val="20"/>
          <w:szCs w:val="20"/>
          <w:lang w:val="en-US"/>
        </w:rPr>
        <w:t>A</w:t>
      </w:r>
      <w:r w:rsidR="00BE2BA4" w:rsidRPr="008261BD">
        <w:rPr>
          <w:rFonts w:asciiTheme="majorBidi" w:hAnsiTheme="majorBidi" w:cstheme="majorBidi"/>
          <w:sz w:val="20"/>
          <w:szCs w:val="20"/>
          <w:lang w:val="en-US"/>
        </w:rPr>
        <w:t>nnex</w:t>
      </w:r>
      <w:r w:rsidR="006D0D91" w:rsidRPr="008261BD">
        <w:rPr>
          <w:rFonts w:asciiTheme="majorBidi" w:hAnsiTheme="majorBidi" w:cstheme="majorBidi"/>
          <w:sz w:val="20"/>
          <w:szCs w:val="20"/>
          <w:lang w:val="en-US"/>
        </w:rPr>
        <w:t xml:space="preserve"> VII</w:t>
      </w:r>
      <w:r w:rsidR="00BE2BA4" w:rsidRPr="008261BD">
        <w:rPr>
          <w:rFonts w:asciiTheme="majorBidi" w:hAnsiTheme="majorBidi" w:cstheme="majorBidi"/>
          <w:sz w:val="20"/>
          <w:szCs w:val="20"/>
          <w:lang w:val="en-US"/>
        </w:rPr>
        <w:t xml:space="preserve"> to the </w:t>
      </w:r>
      <w:r w:rsidR="006D0D91" w:rsidRPr="008261BD">
        <w:rPr>
          <w:rFonts w:asciiTheme="majorBidi" w:hAnsiTheme="majorBidi" w:cstheme="majorBidi"/>
          <w:sz w:val="20"/>
          <w:szCs w:val="20"/>
          <w:lang w:val="en-US"/>
        </w:rPr>
        <w:t>C</w:t>
      </w:r>
      <w:r w:rsidR="00BE2BA4" w:rsidRPr="008261BD">
        <w:rPr>
          <w:rFonts w:asciiTheme="majorBidi" w:hAnsiTheme="majorBidi" w:cstheme="majorBidi"/>
          <w:sz w:val="20"/>
          <w:szCs w:val="20"/>
          <w:lang w:val="en-US"/>
        </w:rPr>
        <w:t>onvention.</w:t>
      </w:r>
      <w:r w:rsidR="006D0D91" w:rsidRPr="008261BD">
        <w:rPr>
          <w:rStyle w:val="FootnoteReference"/>
          <w:rFonts w:asciiTheme="majorBidi" w:hAnsiTheme="majorBidi" w:cstheme="majorBidi"/>
        </w:rPr>
        <w:footnoteReference w:id="15"/>
      </w:r>
    </w:p>
    <w:p w14:paraId="6543EFA2" w14:textId="77777777" w:rsidR="002A6A49" w:rsidRPr="008261BD" w:rsidRDefault="002A6A49" w:rsidP="002A6A49">
      <w:pPr>
        <w:numPr>
          <w:ilvl w:val="0"/>
          <w:numId w:val="1"/>
        </w:numPr>
        <w:tabs>
          <w:tab w:val="left" w:pos="1276"/>
          <w:tab w:val="left" w:pos="1814"/>
          <w:tab w:val="left" w:pos="2381"/>
          <w:tab w:val="left" w:pos="2948"/>
          <w:tab w:val="left" w:pos="3515"/>
        </w:tabs>
        <w:spacing w:after="120" w:line="240" w:lineRule="auto"/>
        <w:ind w:left="1276" w:firstLine="0"/>
        <w:rPr>
          <w:rFonts w:asciiTheme="majorBidi" w:hAnsiTheme="majorBidi" w:cstheme="majorBidi"/>
          <w:b/>
          <w:bCs/>
          <w:snapToGrid w:val="0"/>
          <w:color w:val="000000"/>
          <w:sz w:val="24"/>
          <w:szCs w:val="24"/>
          <w:lang w:val="en-US"/>
        </w:rPr>
      </w:pPr>
      <w:r w:rsidRPr="008261BD">
        <w:rPr>
          <w:rFonts w:asciiTheme="majorBidi" w:hAnsiTheme="majorBidi" w:cstheme="majorBidi"/>
          <w:sz w:val="20"/>
          <w:szCs w:val="20"/>
          <w:lang w:val="en-US"/>
        </w:rPr>
        <w:t xml:space="preserve">The </w:t>
      </w:r>
      <w:r w:rsidR="00E31359">
        <w:rPr>
          <w:rFonts w:asciiTheme="majorBidi" w:hAnsiTheme="majorBidi" w:cstheme="majorBidi"/>
          <w:sz w:val="20"/>
          <w:szCs w:val="20"/>
          <w:lang w:val="en-US"/>
        </w:rPr>
        <w:t xml:space="preserve">ninth </w:t>
      </w:r>
      <w:r w:rsidRPr="008261BD">
        <w:rPr>
          <w:rFonts w:asciiTheme="majorBidi" w:hAnsiTheme="majorBidi" w:cstheme="majorBidi"/>
          <w:sz w:val="20"/>
          <w:szCs w:val="20"/>
          <w:lang w:val="en-US"/>
        </w:rPr>
        <w:t>Conference of the Parties to the Stockholm Convention will</w:t>
      </w:r>
      <w:r w:rsidR="00E31359">
        <w:rPr>
          <w:rFonts w:asciiTheme="majorBidi" w:hAnsiTheme="majorBidi" w:cstheme="majorBidi"/>
          <w:sz w:val="20"/>
          <w:szCs w:val="20"/>
          <w:lang w:val="en-US"/>
        </w:rPr>
        <w:t xml:space="preserve">, among other things, </w:t>
      </w:r>
      <w:r w:rsidR="006D0D91" w:rsidRPr="008261BD">
        <w:rPr>
          <w:rFonts w:asciiTheme="majorBidi" w:hAnsiTheme="majorBidi" w:cstheme="majorBidi"/>
          <w:sz w:val="20"/>
          <w:szCs w:val="20"/>
          <w:lang w:val="en-US"/>
        </w:rPr>
        <w:t>consider</w:t>
      </w:r>
      <w:r w:rsidRPr="008261BD">
        <w:rPr>
          <w:rFonts w:asciiTheme="majorBidi" w:hAnsiTheme="majorBidi" w:cstheme="majorBidi"/>
          <w:sz w:val="20"/>
          <w:szCs w:val="20"/>
          <w:lang w:val="en-US"/>
        </w:rPr>
        <w:t>:</w:t>
      </w:r>
    </w:p>
    <w:p w14:paraId="7A4D072B" w14:textId="38BB0B96" w:rsidR="00BE2BA4" w:rsidRPr="004906C8" w:rsidRDefault="006D0D91" w:rsidP="00BE2BA4">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b/>
          <w:bCs/>
          <w:snapToGrid w:val="0"/>
          <w:color w:val="000000"/>
          <w:sz w:val="24"/>
          <w:szCs w:val="24"/>
          <w:lang w:val="en-US"/>
        </w:rPr>
      </w:pPr>
      <w:r w:rsidRPr="008261BD">
        <w:rPr>
          <w:rFonts w:asciiTheme="majorBidi" w:hAnsiTheme="majorBidi" w:cstheme="majorBidi"/>
          <w:sz w:val="20"/>
          <w:szCs w:val="20"/>
          <w:lang w:val="en-US"/>
        </w:rPr>
        <w:t>T</w:t>
      </w:r>
      <w:r w:rsidR="00BE2BA4" w:rsidRPr="008261BD">
        <w:rPr>
          <w:rFonts w:asciiTheme="majorBidi" w:hAnsiTheme="majorBidi" w:cstheme="majorBidi"/>
          <w:sz w:val="20"/>
          <w:szCs w:val="20"/>
          <w:lang w:val="en-US"/>
        </w:rPr>
        <w:t>he inclusion of dicofol in Annex A to the Convention</w:t>
      </w:r>
      <w:r w:rsidRPr="008261BD">
        <w:rPr>
          <w:rFonts w:asciiTheme="majorBidi" w:hAnsiTheme="majorBidi" w:cstheme="majorBidi"/>
          <w:sz w:val="20"/>
          <w:szCs w:val="20"/>
          <w:lang w:val="en-US"/>
        </w:rPr>
        <w:t>,</w:t>
      </w:r>
      <w:r w:rsidR="00BE2BA4" w:rsidRPr="008261BD">
        <w:rPr>
          <w:rStyle w:val="FootnoteReference"/>
          <w:rFonts w:asciiTheme="majorBidi" w:hAnsiTheme="majorBidi" w:cstheme="majorBidi"/>
          <w:lang w:val="en-US"/>
        </w:rPr>
        <w:footnoteReference w:id="16"/>
      </w:r>
      <w:r w:rsidR="00BE2BA4" w:rsidRPr="008261BD">
        <w:rPr>
          <w:rFonts w:asciiTheme="majorBidi" w:hAnsiTheme="majorBidi" w:cstheme="majorBidi"/>
          <w:sz w:val="20"/>
          <w:szCs w:val="20"/>
          <w:lang w:val="en-US"/>
        </w:rPr>
        <w:t xml:space="preserve"> </w:t>
      </w:r>
      <w:r w:rsidRPr="008261BD">
        <w:rPr>
          <w:rFonts w:asciiTheme="majorBidi" w:hAnsiTheme="majorBidi" w:cstheme="majorBidi"/>
          <w:sz w:val="20"/>
          <w:szCs w:val="20"/>
          <w:lang w:val="en-US"/>
        </w:rPr>
        <w:t xml:space="preserve">and </w:t>
      </w:r>
      <w:r w:rsidR="00803956" w:rsidRPr="008261BD">
        <w:rPr>
          <w:rFonts w:asciiTheme="majorBidi" w:hAnsiTheme="majorBidi" w:cstheme="majorBidi"/>
          <w:sz w:val="20"/>
          <w:szCs w:val="20"/>
          <w:lang w:val="en-US"/>
        </w:rPr>
        <w:t>perfluorooctanoic acid (</w:t>
      </w:r>
      <w:r w:rsidR="00BE2BA4" w:rsidRPr="008261BD">
        <w:rPr>
          <w:rFonts w:asciiTheme="majorBidi" w:hAnsiTheme="majorBidi" w:cstheme="majorBidi"/>
          <w:sz w:val="20"/>
          <w:szCs w:val="20"/>
          <w:lang w:val="en-US"/>
        </w:rPr>
        <w:t>PFOA</w:t>
      </w:r>
      <w:r w:rsidR="00803956" w:rsidRPr="008261BD">
        <w:rPr>
          <w:rFonts w:asciiTheme="majorBidi" w:hAnsiTheme="majorBidi" w:cstheme="majorBidi"/>
          <w:sz w:val="20"/>
          <w:szCs w:val="20"/>
          <w:lang w:val="en-US"/>
        </w:rPr>
        <w:t>)</w:t>
      </w:r>
      <w:r w:rsidR="00BE2BA4" w:rsidRPr="008261BD">
        <w:rPr>
          <w:rFonts w:asciiTheme="majorBidi" w:hAnsiTheme="majorBidi" w:cstheme="majorBidi"/>
          <w:sz w:val="20"/>
          <w:szCs w:val="20"/>
          <w:lang w:val="en-US"/>
        </w:rPr>
        <w:t>, its salts and PFOA-related compounds in Annex A to the Convention</w:t>
      </w:r>
      <w:r w:rsidR="00326382">
        <w:rPr>
          <w:rFonts w:asciiTheme="majorBidi" w:hAnsiTheme="majorBidi" w:cstheme="majorBidi"/>
          <w:sz w:val="20"/>
          <w:szCs w:val="20"/>
          <w:lang w:val="en-US"/>
        </w:rPr>
        <w:t>;</w:t>
      </w:r>
      <w:r w:rsidR="00BE2BA4" w:rsidRPr="008261BD">
        <w:rPr>
          <w:rStyle w:val="FootnoteReference"/>
          <w:rFonts w:asciiTheme="majorBidi" w:hAnsiTheme="majorBidi" w:cstheme="majorBidi"/>
          <w:lang w:val="en-US"/>
        </w:rPr>
        <w:footnoteReference w:id="17"/>
      </w:r>
    </w:p>
    <w:p w14:paraId="022A51BC" w14:textId="4293DEFD" w:rsidR="00326382" w:rsidRPr="00344C91" w:rsidRDefault="00326382" w:rsidP="00BE2BA4">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b/>
          <w:bCs/>
          <w:snapToGrid w:val="0"/>
          <w:color w:val="000000"/>
          <w:sz w:val="24"/>
          <w:szCs w:val="24"/>
          <w:lang w:val="en-US"/>
        </w:rPr>
      </w:pPr>
      <w:r w:rsidRPr="004906C8">
        <w:rPr>
          <w:rFonts w:asciiTheme="majorBidi" w:hAnsiTheme="majorBidi" w:cstheme="majorBidi"/>
          <w:bCs/>
          <w:snapToGrid w:val="0"/>
          <w:sz w:val="20"/>
          <w:szCs w:val="24"/>
          <w:lang w:val="en-US"/>
        </w:rPr>
        <w:t xml:space="preserve">Amendments of the </w:t>
      </w:r>
      <w:proofErr w:type="spellStart"/>
      <w:r w:rsidRPr="004906C8">
        <w:rPr>
          <w:rFonts w:asciiTheme="majorBidi" w:hAnsiTheme="majorBidi" w:cstheme="majorBidi"/>
          <w:bCs/>
          <w:snapToGrid w:val="0"/>
          <w:sz w:val="20"/>
          <w:szCs w:val="24"/>
          <w:lang w:val="en-US"/>
        </w:rPr>
        <w:t>perfluorooctane</w:t>
      </w:r>
      <w:proofErr w:type="spellEnd"/>
      <w:r w:rsidRPr="004906C8">
        <w:rPr>
          <w:rFonts w:asciiTheme="majorBidi" w:hAnsiTheme="majorBidi" w:cstheme="majorBidi"/>
          <w:bCs/>
          <w:snapToGrid w:val="0"/>
          <w:sz w:val="20"/>
          <w:szCs w:val="24"/>
          <w:lang w:val="en-US"/>
        </w:rPr>
        <w:t xml:space="preserve"> </w:t>
      </w:r>
      <w:proofErr w:type="spellStart"/>
      <w:r w:rsidRPr="004906C8">
        <w:rPr>
          <w:rFonts w:asciiTheme="majorBidi" w:hAnsiTheme="majorBidi" w:cstheme="majorBidi"/>
          <w:bCs/>
          <w:snapToGrid w:val="0"/>
          <w:sz w:val="20"/>
          <w:szCs w:val="24"/>
          <w:lang w:val="en-US"/>
        </w:rPr>
        <w:t>sufonic</w:t>
      </w:r>
      <w:proofErr w:type="spellEnd"/>
      <w:r w:rsidRPr="004906C8">
        <w:rPr>
          <w:rFonts w:asciiTheme="majorBidi" w:hAnsiTheme="majorBidi" w:cstheme="majorBidi"/>
          <w:bCs/>
          <w:snapToGrid w:val="0"/>
          <w:sz w:val="20"/>
          <w:szCs w:val="24"/>
          <w:lang w:val="en-US"/>
        </w:rPr>
        <w:t xml:space="preserve"> acid (P</w:t>
      </w:r>
      <w:r w:rsidR="00BC0DA9" w:rsidRPr="004906C8">
        <w:rPr>
          <w:rFonts w:asciiTheme="majorBidi" w:hAnsiTheme="majorBidi" w:cstheme="majorBidi"/>
          <w:bCs/>
          <w:snapToGrid w:val="0"/>
          <w:sz w:val="20"/>
          <w:szCs w:val="24"/>
          <w:lang w:val="en-US"/>
        </w:rPr>
        <w:t xml:space="preserve">FOS), its salts and </w:t>
      </w:r>
      <w:proofErr w:type="spellStart"/>
      <w:r w:rsidR="00BC0DA9" w:rsidRPr="004906C8">
        <w:rPr>
          <w:rFonts w:asciiTheme="majorBidi" w:hAnsiTheme="majorBidi" w:cstheme="majorBidi"/>
          <w:bCs/>
          <w:snapToGrid w:val="0"/>
          <w:sz w:val="20"/>
          <w:szCs w:val="24"/>
          <w:lang w:val="en-US"/>
        </w:rPr>
        <w:t>perfluorooctane</w:t>
      </w:r>
      <w:proofErr w:type="spellEnd"/>
      <w:r w:rsidR="00BC0DA9" w:rsidRPr="004906C8">
        <w:rPr>
          <w:rFonts w:asciiTheme="majorBidi" w:hAnsiTheme="majorBidi" w:cstheme="majorBidi"/>
          <w:bCs/>
          <w:snapToGrid w:val="0"/>
          <w:sz w:val="20"/>
          <w:szCs w:val="24"/>
          <w:lang w:val="en-US"/>
        </w:rPr>
        <w:t xml:space="preserve"> sulfonyl fluoride (PFOSF) entry in Annex B to the Convention that were recommended by the Persistent Organic Pollutants Review Committee;</w:t>
      </w:r>
    </w:p>
    <w:p w14:paraId="7818FD58" w14:textId="7AB84AA3" w:rsidR="00BE2BA4" w:rsidRPr="00F33AEE" w:rsidRDefault="006D0D91" w:rsidP="00BE2BA4">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b/>
          <w:bCs/>
          <w:snapToGrid w:val="0"/>
          <w:color w:val="000000"/>
          <w:sz w:val="24"/>
          <w:szCs w:val="24"/>
          <w:lang w:val="en-US"/>
        </w:rPr>
      </w:pPr>
      <w:r w:rsidRPr="008261BD">
        <w:rPr>
          <w:rFonts w:asciiTheme="majorBidi" w:hAnsiTheme="majorBidi" w:cstheme="majorBidi"/>
          <w:sz w:val="20"/>
          <w:szCs w:val="20"/>
          <w:lang w:val="en-US"/>
        </w:rPr>
        <w:t>T</w:t>
      </w:r>
      <w:r w:rsidR="00BE2BA4" w:rsidRPr="008261BD">
        <w:rPr>
          <w:rFonts w:asciiTheme="majorBidi" w:hAnsiTheme="majorBidi" w:cstheme="majorBidi"/>
          <w:sz w:val="20"/>
          <w:szCs w:val="20"/>
          <w:lang w:val="en-US"/>
        </w:rPr>
        <w:t>he revised framework for effectiveness evaluation prepared by the Secretariat</w:t>
      </w:r>
      <w:r w:rsidR="00BC0DA9">
        <w:rPr>
          <w:rFonts w:asciiTheme="majorBidi" w:hAnsiTheme="majorBidi" w:cstheme="majorBidi"/>
          <w:sz w:val="20"/>
          <w:szCs w:val="20"/>
          <w:lang w:val="en-US"/>
        </w:rPr>
        <w:t>;</w:t>
      </w:r>
      <w:r w:rsidR="00BE2BA4" w:rsidRPr="008261BD">
        <w:rPr>
          <w:rStyle w:val="FootnoteReference"/>
          <w:rFonts w:asciiTheme="majorBidi" w:hAnsiTheme="majorBidi" w:cstheme="majorBidi"/>
          <w:lang w:val="en-US"/>
        </w:rPr>
        <w:footnoteReference w:id="18"/>
      </w:r>
    </w:p>
    <w:p w14:paraId="200730A6" w14:textId="36471BE1" w:rsidR="00F33AEE" w:rsidRPr="00FB1B0B" w:rsidRDefault="00F33AEE" w:rsidP="00BE2BA4">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snapToGrid w:val="0"/>
          <w:color w:val="000000"/>
          <w:sz w:val="20"/>
          <w:szCs w:val="20"/>
          <w:lang w:val="en-US"/>
        </w:rPr>
      </w:pPr>
      <w:r w:rsidRPr="00FB1B0B">
        <w:rPr>
          <w:rFonts w:asciiTheme="majorBidi" w:hAnsiTheme="majorBidi" w:cstheme="majorBidi"/>
          <w:snapToGrid w:val="0"/>
          <w:color w:val="000000"/>
          <w:sz w:val="20"/>
          <w:szCs w:val="20"/>
          <w:lang w:val="en-US"/>
        </w:rPr>
        <w:lastRenderedPageBreak/>
        <w:t xml:space="preserve">A proposal to amend </w:t>
      </w:r>
      <w:r w:rsidR="00351D27" w:rsidRPr="00FB1B0B">
        <w:rPr>
          <w:rFonts w:asciiTheme="majorBidi" w:hAnsiTheme="majorBidi" w:cstheme="majorBidi"/>
          <w:snapToGrid w:val="0"/>
          <w:color w:val="000000"/>
          <w:sz w:val="20"/>
          <w:szCs w:val="20"/>
          <w:lang w:val="en-US"/>
        </w:rPr>
        <w:t>A</w:t>
      </w:r>
      <w:r w:rsidRPr="00FB1B0B">
        <w:rPr>
          <w:rFonts w:asciiTheme="majorBidi" w:hAnsiTheme="majorBidi" w:cstheme="majorBidi"/>
          <w:snapToGrid w:val="0"/>
          <w:color w:val="000000"/>
          <w:sz w:val="20"/>
          <w:szCs w:val="20"/>
          <w:lang w:val="en-US"/>
        </w:rPr>
        <w:t>rticle 8 and Annex D to the Stockholm Convention</w:t>
      </w:r>
      <w:r w:rsidR="00E1394F" w:rsidRPr="00FB1B0B">
        <w:rPr>
          <w:rFonts w:asciiTheme="majorBidi" w:hAnsiTheme="majorBidi" w:cstheme="majorBidi"/>
          <w:snapToGrid w:val="0"/>
          <w:color w:val="000000"/>
          <w:sz w:val="20"/>
          <w:szCs w:val="20"/>
          <w:lang w:val="en-US"/>
        </w:rPr>
        <w:t>, submitted by the Russian Federation on 26 October 2018.</w:t>
      </w:r>
      <w:r w:rsidR="00E1394F" w:rsidRPr="00FB1B0B">
        <w:rPr>
          <w:rStyle w:val="FootnoteReference"/>
          <w:rFonts w:cstheme="majorBidi"/>
          <w:snapToGrid w:val="0"/>
          <w:lang w:val="en-US"/>
        </w:rPr>
        <w:footnoteReference w:id="19"/>
      </w:r>
    </w:p>
    <w:p w14:paraId="71BC1B91" w14:textId="77777777" w:rsidR="00BE2BA4" w:rsidRPr="008261BD" w:rsidRDefault="00BE2BA4" w:rsidP="00D63870">
      <w:pPr>
        <w:pStyle w:val="ListParagraph"/>
        <w:keepNext/>
        <w:numPr>
          <w:ilvl w:val="0"/>
          <w:numId w:val="5"/>
        </w:numPr>
        <w:tabs>
          <w:tab w:val="left" w:pos="1276"/>
          <w:tab w:val="left" w:pos="2381"/>
          <w:tab w:val="left" w:pos="2948"/>
          <w:tab w:val="left" w:pos="3515"/>
        </w:tabs>
        <w:spacing w:after="120" w:line="240" w:lineRule="auto"/>
        <w:ind w:left="1268" w:hanging="706"/>
        <w:contextualSpacing w:val="0"/>
        <w:rPr>
          <w:rFonts w:asciiTheme="majorBidi" w:hAnsiTheme="majorBidi" w:cstheme="majorBidi"/>
          <w:b/>
          <w:bCs/>
          <w:snapToGrid w:val="0"/>
          <w:color w:val="000000"/>
          <w:sz w:val="24"/>
          <w:szCs w:val="24"/>
          <w:lang w:val="en-US"/>
        </w:rPr>
      </w:pPr>
      <w:r w:rsidRPr="008261BD">
        <w:rPr>
          <w:rFonts w:asciiTheme="majorBidi" w:hAnsiTheme="majorBidi" w:cstheme="majorBidi"/>
          <w:b/>
          <w:bCs/>
          <w:snapToGrid w:val="0"/>
          <w:color w:val="000000"/>
          <w:sz w:val="24"/>
          <w:szCs w:val="24"/>
          <w:lang w:val="en-US"/>
        </w:rPr>
        <w:t>Progress in the implementation of resolution 3/6 on managing soil pollution to achieve sustainable development</w:t>
      </w:r>
    </w:p>
    <w:p w14:paraId="587A7A97" w14:textId="77777777" w:rsidR="002A6A49" w:rsidRPr="008261BD" w:rsidRDefault="00BE2BA4" w:rsidP="002A6A49">
      <w:pPr>
        <w:numPr>
          <w:ilvl w:val="0"/>
          <w:numId w:val="1"/>
        </w:numPr>
        <w:tabs>
          <w:tab w:val="left" w:pos="1276"/>
          <w:tab w:val="left" w:pos="1814"/>
          <w:tab w:val="left" w:pos="2381"/>
          <w:tab w:val="left" w:pos="2948"/>
          <w:tab w:val="left" w:pos="3515"/>
        </w:tabs>
        <w:spacing w:after="120" w:line="240" w:lineRule="auto"/>
        <w:ind w:left="1276" w:firstLine="0"/>
        <w:rPr>
          <w:rFonts w:asciiTheme="majorBidi" w:hAnsiTheme="majorBidi" w:cstheme="majorBidi"/>
          <w:b/>
          <w:bCs/>
          <w:snapToGrid w:val="0"/>
          <w:color w:val="000000"/>
          <w:sz w:val="24"/>
          <w:szCs w:val="24"/>
          <w:lang w:val="en-US"/>
        </w:rPr>
      </w:pPr>
      <w:r w:rsidRPr="008261BD">
        <w:rPr>
          <w:rFonts w:asciiTheme="majorBidi" w:hAnsiTheme="majorBidi" w:cstheme="majorBidi"/>
          <w:snapToGrid w:val="0"/>
          <w:color w:val="000000"/>
          <w:sz w:val="20"/>
          <w:szCs w:val="20"/>
          <w:lang w:val="en-US"/>
        </w:rPr>
        <w:t>In resolution 3/6 on managing soil pollution to achieve sustainable development, the Environment Assembly, among other things, requested the United Nations Environment Programme</w:t>
      </w:r>
      <w:r w:rsidR="00803956" w:rsidRPr="008261BD">
        <w:rPr>
          <w:rFonts w:asciiTheme="majorBidi" w:hAnsiTheme="majorBidi" w:cstheme="majorBidi"/>
          <w:snapToGrid w:val="0"/>
          <w:color w:val="000000"/>
          <w:sz w:val="20"/>
          <w:szCs w:val="20"/>
          <w:lang w:val="en-US"/>
        </w:rPr>
        <w:t>:</w:t>
      </w:r>
    </w:p>
    <w:p w14:paraId="6DBDE8DD" w14:textId="0B14448E" w:rsidR="00BE2BA4" w:rsidRPr="00E1394F" w:rsidRDefault="00803956" w:rsidP="00BE2BA4">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b/>
          <w:bCs/>
          <w:snapToGrid w:val="0"/>
          <w:color w:val="000000"/>
          <w:sz w:val="24"/>
          <w:szCs w:val="24"/>
          <w:lang w:val="en-US"/>
        </w:rPr>
      </w:pPr>
      <w:r w:rsidRPr="008261BD">
        <w:rPr>
          <w:rFonts w:asciiTheme="majorBidi" w:hAnsiTheme="majorBidi" w:cstheme="majorBidi"/>
          <w:snapToGrid w:val="0"/>
          <w:color w:val="000000"/>
          <w:sz w:val="20"/>
          <w:szCs w:val="20"/>
          <w:lang w:val="en-US"/>
        </w:rPr>
        <w:t>I</w:t>
      </w:r>
      <w:r w:rsidR="00BE2BA4" w:rsidRPr="008261BD">
        <w:rPr>
          <w:rFonts w:asciiTheme="majorBidi" w:hAnsiTheme="majorBidi" w:cstheme="majorBidi"/>
          <w:snapToGrid w:val="0"/>
          <w:color w:val="000000"/>
          <w:sz w:val="20"/>
          <w:szCs w:val="20"/>
          <w:lang w:val="en-US"/>
        </w:rPr>
        <w:t xml:space="preserve">n collaboration with other United Nations entities and relevant global and regional initiatives with expertise related to soil and soil pollution, including the Food and Agriculture Organization of the United Nations, the Global Soil Partnership, the United Nations Convention to Combat Desertification, the World Health Organization, the Stockholm Convention on Persistent Organic Pollutants, the Minamata Convention on Mercury and the International Committee on Contaminated Land, to cooperate as appropriate in efforts geared at preventing, reducing and </w:t>
      </w:r>
      <w:r w:rsidR="00BE2BA4" w:rsidRPr="00E1394F">
        <w:rPr>
          <w:rFonts w:asciiTheme="majorBidi" w:hAnsiTheme="majorBidi" w:cstheme="majorBidi"/>
          <w:snapToGrid w:val="0"/>
          <w:color w:val="000000"/>
          <w:sz w:val="20"/>
          <w:szCs w:val="20"/>
          <w:lang w:val="en-US"/>
        </w:rPr>
        <w:t xml:space="preserve">managing soil pollution; </w:t>
      </w:r>
    </w:p>
    <w:p w14:paraId="299B69B6" w14:textId="4C6C0360" w:rsidR="00BE2BA4" w:rsidRPr="00E1394F" w:rsidRDefault="00803956" w:rsidP="00BE2BA4">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b/>
          <w:bCs/>
          <w:snapToGrid w:val="0"/>
          <w:color w:val="000000"/>
          <w:sz w:val="24"/>
          <w:szCs w:val="24"/>
          <w:lang w:val="en-US"/>
        </w:rPr>
      </w:pPr>
      <w:r w:rsidRPr="00E1394F">
        <w:rPr>
          <w:rFonts w:asciiTheme="majorBidi" w:hAnsiTheme="majorBidi" w:cstheme="majorBidi"/>
          <w:snapToGrid w:val="0"/>
          <w:color w:val="000000"/>
          <w:sz w:val="20"/>
          <w:szCs w:val="20"/>
          <w:lang w:val="en-US"/>
        </w:rPr>
        <w:t>I</w:t>
      </w:r>
      <w:r w:rsidR="00BE2BA4" w:rsidRPr="00E1394F">
        <w:rPr>
          <w:rFonts w:asciiTheme="majorBidi" w:hAnsiTheme="majorBidi" w:cstheme="majorBidi"/>
          <w:snapToGrid w:val="0"/>
          <w:color w:val="000000"/>
          <w:sz w:val="20"/>
          <w:szCs w:val="20"/>
          <w:lang w:val="en-US"/>
        </w:rPr>
        <w:t>n consultation with member States, to invite, within their respective mandates and available resources, the United Nations Convention</w:t>
      </w:r>
      <w:r w:rsidR="00351D68">
        <w:rPr>
          <w:rFonts w:asciiTheme="majorBidi" w:hAnsiTheme="majorBidi" w:cstheme="majorBidi"/>
          <w:sz w:val="20"/>
          <w:szCs w:val="20"/>
          <w:lang w:val="en-US"/>
        </w:rPr>
        <w:t xml:space="preserve"> to </w:t>
      </w:r>
      <w:r w:rsidR="00BE2BA4" w:rsidRPr="00E1394F">
        <w:rPr>
          <w:rFonts w:asciiTheme="majorBidi" w:hAnsiTheme="majorBidi" w:cstheme="majorBidi"/>
          <w:sz w:val="20"/>
          <w:szCs w:val="20"/>
          <w:lang w:val="en-US"/>
        </w:rPr>
        <w:t>Combat Desertification, the World Health Organization, the Food and Agriculture Organization of the United Nations and other relevant United Nations entities, in collaboration with partners, including academia, research and scientific institutions, to work with the United Nations Environment Programme:</w:t>
      </w:r>
    </w:p>
    <w:p w14:paraId="4A3335AC" w14:textId="708EF61A" w:rsidR="00BE2BA4" w:rsidRPr="00E1394F" w:rsidRDefault="00344C91" w:rsidP="004906C8">
      <w:pPr>
        <w:tabs>
          <w:tab w:val="left" w:pos="1276"/>
          <w:tab w:val="left" w:pos="1814"/>
          <w:tab w:val="left" w:pos="2381"/>
          <w:tab w:val="left" w:pos="2948"/>
          <w:tab w:val="left" w:pos="3515"/>
        </w:tabs>
        <w:spacing w:after="120" w:line="240" w:lineRule="auto"/>
        <w:ind w:left="2952" w:hanging="547"/>
        <w:rPr>
          <w:rFonts w:asciiTheme="majorBidi" w:hAnsiTheme="majorBidi" w:cstheme="majorBidi"/>
          <w:sz w:val="20"/>
          <w:szCs w:val="20"/>
          <w:lang w:val="en-US"/>
        </w:rPr>
      </w:pPr>
      <w:r w:rsidRPr="00344C91">
        <w:rPr>
          <w:rFonts w:asciiTheme="majorBidi" w:hAnsiTheme="majorBidi" w:cstheme="majorBidi"/>
          <w:snapToGrid w:val="0"/>
          <w:color w:val="000000"/>
          <w:sz w:val="20"/>
          <w:szCs w:val="20"/>
          <w:lang w:val="en-US"/>
        </w:rPr>
        <w:t>(i)</w:t>
      </w:r>
      <w:r w:rsidR="00BE2BA4" w:rsidRPr="00E1394F">
        <w:rPr>
          <w:rFonts w:asciiTheme="majorBidi" w:hAnsiTheme="majorBidi" w:cstheme="majorBidi"/>
          <w:b/>
          <w:bCs/>
          <w:snapToGrid w:val="0"/>
          <w:color w:val="000000"/>
          <w:sz w:val="24"/>
          <w:szCs w:val="24"/>
          <w:lang w:val="en-US"/>
        </w:rPr>
        <w:t xml:space="preserve"> </w:t>
      </w:r>
      <w:r>
        <w:rPr>
          <w:rFonts w:asciiTheme="majorBidi" w:hAnsiTheme="majorBidi" w:cstheme="majorBidi"/>
          <w:sz w:val="20"/>
          <w:szCs w:val="20"/>
          <w:lang w:val="en-US"/>
        </w:rPr>
        <w:tab/>
      </w:r>
      <w:r w:rsidR="00BE2BA4" w:rsidRPr="00E1394F">
        <w:rPr>
          <w:rFonts w:asciiTheme="majorBidi" w:hAnsiTheme="majorBidi" w:cstheme="majorBidi"/>
          <w:sz w:val="20"/>
          <w:szCs w:val="20"/>
          <w:lang w:val="en-US"/>
        </w:rPr>
        <w:t>To promote research and development that contributes to controlling and managing soil pollution;</w:t>
      </w:r>
    </w:p>
    <w:p w14:paraId="299ED70F" w14:textId="7CE81C18" w:rsidR="00BE2BA4" w:rsidRPr="00E1394F" w:rsidRDefault="00344C91" w:rsidP="004906C8">
      <w:pPr>
        <w:tabs>
          <w:tab w:val="left" w:pos="1276"/>
          <w:tab w:val="left" w:pos="1814"/>
          <w:tab w:val="left" w:pos="2381"/>
          <w:tab w:val="left" w:pos="2948"/>
          <w:tab w:val="left" w:pos="3515"/>
        </w:tabs>
        <w:spacing w:after="120" w:line="240" w:lineRule="auto"/>
        <w:ind w:left="2952" w:hanging="547"/>
        <w:rPr>
          <w:rFonts w:asciiTheme="majorBidi" w:hAnsiTheme="majorBidi" w:cstheme="majorBidi"/>
          <w:sz w:val="20"/>
          <w:szCs w:val="20"/>
          <w:lang w:val="en-US"/>
        </w:rPr>
      </w:pPr>
      <w:r w:rsidRPr="00344C91">
        <w:rPr>
          <w:rFonts w:asciiTheme="majorBidi" w:hAnsiTheme="majorBidi" w:cstheme="majorBidi"/>
          <w:snapToGrid w:val="0"/>
          <w:color w:val="000000"/>
          <w:sz w:val="20"/>
          <w:szCs w:val="20"/>
          <w:lang w:val="en-US"/>
        </w:rPr>
        <w:t>(ii)</w:t>
      </w:r>
      <w:r>
        <w:rPr>
          <w:rFonts w:asciiTheme="majorBidi" w:hAnsiTheme="majorBidi" w:cstheme="majorBidi"/>
          <w:b/>
          <w:bCs/>
          <w:snapToGrid w:val="0"/>
          <w:color w:val="000000"/>
          <w:sz w:val="24"/>
          <w:szCs w:val="24"/>
          <w:lang w:val="en-US"/>
        </w:rPr>
        <w:tab/>
      </w:r>
      <w:r w:rsidR="00BE2BA4" w:rsidRPr="00E1394F">
        <w:rPr>
          <w:rFonts w:asciiTheme="majorBidi" w:hAnsiTheme="majorBidi" w:cstheme="majorBidi"/>
          <w:sz w:val="20"/>
          <w:szCs w:val="20"/>
          <w:lang w:val="en-US"/>
        </w:rPr>
        <w:t>To strengthen the science-policy interface to inform policymaking on soil pollution, as appropriate, at the national, regional and international levels;</w:t>
      </w:r>
    </w:p>
    <w:p w14:paraId="4DAD308B" w14:textId="1C121624" w:rsidR="00BE2BA4" w:rsidRPr="00E1394F" w:rsidRDefault="00344C91" w:rsidP="004906C8">
      <w:pPr>
        <w:tabs>
          <w:tab w:val="left" w:pos="1276"/>
          <w:tab w:val="left" w:pos="1814"/>
          <w:tab w:val="left" w:pos="2381"/>
          <w:tab w:val="left" w:pos="2948"/>
          <w:tab w:val="left" w:pos="3515"/>
        </w:tabs>
        <w:spacing w:after="120" w:line="240" w:lineRule="auto"/>
        <w:ind w:left="2952" w:hanging="547"/>
        <w:rPr>
          <w:rFonts w:asciiTheme="majorBidi" w:hAnsiTheme="majorBidi" w:cstheme="majorBidi"/>
          <w:sz w:val="20"/>
          <w:szCs w:val="20"/>
          <w:lang w:val="en-US"/>
        </w:rPr>
      </w:pPr>
      <w:r>
        <w:rPr>
          <w:rFonts w:asciiTheme="majorBidi" w:hAnsiTheme="majorBidi" w:cstheme="majorBidi"/>
          <w:snapToGrid w:val="0"/>
          <w:color w:val="000000"/>
          <w:sz w:val="20"/>
          <w:szCs w:val="20"/>
          <w:lang w:val="en-US"/>
        </w:rPr>
        <w:t>(iii)</w:t>
      </w:r>
      <w:r>
        <w:rPr>
          <w:rFonts w:asciiTheme="majorBidi" w:hAnsiTheme="majorBidi" w:cstheme="majorBidi"/>
          <w:snapToGrid w:val="0"/>
          <w:color w:val="000000"/>
          <w:sz w:val="20"/>
          <w:szCs w:val="20"/>
          <w:lang w:val="en-US"/>
        </w:rPr>
        <w:tab/>
      </w:r>
      <w:r w:rsidR="00BE2BA4" w:rsidRPr="00E1394F">
        <w:rPr>
          <w:rFonts w:asciiTheme="majorBidi" w:hAnsiTheme="majorBidi" w:cstheme="majorBidi"/>
          <w:sz w:val="20"/>
          <w:szCs w:val="20"/>
          <w:lang w:val="en-US"/>
        </w:rPr>
        <w:t>To raise awareness and improve the dissemination of knowledge on soil pollution;</w:t>
      </w:r>
    </w:p>
    <w:p w14:paraId="082C1306" w14:textId="44D78B91" w:rsidR="00BE2BA4" w:rsidRPr="00E1394F" w:rsidRDefault="00344C91" w:rsidP="004906C8">
      <w:pPr>
        <w:tabs>
          <w:tab w:val="left" w:pos="1276"/>
          <w:tab w:val="left" w:pos="1814"/>
          <w:tab w:val="left" w:pos="2381"/>
          <w:tab w:val="left" w:pos="2948"/>
          <w:tab w:val="left" w:pos="3515"/>
        </w:tabs>
        <w:spacing w:after="120" w:line="240" w:lineRule="auto"/>
        <w:ind w:left="2952" w:hanging="547"/>
        <w:rPr>
          <w:rFonts w:asciiTheme="majorBidi" w:hAnsiTheme="majorBidi" w:cstheme="majorBidi"/>
          <w:b/>
          <w:bCs/>
          <w:snapToGrid w:val="0"/>
          <w:color w:val="000000"/>
          <w:sz w:val="24"/>
          <w:szCs w:val="24"/>
          <w:lang w:val="en-US"/>
        </w:rPr>
      </w:pPr>
      <w:r w:rsidRPr="00344C91">
        <w:rPr>
          <w:rFonts w:asciiTheme="majorBidi" w:hAnsiTheme="majorBidi" w:cstheme="majorBidi"/>
          <w:snapToGrid w:val="0"/>
          <w:color w:val="000000"/>
          <w:sz w:val="20"/>
          <w:szCs w:val="20"/>
          <w:lang w:val="en-US"/>
        </w:rPr>
        <w:t>(iv)</w:t>
      </w:r>
      <w:r w:rsidR="00BE2BA4" w:rsidRPr="00E1394F">
        <w:rPr>
          <w:rFonts w:asciiTheme="majorBidi" w:hAnsiTheme="majorBidi" w:cstheme="majorBidi"/>
          <w:b/>
          <w:bCs/>
          <w:snapToGrid w:val="0"/>
          <w:color w:val="000000"/>
          <w:sz w:val="24"/>
          <w:szCs w:val="24"/>
          <w:lang w:val="en-US"/>
        </w:rPr>
        <w:t xml:space="preserve"> </w:t>
      </w:r>
      <w:r>
        <w:rPr>
          <w:rFonts w:asciiTheme="majorBidi" w:hAnsiTheme="majorBidi" w:cstheme="majorBidi"/>
          <w:b/>
          <w:bCs/>
          <w:snapToGrid w:val="0"/>
          <w:color w:val="000000"/>
          <w:sz w:val="24"/>
          <w:szCs w:val="24"/>
          <w:lang w:val="en-US"/>
        </w:rPr>
        <w:tab/>
      </w:r>
      <w:r w:rsidR="00BE2BA4" w:rsidRPr="00E1394F">
        <w:rPr>
          <w:rFonts w:asciiTheme="majorBidi" w:hAnsiTheme="majorBidi" w:cstheme="majorBidi"/>
          <w:sz w:val="20"/>
          <w:szCs w:val="20"/>
          <w:lang w:val="en-US"/>
        </w:rPr>
        <w:t>To promote a coordinated approach for combating soil pollution, including the promotion of coherent and coordinated data collection and management, and information-sharing on soil pollution.</w:t>
      </w:r>
    </w:p>
    <w:p w14:paraId="1DE28E72" w14:textId="4B455940" w:rsidR="00803956" w:rsidRPr="00053838" w:rsidRDefault="00BE2BA4" w:rsidP="002A6A49">
      <w:pPr>
        <w:numPr>
          <w:ilvl w:val="0"/>
          <w:numId w:val="1"/>
        </w:numPr>
        <w:tabs>
          <w:tab w:val="left" w:pos="1276"/>
          <w:tab w:val="left" w:pos="1814"/>
          <w:tab w:val="left" w:pos="2381"/>
          <w:tab w:val="left" w:pos="2948"/>
          <w:tab w:val="left" w:pos="3515"/>
        </w:tabs>
        <w:spacing w:after="120" w:line="240" w:lineRule="auto"/>
        <w:ind w:left="1276" w:firstLine="0"/>
        <w:rPr>
          <w:rFonts w:asciiTheme="majorBidi" w:hAnsiTheme="majorBidi" w:cstheme="majorBidi"/>
          <w:b/>
          <w:bCs/>
          <w:snapToGrid w:val="0"/>
          <w:color w:val="000000"/>
          <w:sz w:val="24"/>
          <w:szCs w:val="24"/>
          <w:lang w:val="en-US"/>
        </w:rPr>
      </w:pPr>
      <w:bookmarkStart w:id="2" w:name="_Hlk2093753"/>
      <w:r w:rsidRPr="008261BD">
        <w:rPr>
          <w:rFonts w:asciiTheme="majorBidi" w:hAnsiTheme="majorBidi" w:cstheme="majorBidi"/>
          <w:sz w:val="20"/>
          <w:szCs w:val="20"/>
          <w:lang w:val="en-US"/>
        </w:rPr>
        <w:t xml:space="preserve">At </w:t>
      </w:r>
      <w:r w:rsidR="00BC0DA9">
        <w:rPr>
          <w:rFonts w:asciiTheme="majorBidi" w:hAnsiTheme="majorBidi" w:cstheme="majorBidi"/>
          <w:sz w:val="20"/>
          <w:szCs w:val="20"/>
          <w:lang w:val="en-US"/>
        </w:rPr>
        <w:t>its</w:t>
      </w:r>
      <w:r w:rsidR="00BC0DA9" w:rsidRPr="008261BD">
        <w:rPr>
          <w:rFonts w:asciiTheme="majorBidi" w:hAnsiTheme="majorBidi" w:cstheme="majorBidi"/>
          <w:sz w:val="20"/>
          <w:szCs w:val="20"/>
          <w:lang w:val="en-US"/>
        </w:rPr>
        <w:t xml:space="preserve"> </w:t>
      </w:r>
      <w:r w:rsidR="00803956" w:rsidRPr="008261BD">
        <w:rPr>
          <w:rFonts w:asciiTheme="majorBidi" w:hAnsiTheme="majorBidi" w:cstheme="majorBidi"/>
          <w:sz w:val="20"/>
          <w:szCs w:val="20"/>
          <w:lang w:val="en-US"/>
        </w:rPr>
        <w:t xml:space="preserve">upcoming </w:t>
      </w:r>
      <w:r w:rsidRPr="008261BD">
        <w:rPr>
          <w:rFonts w:asciiTheme="majorBidi" w:hAnsiTheme="majorBidi" w:cstheme="majorBidi"/>
          <w:sz w:val="20"/>
          <w:szCs w:val="20"/>
          <w:lang w:val="en-US"/>
        </w:rPr>
        <w:t xml:space="preserve">meeting, the </w:t>
      </w:r>
      <w:r w:rsidR="00BC0DA9">
        <w:rPr>
          <w:rFonts w:asciiTheme="majorBidi" w:hAnsiTheme="majorBidi" w:cstheme="majorBidi"/>
          <w:sz w:val="20"/>
          <w:szCs w:val="20"/>
          <w:lang w:val="en-US"/>
        </w:rPr>
        <w:t>C</w:t>
      </w:r>
      <w:r w:rsidRPr="008261BD">
        <w:rPr>
          <w:rFonts w:asciiTheme="majorBidi" w:hAnsiTheme="majorBidi" w:cstheme="majorBidi"/>
          <w:sz w:val="20"/>
          <w:szCs w:val="20"/>
          <w:lang w:val="en-US"/>
        </w:rPr>
        <w:t>onference of the Parties to the Basel</w:t>
      </w:r>
      <w:r w:rsidR="00803956" w:rsidRPr="008261BD">
        <w:rPr>
          <w:rFonts w:asciiTheme="majorBidi" w:hAnsiTheme="majorBidi" w:cstheme="majorBidi"/>
          <w:sz w:val="20"/>
          <w:szCs w:val="20"/>
          <w:lang w:val="en-US"/>
        </w:rPr>
        <w:t xml:space="preserve"> </w:t>
      </w:r>
      <w:r w:rsidR="00BC0DA9">
        <w:rPr>
          <w:rFonts w:asciiTheme="majorBidi" w:hAnsiTheme="majorBidi" w:cstheme="majorBidi"/>
          <w:sz w:val="20"/>
          <w:szCs w:val="20"/>
          <w:lang w:val="en-US"/>
        </w:rPr>
        <w:t>C</w:t>
      </w:r>
      <w:r w:rsidRPr="008261BD">
        <w:rPr>
          <w:rFonts w:asciiTheme="majorBidi" w:hAnsiTheme="majorBidi" w:cstheme="majorBidi"/>
          <w:sz w:val="20"/>
          <w:szCs w:val="20"/>
          <w:lang w:val="en-US"/>
        </w:rPr>
        <w:t xml:space="preserve">onvention </w:t>
      </w:r>
      <w:bookmarkEnd w:id="2"/>
      <w:r w:rsidRPr="008261BD">
        <w:rPr>
          <w:rFonts w:asciiTheme="majorBidi" w:hAnsiTheme="majorBidi" w:cstheme="majorBidi"/>
          <w:sz w:val="20"/>
          <w:szCs w:val="20"/>
          <w:lang w:val="en-US"/>
        </w:rPr>
        <w:t xml:space="preserve">will </w:t>
      </w:r>
      <w:r w:rsidR="00803956" w:rsidRPr="008261BD">
        <w:rPr>
          <w:rFonts w:asciiTheme="majorBidi" w:hAnsiTheme="majorBidi" w:cstheme="majorBidi"/>
          <w:sz w:val="20"/>
          <w:szCs w:val="20"/>
          <w:lang w:val="en-US"/>
        </w:rPr>
        <w:t xml:space="preserve">consider </w:t>
      </w:r>
      <w:r w:rsidR="00B716D8" w:rsidRPr="008261BD">
        <w:rPr>
          <w:rFonts w:asciiTheme="majorBidi" w:hAnsiTheme="majorBidi" w:cstheme="majorBidi"/>
          <w:sz w:val="20"/>
          <w:szCs w:val="20"/>
          <w:lang w:val="en-US"/>
        </w:rPr>
        <w:t>the following</w:t>
      </w:r>
      <w:r w:rsidRPr="008261BD">
        <w:rPr>
          <w:rFonts w:asciiTheme="majorBidi" w:hAnsiTheme="majorBidi" w:cstheme="majorBidi"/>
          <w:sz w:val="20"/>
          <w:szCs w:val="20"/>
          <w:lang w:val="en-US"/>
        </w:rPr>
        <w:t xml:space="preserve"> </w:t>
      </w:r>
      <w:r w:rsidR="00E31359">
        <w:rPr>
          <w:rFonts w:asciiTheme="majorBidi" w:hAnsiTheme="majorBidi" w:cstheme="majorBidi"/>
          <w:sz w:val="20"/>
          <w:szCs w:val="20"/>
          <w:lang w:val="en-US"/>
        </w:rPr>
        <w:t xml:space="preserve">new and updated </w:t>
      </w:r>
      <w:r w:rsidRPr="008261BD">
        <w:rPr>
          <w:rFonts w:asciiTheme="majorBidi" w:hAnsiTheme="majorBidi" w:cstheme="majorBidi"/>
          <w:sz w:val="20"/>
          <w:szCs w:val="20"/>
          <w:lang w:val="en-US"/>
        </w:rPr>
        <w:t xml:space="preserve">technical guidelines </w:t>
      </w:r>
      <w:r w:rsidR="00B716D8" w:rsidRPr="008261BD">
        <w:rPr>
          <w:rFonts w:asciiTheme="majorBidi" w:hAnsiTheme="majorBidi" w:cstheme="majorBidi"/>
          <w:sz w:val="20"/>
          <w:szCs w:val="20"/>
          <w:lang w:val="en-US"/>
        </w:rPr>
        <w:t>of relevance to the prevention and minimization of soil pollution:</w:t>
      </w:r>
    </w:p>
    <w:p w14:paraId="217F5BC1" w14:textId="77777777" w:rsidR="00053838" w:rsidRPr="008261BD" w:rsidRDefault="00053838" w:rsidP="00053838">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b/>
          <w:bCs/>
          <w:snapToGrid w:val="0"/>
          <w:color w:val="000000"/>
          <w:sz w:val="24"/>
          <w:szCs w:val="24"/>
          <w:lang w:val="en-US"/>
        </w:rPr>
      </w:pPr>
      <w:r w:rsidRPr="008261BD">
        <w:rPr>
          <w:rFonts w:asciiTheme="majorBidi" w:hAnsiTheme="majorBidi" w:cstheme="majorBidi"/>
          <w:snapToGrid w:val="0"/>
          <w:color w:val="000000"/>
          <w:sz w:val="20"/>
          <w:szCs w:val="20"/>
          <w:lang w:val="en-US"/>
        </w:rPr>
        <w:t>Draft updated general technical guidelines on the environmentally sound management of wastes consisting of, containing or contaminated with persistent organic pollutants;</w:t>
      </w:r>
      <w:r w:rsidRPr="008261BD">
        <w:rPr>
          <w:rStyle w:val="FootnoteReference"/>
          <w:rFonts w:asciiTheme="majorBidi" w:hAnsiTheme="majorBidi" w:cstheme="majorBidi"/>
          <w:snapToGrid w:val="0"/>
          <w:lang w:val="en-US"/>
        </w:rPr>
        <w:footnoteReference w:id="20"/>
      </w:r>
    </w:p>
    <w:p w14:paraId="2DEFBC4D" w14:textId="77777777" w:rsidR="00053838" w:rsidRPr="008261BD" w:rsidRDefault="00053838" w:rsidP="00053838">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b/>
          <w:bCs/>
          <w:snapToGrid w:val="0"/>
          <w:color w:val="000000"/>
          <w:sz w:val="24"/>
          <w:szCs w:val="24"/>
          <w:lang w:val="en-US"/>
        </w:rPr>
      </w:pPr>
      <w:r w:rsidRPr="008261BD">
        <w:rPr>
          <w:rFonts w:asciiTheme="majorBidi" w:hAnsiTheme="majorBidi" w:cstheme="majorBidi"/>
          <w:snapToGrid w:val="0"/>
          <w:color w:val="000000"/>
          <w:sz w:val="20"/>
          <w:szCs w:val="20"/>
          <w:lang w:val="en-US"/>
        </w:rPr>
        <w:t>Draft technical guidelines on the environmentally sound management of wastes consisting of, containing or contaminated with short-chain chlorinated paraffins;</w:t>
      </w:r>
      <w:r w:rsidRPr="008261BD">
        <w:rPr>
          <w:rStyle w:val="FootnoteReference"/>
          <w:rFonts w:asciiTheme="majorBidi" w:hAnsiTheme="majorBidi" w:cstheme="majorBidi"/>
          <w:snapToGrid w:val="0"/>
          <w:lang w:val="en-US"/>
        </w:rPr>
        <w:t xml:space="preserve"> </w:t>
      </w:r>
      <w:r w:rsidRPr="008261BD">
        <w:rPr>
          <w:rStyle w:val="FootnoteReference"/>
          <w:rFonts w:asciiTheme="majorBidi" w:hAnsiTheme="majorBidi" w:cstheme="majorBidi"/>
          <w:snapToGrid w:val="0"/>
          <w:lang w:val="en-US"/>
        </w:rPr>
        <w:footnoteReference w:id="21"/>
      </w:r>
    </w:p>
    <w:p w14:paraId="6117B0DC" w14:textId="77777777" w:rsidR="00053838" w:rsidRPr="008261BD" w:rsidRDefault="00053838" w:rsidP="00053838">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b/>
          <w:bCs/>
          <w:snapToGrid w:val="0"/>
          <w:color w:val="000000"/>
          <w:sz w:val="24"/>
          <w:szCs w:val="24"/>
          <w:lang w:val="en-US"/>
        </w:rPr>
      </w:pPr>
      <w:r w:rsidRPr="008261BD">
        <w:rPr>
          <w:rFonts w:asciiTheme="majorBidi" w:hAnsiTheme="majorBidi" w:cstheme="majorBidi"/>
          <w:snapToGrid w:val="0"/>
          <w:color w:val="000000"/>
          <w:sz w:val="20"/>
          <w:szCs w:val="20"/>
          <w:lang w:val="en-US"/>
        </w:rPr>
        <w:t xml:space="preserve">Draft updated technical guidelines on the environmentally sound management of wastes consisting of, containing or contaminated with </w:t>
      </w:r>
      <w:proofErr w:type="spellStart"/>
      <w:r w:rsidRPr="008261BD">
        <w:rPr>
          <w:rFonts w:asciiTheme="majorBidi" w:hAnsiTheme="majorBidi" w:cstheme="majorBidi"/>
          <w:snapToGrid w:val="0"/>
          <w:color w:val="000000"/>
          <w:sz w:val="20"/>
          <w:szCs w:val="20"/>
          <w:lang w:val="en-US"/>
        </w:rPr>
        <w:t>hexabromodiphenyl</w:t>
      </w:r>
      <w:proofErr w:type="spellEnd"/>
      <w:r w:rsidRPr="008261BD">
        <w:rPr>
          <w:rFonts w:asciiTheme="majorBidi" w:hAnsiTheme="majorBidi" w:cstheme="majorBidi"/>
          <w:snapToGrid w:val="0"/>
          <w:color w:val="000000"/>
          <w:sz w:val="20"/>
          <w:szCs w:val="20"/>
          <w:lang w:val="en-US"/>
        </w:rPr>
        <w:t xml:space="preserve"> ether and </w:t>
      </w:r>
      <w:proofErr w:type="spellStart"/>
      <w:r w:rsidRPr="008261BD">
        <w:rPr>
          <w:rFonts w:asciiTheme="majorBidi" w:hAnsiTheme="majorBidi" w:cstheme="majorBidi"/>
          <w:snapToGrid w:val="0"/>
          <w:color w:val="000000"/>
          <w:sz w:val="20"/>
          <w:szCs w:val="20"/>
          <w:lang w:val="en-US"/>
        </w:rPr>
        <w:t>heptabromodiphenyl</w:t>
      </w:r>
      <w:proofErr w:type="spellEnd"/>
      <w:r w:rsidRPr="008261BD">
        <w:rPr>
          <w:rFonts w:asciiTheme="majorBidi" w:hAnsiTheme="majorBidi" w:cstheme="majorBidi"/>
          <w:snapToGrid w:val="0"/>
          <w:color w:val="000000"/>
          <w:sz w:val="20"/>
          <w:szCs w:val="20"/>
          <w:lang w:val="en-US"/>
        </w:rPr>
        <w:t xml:space="preserve"> ether, and </w:t>
      </w:r>
      <w:proofErr w:type="spellStart"/>
      <w:r w:rsidRPr="008261BD">
        <w:rPr>
          <w:rFonts w:asciiTheme="majorBidi" w:hAnsiTheme="majorBidi" w:cstheme="majorBidi"/>
          <w:snapToGrid w:val="0"/>
          <w:color w:val="000000"/>
          <w:sz w:val="20"/>
          <w:szCs w:val="20"/>
          <w:lang w:val="en-US"/>
        </w:rPr>
        <w:t>tetrabromodiphenyl</w:t>
      </w:r>
      <w:proofErr w:type="spellEnd"/>
      <w:r w:rsidRPr="008261BD">
        <w:rPr>
          <w:rFonts w:asciiTheme="majorBidi" w:hAnsiTheme="majorBidi" w:cstheme="majorBidi"/>
          <w:snapToGrid w:val="0"/>
          <w:color w:val="000000"/>
          <w:sz w:val="20"/>
          <w:szCs w:val="20"/>
          <w:lang w:val="en-US"/>
        </w:rPr>
        <w:t xml:space="preserve"> ether and </w:t>
      </w:r>
      <w:proofErr w:type="spellStart"/>
      <w:r w:rsidRPr="008261BD">
        <w:rPr>
          <w:rFonts w:asciiTheme="majorBidi" w:hAnsiTheme="majorBidi" w:cstheme="majorBidi"/>
          <w:snapToGrid w:val="0"/>
          <w:color w:val="000000"/>
          <w:sz w:val="20"/>
          <w:szCs w:val="20"/>
          <w:lang w:val="en-US"/>
        </w:rPr>
        <w:t>pentabromodiphenyl</w:t>
      </w:r>
      <w:proofErr w:type="spellEnd"/>
      <w:r w:rsidRPr="008261BD">
        <w:rPr>
          <w:rFonts w:asciiTheme="majorBidi" w:hAnsiTheme="majorBidi" w:cstheme="majorBidi"/>
          <w:snapToGrid w:val="0"/>
          <w:color w:val="000000"/>
          <w:sz w:val="20"/>
          <w:szCs w:val="20"/>
          <w:lang w:val="en-US"/>
        </w:rPr>
        <w:t xml:space="preserve"> ether or </w:t>
      </w:r>
      <w:proofErr w:type="spellStart"/>
      <w:r w:rsidRPr="008261BD">
        <w:rPr>
          <w:rFonts w:asciiTheme="majorBidi" w:hAnsiTheme="majorBidi" w:cstheme="majorBidi"/>
          <w:snapToGrid w:val="0"/>
          <w:color w:val="000000"/>
          <w:sz w:val="20"/>
          <w:szCs w:val="20"/>
          <w:lang w:val="en-US"/>
        </w:rPr>
        <w:t>decabromodiphenyl</w:t>
      </w:r>
      <w:proofErr w:type="spellEnd"/>
      <w:r w:rsidRPr="008261BD">
        <w:rPr>
          <w:rFonts w:asciiTheme="majorBidi" w:hAnsiTheme="majorBidi" w:cstheme="majorBidi"/>
          <w:snapToGrid w:val="0"/>
          <w:color w:val="000000"/>
          <w:sz w:val="20"/>
          <w:szCs w:val="20"/>
          <w:lang w:val="en-US"/>
        </w:rPr>
        <w:t xml:space="preserve"> ether;</w:t>
      </w:r>
      <w:r w:rsidRPr="008261BD">
        <w:rPr>
          <w:rStyle w:val="FootnoteReference"/>
          <w:rFonts w:asciiTheme="majorBidi" w:hAnsiTheme="majorBidi" w:cstheme="majorBidi"/>
          <w:snapToGrid w:val="0"/>
          <w:lang w:val="en-US"/>
        </w:rPr>
        <w:footnoteReference w:id="22"/>
      </w:r>
    </w:p>
    <w:p w14:paraId="64E8CE6C" w14:textId="77777777" w:rsidR="00053838" w:rsidRPr="008261BD" w:rsidRDefault="00053838" w:rsidP="00053838">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b/>
          <w:bCs/>
          <w:snapToGrid w:val="0"/>
          <w:color w:val="000000"/>
          <w:sz w:val="24"/>
          <w:szCs w:val="24"/>
          <w:lang w:val="en-US"/>
        </w:rPr>
      </w:pPr>
      <w:r w:rsidRPr="008261BD">
        <w:rPr>
          <w:rFonts w:asciiTheme="majorBidi" w:hAnsiTheme="majorBidi" w:cstheme="majorBidi"/>
          <w:snapToGrid w:val="0"/>
          <w:color w:val="000000"/>
          <w:sz w:val="20"/>
          <w:szCs w:val="20"/>
          <w:lang w:val="en-US"/>
        </w:rPr>
        <w:t xml:space="preserve">Draft updated technical guidelines on the environmentally sound management of wastes containing or contaminated with unintentionally produced polychlorinated dibenzo-p-dioxins, polychlorinated dibenzofurans, hexachlorobenzene, polychlorinated biphenyls, </w:t>
      </w:r>
      <w:proofErr w:type="spellStart"/>
      <w:r w:rsidRPr="008261BD">
        <w:rPr>
          <w:rFonts w:asciiTheme="majorBidi" w:hAnsiTheme="majorBidi" w:cstheme="majorBidi"/>
          <w:snapToGrid w:val="0"/>
          <w:color w:val="000000"/>
          <w:sz w:val="20"/>
          <w:szCs w:val="20"/>
          <w:lang w:val="en-US"/>
        </w:rPr>
        <w:t>pentachlorobenzene</w:t>
      </w:r>
      <w:proofErr w:type="spellEnd"/>
      <w:r w:rsidRPr="008261BD">
        <w:rPr>
          <w:rFonts w:asciiTheme="majorBidi" w:hAnsiTheme="majorBidi" w:cstheme="majorBidi"/>
          <w:snapToGrid w:val="0"/>
          <w:color w:val="000000"/>
          <w:sz w:val="20"/>
          <w:szCs w:val="20"/>
          <w:lang w:val="en-US"/>
        </w:rPr>
        <w:t xml:space="preserve"> or polychlorinated </w:t>
      </w:r>
      <w:proofErr w:type="spellStart"/>
      <w:r w:rsidRPr="008261BD">
        <w:rPr>
          <w:rFonts w:asciiTheme="majorBidi" w:hAnsiTheme="majorBidi" w:cstheme="majorBidi"/>
          <w:snapToGrid w:val="0"/>
          <w:color w:val="000000"/>
          <w:sz w:val="20"/>
          <w:szCs w:val="20"/>
          <w:lang w:val="en-US"/>
        </w:rPr>
        <w:t>naphthalenes</w:t>
      </w:r>
      <w:proofErr w:type="spellEnd"/>
      <w:r w:rsidRPr="008261BD">
        <w:rPr>
          <w:rFonts w:asciiTheme="majorBidi" w:hAnsiTheme="majorBidi" w:cstheme="majorBidi"/>
          <w:snapToGrid w:val="0"/>
          <w:color w:val="000000"/>
          <w:sz w:val="20"/>
          <w:szCs w:val="20"/>
          <w:lang w:val="en-US"/>
        </w:rPr>
        <w:t>, to include hexachlorobutadiene;</w:t>
      </w:r>
      <w:r w:rsidRPr="008261BD">
        <w:rPr>
          <w:rStyle w:val="FootnoteReference"/>
          <w:rFonts w:asciiTheme="majorBidi" w:hAnsiTheme="majorBidi" w:cstheme="majorBidi"/>
          <w:snapToGrid w:val="0"/>
          <w:lang w:val="en-US"/>
        </w:rPr>
        <w:footnoteReference w:id="23"/>
      </w:r>
    </w:p>
    <w:p w14:paraId="5243F1A8" w14:textId="77777777" w:rsidR="00053838" w:rsidRPr="008261BD" w:rsidRDefault="00053838" w:rsidP="00053838">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b/>
          <w:bCs/>
          <w:snapToGrid w:val="0"/>
          <w:color w:val="000000"/>
          <w:sz w:val="24"/>
          <w:szCs w:val="24"/>
          <w:lang w:val="en-US"/>
        </w:rPr>
      </w:pPr>
      <w:r w:rsidRPr="008261BD">
        <w:rPr>
          <w:rFonts w:asciiTheme="majorBidi" w:hAnsiTheme="majorBidi" w:cstheme="majorBidi"/>
          <w:snapToGrid w:val="0"/>
          <w:color w:val="000000"/>
          <w:sz w:val="20"/>
          <w:szCs w:val="20"/>
          <w:lang w:val="en-US"/>
        </w:rPr>
        <w:t>Draft updated technical guidelines on the environmentally sound management of wastes consisting of, containing or contaminated with hexachlorobutadiene;</w:t>
      </w:r>
      <w:r w:rsidRPr="008261BD">
        <w:rPr>
          <w:rStyle w:val="FootnoteReference"/>
          <w:rFonts w:asciiTheme="majorBidi" w:hAnsiTheme="majorBidi" w:cstheme="majorBidi"/>
          <w:snapToGrid w:val="0"/>
          <w:lang w:val="en-US"/>
        </w:rPr>
        <w:footnoteReference w:id="24"/>
      </w:r>
    </w:p>
    <w:p w14:paraId="1C9BC20E" w14:textId="77777777" w:rsidR="00053838" w:rsidRPr="008261BD" w:rsidRDefault="00053838" w:rsidP="00053838">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snapToGrid w:val="0"/>
          <w:color w:val="000000"/>
          <w:sz w:val="20"/>
          <w:szCs w:val="20"/>
          <w:lang w:val="en-US"/>
        </w:rPr>
      </w:pPr>
      <w:r w:rsidRPr="008261BD">
        <w:rPr>
          <w:rFonts w:asciiTheme="majorBidi" w:hAnsiTheme="majorBidi" w:cstheme="majorBidi"/>
          <w:snapToGrid w:val="0"/>
          <w:color w:val="000000"/>
          <w:sz w:val="20"/>
          <w:szCs w:val="20"/>
          <w:lang w:val="en-US"/>
        </w:rPr>
        <w:lastRenderedPageBreak/>
        <w:t xml:space="preserve">Draft updated technical guidelines on transboundary movements of electrical and electronic waste and used electrical and electronic equipment, </w:t>
      </w:r>
      <w:proofErr w:type="gramStart"/>
      <w:r w:rsidRPr="008261BD">
        <w:rPr>
          <w:rFonts w:asciiTheme="majorBidi" w:hAnsiTheme="majorBidi" w:cstheme="majorBidi"/>
          <w:snapToGrid w:val="0"/>
          <w:color w:val="000000"/>
          <w:sz w:val="20"/>
          <w:szCs w:val="20"/>
          <w:lang w:val="en-US"/>
        </w:rPr>
        <w:t>in particular regarding</w:t>
      </w:r>
      <w:proofErr w:type="gramEnd"/>
      <w:r w:rsidRPr="008261BD">
        <w:rPr>
          <w:rFonts w:asciiTheme="majorBidi" w:hAnsiTheme="majorBidi" w:cstheme="majorBidi"/>
          <w:snapToGrid w:val="0"/>
          <w:color w:val="000000"/>
          <w:sz w:val="20"/>
          <w:szCs w:val="20"/>
          <w:lang w:val="en-US"/>
        </w:rPr>
        <w:t xml:space="preserve"> the distinction between waste and non-waste under the Basel Convention;</w:t>
      </w:r>
      <w:r w:rsidRPr="008261BD">
        <w:rPr>
          <w:rStyle w:val="FootnoteReference"/>
          <w:rFonts w:asciiTheme="majorBidi" w:hAnsiTheme="majorBidi" w:cstheme="majorBidi"/>
          <w:snapToGrid w:val="0"/>
          <w:lang w:val="en-US"/>
        </w:rPr>
        <w:footnoteReference w:id="25"/>
      </w:r>
    </w:p>
    <w:p w14:paraId="1E705EEA" w14:textId="77777777" w:rsidR="00053838" w:rsidRPr="008261BD" w:rsidRDefault="00053838" w:rsidP="00053838">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b/>
          <w:bCs/>
          <w:snapToGrid w:val="0"/>
          <w:color w:val="000000"/>
          <w:sz w:val="24"/>
          <w:szCs w:val="24"/>
          <w:lang w:val="en-US"/>
        </w:rPr>
      </w:pPr>
      <w:r w:rsidRPr="008261BD">
        <w:rPr>
          <w:rFonts w:asciiTheme="majorBidi" w:hAnsiTheme="majorBidi" w:cstheme="majorBidi"/>
          <w:snapToGrid w:val="0"/>
          <w:color w:val="000000"/>
          <w:sz w:val="20"/>
          <w:szCs w:val="20"/>
          <w:lang w:val="en-US"/>
        </w:rPr>
        <w:t>Revised draft updated technical guidelines on incineration on land (D10);</w:t>
      </w:r>
      <w:r w:rsidRPr="008261BD">
        <w:rPr>
          <w:rStyle w:val="FootnoteReference"/>
          <w:rFonts w:asciiTheme="majorBidi" w:hAnsiTheme="majorBidi" w:cstheme="majorBidi"/>
          <w:snapToGrid w:val="0"/>
          <w:lang w:val="en-US"/>
        </w:rPr>
        <w:footnoteReference w:id="26"/>
      </w:r>
    </w:p>
    <w:p w14:paraId="57F609F4" w14:textId="48D6A499" w:rsidR="00053838" w:rsidRPr="004906C8" w:rsidRDefault="00053838" w:rsidP="00053838">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b/>
          <w:bCs/>
          <w:snapToGrid w:val="0"/>
          <w:color w:val="000000"/>
          <w:sz w:val="24"/>
          <w:szCs w:val="24"/>
          <w:lang w:val="en-US"/>
        </w:rPr>
      </w:pPr>
      <w:r w:rsidRPr="008261BD">
        <w:rPr>
          <w:rFonts w:asciiTheme="majorBidi" w:hAnsiTheme="majorBidi" w:cstheme="majorBidi"/>
          <w:snapToGrid w:val="0"/>
          <w:color w:val="000000"/>
          <w:sz w:val="20"/>
          <w:szCs w:val="20"/>
          <w:lang w:val="en-US"/>
        </w:rPr>
        <w:t>Revised draft updated technical guidelines on specially engineered landfill (D5)</w:t>
      </w:r>
      <w:r w:rsidR="00BC0DA9">
        <w:rPr>
          <w:rFonts w:asciiTheme="majorBidi" w:hAnsiTheme="majorBidi" w:cstheme="majorBidi"/>
          <w:snapToGrid w:val="0"/>
          <w:color w:val="000000"/>
          <w:sz w:val="20"/>
          <w:szCs w:val="20"/>
          <w:lang w:val="en-US"/>
        </w:rPr>
        <w:t>.</w:t>
      </w:r>
      <w:r w:rsidRPr="008261BD">
        <w:rPr>
          <w:rStyle w:val="FootnoteReference"/>
          <w:rFonts w:asciiTheme="majorBidi" w:hAnsiTheme="majorBidi" w:cstheme="majorBidi"/>
          <w:snapToGrid w:val="0"/>
          <w:lang w:val="en-US"/>
        </w:rPr>
        <w:footnoteReference w:id="27"/>
      </w:r>
    </w:p>
    <w:p w14:paraId="2C6C18EA" w14:textId="7E00D690" w:rsidR="00BC0DA9" w:rsidRPr="008261BD" w:rsidRDefault="00BC0DA9" w:rsidP="004906C8">
      <w:pPr>
        <w:numPr>
          <w:ilvl w:val="0"/>
          <w:numId w:val="1"/>
        </w:numPr>
        <w:tabs>
          <w:tab w:val="left" w:pos="1276"/>
          <w:tab w:val="left" w:pos="1814"/>
          <w:tab w:val="left" w:pos="2381"/>
          <w:tab w:val="left" w:pos="2948"/>
          <w:tab w:val="left" w:pos="3515"/>
        </w:tabs>
        <w:spacing w:after="120" w:line="240" w:lineRule="auto"/>
        <w:ind w:left="1276" w:firstLine="0"/>
        <w:rPr>
          <w:rFonts w:asciiTheme="majorBidi" w:hAnsiTheme="majorBidi" w:cstheme="majorBidi"/>
          <w:b/>
          <w:bCs/>
          <w:snapToGrid w:val="0"/>
          <w:color w:val="000000"/>
          <w:sz w:val="24"/>
          <w:szCs w:val="24"/>
          <w:lang w:val="en-US"/>
        </w:rPr>
      </w:pPr>
      <w:r w:rsidRPr="008261BD">
        <w:rPr>
          <w:rFonts w:asciiTheme="majorBidi" w:hAnsiTheme="majorBidi" w:cstheme="majorBidi"/>
          <w:sz w:val="20"/>
          <w:szCs w:val="20"/>
          <w:lang w:val="en-US"/>
        </w:rPr>
        <w:t xml:space="preserve">At </w:t>
      </w:r>
      <w:r>
        <w:rPr>
          <w:rFonts w:asciiTheme="majorBidi" w:hAnsiTheme="majorBidi" w:cstheme="majorBidi"/>
          <w:sz w:val="20"/>
          <w:szCs w:val="20"/>
          <w:lang w:val="en-US"/>
        </w:rPr>
        <w:t>its</w:t>
      </w:r>
      <w:r w:rsidRPr="008261BD">
        <w:rPr>
          <w:rFonts w:asciiTheme="majorBidi" w:hAnsiTheme="majorBidi" w:cstheme="majorBidi"/>
          <w:sz w:val="20"/>
          <w:szCs w:val="20"/>
          <w:lang w:val="en-US"/>
        </w:rPr>
        <w:t xml:space="preserve"> upcoming meeting, the </w:t>
      </w:r>
      <w:r>
        <w:rPr>
          <w:rFonts w:asciiTheme="majorBidi" w:hAnsiTheme="majorBidi" w:cstheme="majorBidi"/>
          <w:sz w:val="20"/>
          <w:szCs w:val="20"/>
          <w:lang w:val="en-US"/>
        </w:rPr>
        <w:t>C</w:t>
      </w:r>
      <w:r w:rsidRPr="008261BD">
        <w:rPr>
          <w:rFonts w:asciiTheme="majorBidi" w:hAnsiTheme="majorBidi" w:cstheme="majorBidi"/>
          <w:sz w:val="20"/>
          <w:szCs w:val="20"/>
          <w:lang w:val="en-US"/>
        </w:rPr>
        <w:t xml:space="preserve">onference of the Parties to the </w:t>
      </w:r>
      <w:r>
        <w:rPr>
          <w:rFonts w:asciiTheme="majorBidi" w:hAnsiTheme="majorBidi" w:cstheme="majorBidi"/>
          <w:sz w:val="20"/>
          <w:szCs w:val="20"/>
          <w:lang w:val="en-US"/>
        </w:rPr>
        <w:t>Stockholm</w:t>
      </w:r>
      <w:r w:rsidRPr="008261BD">
        <w:rPr>
          <w:rFonts w:asciiTheme="majorBidi" w:hAnsiTheme="majorBidi" w:cstheme="majorBidi"/>
          <w:sz w:val="20"/>
          <w:szCs w:val="20"/>
          <w:lang w:val="en-US"/>
        </w:rPr>
        <w:t xml:space="preserve"> </w:t>
      </w:r>
      <w:r>
        <w:rPr>
          <w:rFonts w:asciiTheme="majorBidi" w:hAnsiTheme="majorBidi" w:cstheme="majorBidi"/>
          <w:sz w:val="20"/>
          <w:szCs w:val="20"/>
          <w:lang w:val="en-US"/>
        </w:rPr>
        <w:t>C</w:t>
      </w:r>
      <w:r w:rsidRPr="008261BD">
        <w:rPr>
          <w:rFonts w:asciiTheme="majorBidi" w:hAnsiTheme="majorBidi" w:cstheme="majorBidi"/>
          <w:sz w:val="20"/>
          <w:szCs w:val="20"/>
          <w:lang w:val="en-US"/>
        </w:rPr>
        <w:t>onvention</w:t>
      </w:r>
      <w:r>
        <w:rPr>
          <w:rFonts w:asciiTheme="majorBidi" w:hAnsiTheme="majorBidi" w:cstheme="majorBidi"/>
          <w:sz w:val="20"/>
          <w:szCs w:val="20"/>
          <w:lang w:val="en-US"/>
        </w:rPr>
        <w:t xml:space="preserve"> would consider welcoming the new or updated technical guidelines </w:t>
      </w:r>
      <w:r w:rsidR="00A87646">
        <w:rPr>
          <w:rFonts w:asciiTheme="majorBidi" w:hAnsiTheme="majorBidi" w:cstheme="majorBidi"/>
          <w:sz w:val="20"/>
          <w:szCs w:val="20"/>
          <w:lang w:val="en-US"/>
        </w:rPr>
        <w:t>pertaining to persistent organic pollutants if adopted by the Conference of the Parties to the Basel Convention which are mentioned in paragraph 11 (a) to (e), and consider:</w:t>
      </w:r>
      <w:r>
        <w:rPr>
          <w:rFonts w:asciiTheme="majorBidi" w:hAnsiTheme="majorBidi" w:cstheme="majorBidi"/>
          <w:sz w:val="20"/>
          <w:szCs w:val="20"/>
          <w:lang w:val="en-US"/>
        </w:rPr>
        <w:t xml:space="preserve"> </w:t>
      </w:r>
    </w:p>
    <w:p w14:paraId="14E8B268" w14:textId="297D58A1" w:rsidR="00053838" w:rsidRPr="008261BD" w:rsidRDefault="00053838" w:rsidP="00053838">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b/>
          <w:bCs/>
          <w:snapToGrid w:val="0"/>
          <w:color w:val="000000"/>
          <w:sz w:val="24"/>
          <w:szCs w:val="24"/>
          <w:lang w:val="en-US"/>
        </w:rPr>
      </w:pPr>
      <w:r w:rsidRPr="008261BD">
        <w:rPr>
          <w:rFonts w:asciiTheme="majorBidi" w:hAnsiTheme="majorBidi" w:cstheme="majorBidi"/>
          <w:snapToGrid w:val="0"/>
          <w:color w:val="000000"/>
          <w:sz w:val="20"/>
          <w:szCs w:val="20"/>
          <w:lang w:val="en-US"/>
        </w:rPr>
        <w:t>Draft updated guidance on the global monitoring plan for persistent organic pollutants;</w:t>
      </w:r>
      <w:r w:rsidRPr="008261BD">
        <w:rPr>
          <w:rStyle w:val="FootnoteReference"/>
          <w:rFonts w:asciiTheme="majorBidi" w:hAnsiTheme="majorBidi" w:cstheme="majorBidi"/>
          <w:snapToGrid w:val="0"/>
          <w:lang w:val="en-US"/>
        </w:rPr>
        <w:footnoteReference w:id="28"/>
      </w:r>
    </w:p>
    <w:p w14:paraId="3E10EE50" w14:textId="77777777" w:rsidR="00053838" w:rsidRPr="00FB1B0B" w:rsidRDefault="00053838" w:rsidP="00053838">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b/>
          <w:bCs/>
          <w:snapToGrid w:val="0"/>
          <w:color w:val="000000"/>
          <w:sz w:val="24"/>
          <w:szCs w:val="24"/>
          <w:lang w:val="en-US"/>
        </w:rPr>
      </w:pPr>
      <w:r w:rsidRPr="008261BD">
        <w:rPr>
          <w:rFonts w:asciiTheme="majorBidi" w:hAnsiTheme="majorBidi" w:cstheme="majorBidi"/>
          <w:snapToGrid w:val="0"/>
          <w:color w:val="000000"/>
          <w:sz w:val="20"/>
          <w:szCs w:val="20"/>
          <w:lang w:val="en-US"/>
        </w:rPr>
        <w:t>Draft guidance on best available techniques and best environmental practices for the production and use of pentachlorophenol, its salts and esters listed with specific exemptions under the Stockholm Convention.</w:t>
      </w:r>
      <w:r w:rsidRPr="008261BD">
        <w:rPr>
          <w:rStyle w:val="FootnoteReference"/>
          <w:rFonts w:asciiTheme="majorBidi" w:hAnsiTheme="majorBidi" w:cstheme="majorBidi"/>
          <w:snapToGrid w:val="0"/>
          <w:lang w:val="en-US"/>
        </w:rPr>
        <w:footnoteReference w:id="29"/>
      </w:r>
    </w:p>
    <w:p w14:paraId="56FC0817" w14:textId="638BE7D1" w:rsidR="00053838" w:rsidRPr="008261BD" w:rsidRDefault="00053838" w:rsidP="002A6A49">
      <w:pPr>
        <w:numPr>
          <w:ilvl w:val="0"/>
          <w:numId w:val="1"/>
        </w:numPr>
        <w:tabs>
          <w:tab w:val="left" w:pos="1276"/>
          <w:tab w:val="left" w:pos="1814"/>
          <w:tab w:val="left" w:pos="2381"/>
          <w:tab w:val="left" w:pos="2948"/>
          <w:tab w:val="left" w:pos="3515"/>
        </w:tabs>
        <w:spacing w:after="120" w:line="240" w:lineRule="auto"/>
        <w:ind w:left="1276" w:firstLine="0"/>
        <w:rPr>
          <w:rFonts w:asciiTheme="majorBidi" w:hAnsiTheme="majorBidi" w:cstheme="majorBidi"/>
          <w:b/>
          <w:bCs/>
          <w:snapToGrid w:val="0"/>
          <w:color w:val="000000"/>
          <w:sz w:val="24"/>
          <w:szCs w:val="24"/>
          <w:lang w:val="en-US"/>
        </w:rPr>
      </w:pPr>
      <w:r w:rsidRPr="00FB1B0B">
        <w:rPr>
          <w:rFonts w:asciiTheme="majorBidi" w:hAnsiTheme="majorBidi" w:cstheme="majorBidi"/>
          <w:bCs/>
          <w:snapToGrid w:val="0"/>
          <w:color w:val="000000"/>
          <w:sz w:val="20"/>
          <w:szCs w:val="20"/>
          <w:lang w:val="en-US"/>
        </w:rPr>
        <w:t xml:space="preserve">The Global Symposium on Soil Pollution, held in Rome </w:t>
      </w:r>
      <w:r w:rsidR="00A87646">
        <w:rPr>
          <w:rFonts w:asciiTheme="majorBidi" w:hAnsiTheme="majorBidi" w:cstheme="majorBidi"/>
          <w:bCs/>
          <w:snapToGrid w:val="0"/>
          <w:color w:val="000000"/>
          <w:sz w:val="20"/>
          <w:szCs w:val="20"/>
          <w:lang w:val="en-US"/>
        </w:rPr>
        <w:t xml:space="preserve">from </w:t>
      </w:r>
      <w:r w:rsidRPr="00FB1B0B">
        <w:rPr>
          <w:rFonts w:asciiTheme="majorBidi" w:hAnsiTheme="majorBidi" w:cstheme="majorBidi"/>
          <w:bCs/>
          <w:snapToGrid w:val="0"/>
          <w:color w:val="000000"/>
          <w:sz w:val="20"/>
          <w:szCs w:val="20"/>
          <w:lang w:val="en-US"/>
        </w:rPr>
        <w:t>2</w:t>
      </w:r>
      <w:r w:rsidR="00A87646">
        <w:rPr>
          <w:rFonts w:asciiTheme="majorBidi" w:hAnsiTheme="majorBidi" w:cstheme="majorBidi"/>
          <w:bCs/>
          <w:snapToGrid w:val="0"/>
          <w:color w:val="000000"/>
          <w:sz w:val="20"/>
          <w:szCs w:val="20"/>
          <w:lang w:val="en-US"/>
        </w:rPr>
        <w:t xml:space="preserve"> to </w:t>
      </w:r>
      <w:r w:rsidRPr="00FB1B0B">
        <w:rPr>
          <w:rFonts w:asciiTheme="majorBidi" w:hAnsiTheme="majorBidi" w:cstheme="majorBidi"/>
          <w:bCs/>
          <w:snapToGrid w:val="0"/>
          <w:color w:val="000000"/>
          <w:sz w:val="20"/>
          <w:szCs w:val="20"/>
          <w:lang w:val="en-US"/>
        </w:rPr>
        <w:t xml:space="preserve">4 May 2018, was co-organized by the Secretariat of the Basel, Rotterdam and Stockholm Convention, the Food and Agriculture Organization of the United Nations, the Global Soil Partnership, the Intergovernmental Technical Panel on Soils, UN Environment and the World Health Organization. The symposium </w:t>
      </w:r>
      <w:r>
        <w:rPr>
          <w:rFonts w:asciiTheme="majorBidi" w:hAnsiTheme="majorBidi" w:cstheme="majorBidi"/>
          <w:bCs/>
          <w:snapToGrid w:val="0"/>
          <w:color w:val="000000"/>
          <w:sz w:val="20"/>
          <w:szCs w:val="20"/>
          <w:lang w:val="en-US"/>
        </w:rPr>
        <w:t xml:space="preserve">was </w:t>
      </w:r>
      <w:r w:rsidRPr="00FB1B0B">
        <w:rPr>
          <w:rFonts w:asciiTheme="majorBidi" w:hAnsiTheme="majorBidi" w:cstheme="majorBidi"/>
          <w:bCs/>
          <w:snapToGrid w:val="0"/>
          <w:color w:val="000000"/>
          <w:sz w:val="20"/>
          <w:szCs w:val="20"/>
          <w:lang w:val="en-US"/>
        </w:rPr>
        <w:t xml:space="preserve">attended by 525 participants from 100 countries, including </w:t>
      </w:r>
      <w:r>
        <w:rPr>
          <w:rFonts w:asciiTheme="majorBidi" w:hAnsiTheme="majorBidi" w:cstheme="majorBidi"/>
          <w:bCs/>
          <w:snapToGrid w:val="0"/>
          <w:color w:val="000000"/>
          <w:sz w:val="20"/>
          <w:szCs w:val="20"/>
          <w:lang w:val="en-US"/>
        </w:rPr>
        <w:t xml:space="preserve">policy-makers, representatives of </w:t>
      </w:r>
      <w:r w:rsidRPr="00FB1B0B">
        <w:rPr>
          <w:rFonts w:asciiTheme="majorBidi" w:hAnsiTheme="majorBidi" w:cstheme="majorBidi"/>
          <w:bCs/>
          <w:snapToGrid w:val="0"/>
          <w:color w:val="000000"/>
          <w:sz w:val="20"/>
          <w:szCs w:val="20"/>
          <w:lang w:val="en-US"/>
        </w:rPr>
        <w:t>the private sector and civil society, as well as scientists working on soil pollution and related fields.</w:t>
      </w:r>
      <w:r>
        <w:rPr>
          <w:rFonts w:asciiTheme="majorBidi" w:hAnsiTheme="majorBidi" w:cstheme="majorBidi"/>
          <w:bCs/>
          <w:snapToGrid w:val="0"/>
          <w:color w:val="000000"/>
          <w:sz w:val="20"/>
          <w:szCs w:val="20"/>
          <w:lang w:val="en-US"/>
        </w:rPr>
        <w:t xml:space="preserve"> </w:t>
      </w:r>
      <w:r w:rsidRPr="003654CB">
        <w:rPr>
          <w:rFonts w:asciiTheme="majorBidi" w:hAnsiTheme="majorBidi" w:cstheme="majorBidi"/>
          <w:bCs/>
          <w:snapToGrid w:val="0"/>
          <w:color w:val="000000"/>
          <w:sz w:val="20"/>
          <w:szCs w:val="20"/>
          <w:lang w:val="en-US"/>
        </w:rPr>
        <w:t>The overall aim of the symposium was to gather available information and scientific knowledge on soil pollution.</w:t>
      </w:r>
    </w:p>
    <w:p w14:paraId="1150E435" w14:textId="77777777" w:rsidR="00BE2BA4" w:rsidRPr="008261BD" w:rsidRDefault="00BE2BA4" w:rsidP="00D63870">
      <w:pPr>
        <w:pStyle w:val="ListParagraph"/>
        <w:numPr>
          <w:ilvl w:val="0"/>
          <w:numId w:val="5"/>
        </w:numPr>
        <w:tabs>
          <w:tab w:val="left" w:pos="1276"/>
          <w:tab w:val="left" w:pos="2381"/>
          <w:tab w:val="left" w:pos="2948"/>
          <w:tab w:val="left" w:pos="3515"/>
        </w:tabs>
        <w:spacing w:after="120" w:line="240" w:lineRule="auto"/>
        <w:ind w:left="1276" w:hanging="709"/>
        <w:contextualSpacing w:val="0"/>
        <w:rPr>
          <w:rFonts w:asciiTheme="majorBidi" w:hAnsiTheme="majorBidi" w:cstheme="majorBidi"/>
          <w:b/>
          <w:bCs/>
          <w:snapToGrid w:val="0"/>
          <w:color w:val="000000"/>
          <w:sz w:val="24"/>
          <w:szCs w:val="24"/>
          <w:lang w:val="en-US"/>
        </w:rPr>
      </w:pPr>
      <w:r w:rsidRPr="008261BD">
        <w:rPr>
          <w:rFonts w:asciiTheme="majorBidi" w:hAnsiTheme="majorBidi" w:cstheme="majorBidi"/>
          <w:b/>
          <w:bCs/>
          <w:snapToGrid w:val="0"/>
          <w:color w:val="000000"/>
          <w:sz w:val="24"/>
          <w:szCs w:val="24"/>
          <w:lang w:val="en-US"/>
        </w:rPr>
        <w:t>Progress in the implementation of resolution 3/7 on marine litter and microplastics</w:t>
      </w:r>
    </w:p>
    <w:p w14:paraId="674F834B" w14:textId="77777777" w:rsidR="00BE2BA4" w:rsidRPr="008261BD" w:rsidRDefault="00BE2BA4" w:rsidP="002A6A49">
      <w:pPr>
        <w:numPr>
          <w:ilvl w:val="0"/>
          <w:numId w:val="1"/>
        </w:numPr>
        <w:tabs>
          <w:tab w:val="left" w:pos="1276"/>
          <w:tab w:val="left" w:pos="1814"/>
          <w:tab w:val="left" w:pos="2381"/>
          <w:tab w:val="left" w:pos="2948"/>
          <w:tab w:val="left" w:pos="3515"/>
        </w:tabs>
        <w:spacing w:after="120" w:line="240" w:lineRule="auto"/>
        <w:ind w:left="1276" w:firstLine="0"/>
        <w:rPr>
          <w:rFonts w:asciiTheme="majorBidi" w:hAnsiTheme="majorBidi" w:cstheme="majorBidi"/>
          <w:b/>
          <w:bCs/>
          <w:snapToGrid w:val="0"/>
          <w:color w:val="000000"/>
          <w:sz w:val="24"/>
          <w:szCs w:val="24"/>
          <w:lang w:val="en-US"/>
        </w:rPr>
      </w:pPr>
      <w:r w:rsidRPr="008261BD">
        <w:rPr>
          <w:rFonts w:asciiTheme="majorBidi" w:hAnsiTheme="majorBidi" w:cstheme="majorBidi"/>
          <w:sz w:val="20"/>
          <w:szCs w:val="20"/>
          <w:lang w:val="en-US"/>
        </w:rPr>
        <w:t xml:space="preserve">In resolution 3/7 on marine litter and microplastics, the Environment Assembly, among other things, invited relevant international and regional organizations and conventions, including the Basel Convention on the Control of Transboundary Movements of Hazardous Wastes and Their Disposal, the Stockholm Convention on Persistent Organic Pollutants, the International Maritime Organization and its conventions, the Food and Agriculture Organization of the United Nations, regional fisheries management organizations and arrangements, regional seas conventions and </w:t>
      </w:r>
      <w:proofErr w:type="spellStart"/>
      <w:r w:rsidRPr="008261BD">
        <w:rPr>
          <w:rFonts w:asciiTheme="majorBidi" w:hAnsiTheme="majorBidi" w:cstheme="majorBidi"/>
          <w:sz w:val="20"/>
          <w:szCs w:val="20"/>
          <w:lang w:val="en-US"/>
        </w:rPr>
        <w:t>programmes</w:t>
      </w:r>
      <w:proofErr w:type="spellEnd"/>
      <w:r w:rsidRPr="008261BD">
        <w:rPr>
          <w:rFonts w:asciiTheme="majorBidi" w:hAnsiTheme="majorBidi" w:cstheme="majorBidi"/>
          <w:sz w:val="20"/>
          <w:szCs w:val="20"/>
          <w:lang w:val="en-US"/>
        </w:rPr>
        <w:t>, the Organization for Economic Cooperation and Development and the Strategic Approach to International Chemicals Management, as appropriate within their mandates, to increase their action to prevent and reduce marine litter and microplastics and their harmful effects and to coordinate where appropriate to achieve that end.</w:t>
      </w:r>
    </w:p>
    <w:p w14:paraId="706CBD5E" w14:textId="77777777" w:rsidR="00BE2BA4" w:rsidRPr="008261BD" w:rsidRDefault="002E64A3" w:rsidP="002A6A49">
      <w:pPr>
        <w:numPr>
          <w:ilvl w:val="0"/>
          <w:numId w:val="1"/>
        </w:numPr>
        <w:tabs>
          <w:tab w:val="left" w:pos="1276"/>
          <w:tab w:val="left" w:pos="1814"/>
          <w:tab w:val="left" w:pos="2381"/>
          <w:tab w:val="left" w:pos="2948"/>
          <w:tab w:val="left" w:pos="3515"/>
        </w:tabs>
        <w:spacing w:after="120" w:line="240" w:lineRule="auto"/>
        <w:ind w:left="1276" w:firstLine="0"/>
        <w:rPr>
          <w:rFonts w:asciiTheme="majorBidi" w:hAnsiTheme="majorBidi" w:cstheme="majorBidi"/>
          <w:b/>
          <w:bCs/>
          <w:snapToGrid w:val="0"/>
          <w:color w:val="000000"/>
          <w:sz w:val="24"/>
          <w:szCs w:val="24"/>
          <w:lang w:val="en-US"/>
        </w:rPr>
      </w:pPr>
      <w:r>
        <w:rPr>
          <w:rFonts w:asciiTheme="majorBidi" w:hAnsiTheme="majorBidi" w:cstheme="majorBidi"/>
          <w:sz w:val="20"/>
          <w:szCs w:val="20"/>
          <w:lang w:val="en-US"/>
        </w:rPr>
        <w:t>Accordingly, the upcoming</w:t>
      </w:r>
      <w:r w:rsidR="00BE2BA4" w:rsidRPr="008261BD">
        <w:rPr>
          <w:rFonts w:asciiTheme="majorBidi" w:hAnsiTheme="majorBidi" w:cstheme="majorBidi"/>
          <w:sz w:val="20"/>
          <w:szCs w:val="20"/>
          <w:lang w:val="en-US"/>
        </w:rPr>
        <w:t xml:space="preserve"> fourteenth meeting the Conference of the Parties to the Basel Convention will </w:t>
      </w:r>
      <w:r>
        <w:rPr>
          <w:rFonts w:asciiTheme="majorBidi" w:hAnsiTheme="majorBidi" w:cstheme="majorBidi"/>
          <w:sz w:val="20"/>
          <w:szCs w:val="20"/>
          <w:lang w:val="en-US"/>
        </w:rPr>
        <w:t>discuss</w:t>
      </w:r>
      <w:r w:rsidR="00BE2BA4" w:rsidRPr="008261BD">
        <w:rPr>
          <w:rFonts w:asciiTheme="majorBidi" w:hAnsiTheme="majorBidi" w:cstheme="majorBidi"/>
          <w:sz w:val="20"/>
          <w:szCs w:val="20"/>
          <w:lang w:val="en-US"/>
        </w:rPr>
        <w:t xml:space="preserve"> several proposals to increase action on marine litter and microplastics under the Basel Convention, namely:</w:t>
      </w:r>
    </w:p>
    <w:p w14:paraId="16A9B949" w14:textId="41373032" w:rsidR="008261BD" w:rsidRPr="008261BD" w:rsidRDefault="008261BD" w:rsidP="008261BD">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b/>
          <w:bCs/>
          <w:snapToGrid w:val="0"/>
          <w:color w:val="000000"/>
          <w:sz w:val="24"/>
          <w:szCs w:val="24"/>
          <w:lang w:val="en-US"/>
        </w:rPr>
      </w:pPr>
      <w:r w:rsidRPr="008261BD">
        <w:rPr>
          <w:rFonts w:asciiTheme="majorBidi" w:hAnsiTheme="majorBidi" w:cstheme="majorBidi"/>
          <w:sz w:val="20"/>
          <w:szCs w:val="20"/>
          <w:lang w:val="en-US"/>
        </w:rPr>
        <w:t>The establishment of a partnership on plastic waste that also addresses marine plastic litter and microplastics</w:t>
      </w:r>
      <w:r w:rsidR="005542F4">
        <w:rPr>
          <w:rFonts w:asciiTheme="majorBidi" w:hAnsiTheme="majorBidi" w:cstheme="majorBidi"/>
          <w:sz w:val="20"/>
          <w:szCs w:val="20"/>
          <w:lang w:val="en-US"/>
        </w:rPr>
        <w:t>;</w:t>
      </w:r>
      <w:r w:rsidRPr="008261BD">
        <w:rPr>
          <w:rStyle w:val="FootnoteReference"/>
          <w:rFonts w:asciiTheme="majorBidi" w:hAnsiTheme="majorBidi" w:cstheme="majorBidi"/>
          <w:szCs w:val="20"/>
        </w:rPr>
        <w:footnoteReference w:id="30"/>
      </w:r>
    </w:p>
    <w:p w14:paraId="0835DBFF" w14:textId="7D40BBA3" w:rsidR="008261BD" w:rsidRPr="008261BD" w:rsidRDefault="008261BD" w:rsidP="008261BD">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b/>
          <w:bCs/>
          <w:snapToGrid w:val="0"/>
          <w:color w:val="000000"/>
          <w:sz w:val="24"/>
          <w:szCs w:val="24"/>
          <w:lang w:val="en-US"/>
        </w:rPr>
      </w:pPr>
      <w:r w:rsidRPr="008261BD">
        <w:rPr>
          <w:rFonts w:asciiTheme="majorBidi" w:hAnsiTheme="majorBidi" w:cstheme="majorBidi"/>
          <w:sz w:val="20"/>
          <w:szCs w:val="20"/>
          <w:lang w:val="en-US"/>
        </w:rPr>
        <w:t xml:space="preserve">The adoption of further actions on marine plastic litter an microplastics </w:t>
      </w:r>
      <w:proofErr w:type="gramStart"/>
      <w:r w:rsidRPr="008261BD">
        <w:rPr>
          <w:rFonts w:asciiTheme="majorBidi" w:hAnsiTheme="majorBidi" w:cstheme="majorBidi"/>
          <w:sz w:val="20"/>
          <w:szCs w:val="20"/>
          <w:lang w:val="en-US"/>
        </w:rPr>
        <w:t>on the basis of</w:t>
      </w:r>
      <w:proofErr w:type="gramEnd"/>
      <w:r w:rsidRPr="008261BD">
        <w:rPr>
          <w:rFonts w:asciiTheme="majorBidi" w:hAnsiTheme="majorBidi" w:cstheme="majorBidi"/>
          <w:sz w:val="20"/>
          <w:szCs w:val="20"/>
          <w:lang w:val="en-US"/>
        </w:rPr>
        <w:t xml:space="preserve"> a set of draft elements agreed by the eleventh meeting of the Open-ended working group. Those elements, amongst other things, provide for a process to update the technical guidelines for the identification and environmentally sound management of plastic wastes and for their disposal adopted in 2002, inter alia</w:t>
      </w:r>
      <w:r w:rsidR="005542F4">
        <w:rPr>
          <w:rFonts w:asciiTheme="majorBidi" w:hAnsiTheme="majorBidi" w:cstheme="majorBidi"/>
          <w:sz w:val="20"/>
          <w:szCs w:val="20"/>
          <w:lang w:val="en-US"/>
        </w:rPr>
        <w:t>,</w:t>
      </w:r>
      <w:r w:rsidRPr="008261BD">
        <w:rPr>
          <w:rFonts w:asciiTheme="majorBidi" w:hAnsiTheme="majorBidi" w:cstheme="majorBidi"/>
          <w:sz w:val="20"/>
          <w:szCs w:val="20"/>
          <w:lang w:val="en-US"/>
        </w:rPr>
        <w:t xml:space="preserve"> to address the challenges of marine plastic litter and microplastics and establish a group for this purpose; request the Household Waste Partnership to coordinate closely with the new partnership on plastic wastes to be established; and invite the expert working group on the review of </w:t>
      </w:r>
      <w:r w:rsidRPr="008261BD">
        <w:rPr>
          <w:rFonts w:asciiTheme="majorBidi" w:hAnsiTheme="majorBidi" w:cstheme="majorBidi"/>
          <w:sz w:val="20"/>
          <w:szCs w:val="20"/>
          <w:lang w:val="en-US"/>
        </w:rPr>
        <w:lastRenderedPageBreak/>
        <w:t>annexes to consider whether any additional constituents or characteristics should be added to Annex I or Annex III to the Convention</w:t>
      </w:r>
      <w:r w:rsidR="005542F4">
        <w:rPr>
          <w:rFonts w:asciiTheme="majorBidi" w:hAnsiTheme="majorBidi" w:cstheme="majorBidi"/>
          <w:sz w:val="20"/>
          <w:szCs w:val="20"/>
          <w:lang w:val="en-US"/>
        </w:rPr>
        <w:t>;</w:t>
      </w:r>
      <w:r w:rsidRPr="008261BD">
        <w:rPr>
          <w:rStyle w:val="FootnoteReference"/>
          <w:rFonts w:asciiTheme="majorBidi" w:hAnsiTheme="majorBidi" w:cstheme="majorBidi"/>
          <w:lang w:val="en-US"/>
        </w:rPr>
        <w:footnoteReference w:id="31"/>
      </w:r>
    </w:p>
    <w:p w14:paraId="15457B23" w14:textId="77777777" w:rsidR="008261BD" w:rsidRPr="008261BD" w:rsidRDefault="008261BD" w:rsidP="008261BD">
      <w:pPr>
        <w:numPr>
          <w:ilvl w:val="1"/>
          <w:numId w:val="1"/>
        </w:numPr>
        <w:tabs>
          <w:tab w:val="left" w:pos="1276"/>
          <w:tab w:val="left" w:pos="1814"/>
          <w:tab w:val="left" w:pos="2381"/>
          <w:tab w:val="left" w:pos="2948"/>
          <w:tab w:val="left" w:pos="3515"/>
        </w:tabs>
        <w:spacing w:after="120" w:line="240" w:lineRule="auto"/>
        <w:ind w:left="1282" w:firstLine="562"/>
        <w:rPr>
          <w:rFonts w:asciiTheme="majorBidi" w:hAnsiTheme="majorBidi" w:cstheme="majorBidi"/>
          <w:b/>
          <w:bCs/>
          <w:snapToGrid w:val="0"/>
          <w:color w:val="000000"/>
          <w:sz w:val="24"/>
          <w:szCs w:val="24"/>
          <w:lang w:val="en-US"/>
        </w:rPr>
      </w:pPr>
      <w:r w:rsidRPr="008261BD">
        <w:rPr>
          <w:rFonts w:asciiTheme="majorBidi" w:hAnsiTheme="majorBidi" w:cstheme="majorBidi"/>
          <w:sz w:val="20"/>
          <w:szCs w:val="20"/>
          <w:lang w:val="en-US"/>
        </w:rPr>
        <w:t xml:space="preserve">A proposal to amend Annexes II, VIII and IX to the Basel Convention submitted by Norway on 12 October 2018, followed by a corrigendum on 19 November 2018, which proposes to distinguish between three categories of plastic waste under the Basel Convention </w:t>
      </w:r>
      <w:r w:rsidRPr="008261BD">
        <w:rPr>
          <w:rFonts w:asciiTheme="majorBidi" w:eastAsia="TimesNewRomanPS-BoldMT" w:hAnsiTheme="majorBidi" w:cstheme="majorBidi"/>
          <w:sz w:val="20"/>
          <w:szCs w:val="20"/>
          <w:lang w:val="en-US"/>
        </w:rPr>
        <w:t xml:space="preserve">– </w:t>
      </w:r>
      <w:r w:rsidRPr="008261BD">
        <w:rPr>
          <w:rFonts w:asciiTheme="majorBidi" w:hAnsiTheme="majorBidi" w:cstheme="majorBidi"/>
          <w:sz w:val="20"/>
          <w:szCs w:val="20"/>
          <w:lang w:val="en-US"/>
        </w:rPr>
        <w:t>single polymer uncontaminated plastic waste, plastic waste requiring special consideration, and hazardous plastic waste, the two latter categories falling under the prior informed consent procedure.</w:t>
      </w:r>
      <w:r w:rsidRPr="008261BD">
        <w:rPr>
          <w:rStyle w:val="FootnoteReference"/>
          <w:rFonts w:asciiTheme="majorBidi" w:hAnsiTheme="majorBidi" w:cstheme="majorBidi"/>
        </w:rPr>
        <w:footnoteReference w:id="32"/>
      </w:r>
    </w:p>
    <w:p w14:paraId="2591BBB8" w14:textId="2EC4B329" w:rsidR="008261BD" w:rsidRPr="00FB1B0B" w:rsidRDefault="008261BD" w:rsidP="002A6A49">
      <w:pPr>
        <w:numPr>
          <w:ilvl w:val="0"/>
          <w:numId w:val="1"/>
        </w:numPr>
        <w:tabs>
          <w:tab w:val="left" w:pos="1276"/>
          <w:tab w:val="left" w:pos="1814"/>
          <w:tab w:val="left" w:pos="2381"/>
          <w:tab w:val="left" w:pos="2948"/>
          <w:tab w:val="left" w:pos="3515"/>
        </w:tabs>
        <w:spacing w:after="120" w:line="240" w:lineRule="auto"/>
        <w:ind w:left="1276" w:firstLine="0"/>
        <w:rPr>
          <w:rFonts w:asciiTheme="majorBidi" w:hAnsiTheme="majorBidi" w:cstheme="majorBidi"/>
          <w:snapToGrid w:val="0"/>
          <w:color w:val="000000"/>
          <w:sz w:val="20"/>
          <w:szCs w:val="20"/>
          <w:lang w:val="en-US"/>
        </w:rPr>
      </w:pPr>
      <w:r w:rsidRPr="00FB1B0B">
        <w:rPr>
          <w:rFonts w:asciiTheme="majorBidi" w:hAnsiTheme="majorBidi" w:cstheme="majorBidi"/>
          <w:snapToGrid w:val="0"/>
          <w:color w:val="000000"/>
          <w:sz w:val="20"/>
          <w:szCs w:val="20"/>
          <w:lang w:val="en-US"/>
        </w:rPr>
        <w:t xml:space="preserve">A detailed report on the contribution of the Basel Convention to the work on marine plastic litter is set out in </w:t>
      </w:r>
      <w:r w:rsidR="00E91BA7">
        <w:rPr>
          <w:rFonts w:asciiTheme="majorBidi" w:hAnsiTheme="majorBidi" w:cstheme="majorBidi"/>
          <w:snapToGrid w:val="0"/>
          <w:color w:val="000000"/>
          <w:sz w:val="20"/>
          <w:szCs w:val="20"/>
          <w:lang w:val="en-US"/>
        </w:rPr>
        <w:t>the a</w:t>
      </w:r>
      <w:r w:rsidRPr="00FB1B0B">
        <w:rPr>
          <w:rFonts w:asciiTheme="majorBidi" w:hAnsiTheme="majorBidi" w:cstheme="majorBidi"/>
          <w:snapToGrid w:val="0"/>
          <w:color w:val="000000"/>
          <w:sz w:val="20"/>
          <w:szCs w:val="20"/>
          <w:lang w:val="en-US"/>
        </w:rPr>
        <w:t xml:space="preserve">nnex </w:t>
      </w:r>
      <w:r w:rsidR="00E91BA7">
        <w:rPr>
          <w:rFonts w:asciiTheme="majorBidi" w:hAnsiTheme="majorBidi" w:cstheme="majorBidi"/>
          <w:snapToGrid w:val="0"/>
          <w:color w:val="000000"/>
          <w:sz w:val="20"/>
          <w:szCs w:val="20"/>
          <w:lang w:val="en-US"/>
        </w:rPr>
        <w:t>to the present note</w:t>
      </w:r>
      <w:r w:rsidRPr="00FB1B0B">
        <w:rPr>
          <w:rFonts w:asciiTheme="majorBidi" w:hAnsiTheme="majorBidi" w:cstheme="majorBidi"/>
          <w:snapToGrid w:val="0"/>
          <w:color w:val="000000"/>
          <w:sz w:val="20"/>
          <w:szCs w:val="20"/>
          <w:lang w:val="en-US"/>
        </w:rPr>
        <w:t>.</w:t>
      </w:r>
    </w:p>
    <w:p w14:paraId="62DB38B1" w14:textId="77777777" w:rsidR="00BB17E7" w:rsidRPr="008261BD" w:rsidRDefault="00BB17E7" w:rsidP="00D63870">
      <w:pPr>
        <w:pStyle w:val="ListParagraph"/>
        <w:numPr>
          <w:ilvl w:val="0"/>
          <w:numId w:val="5"/>
        </w:numPr>
        <w:tabs>
          <w:tab w:val="left" w:pos="1276"/>
          <w:tab w:val="left" w:pos="2381"/>
          <w:tab w:val="left" w:pos="2948"/>
          <w:tab w:val="left" w:pos="3515"/>
        </w:tabs>
        <w:spacing w:after="120" w:line="240" w:lineRule="auto"/>
        <w:ind w:left="1276" w:hanging="709"/>
        <w:contextualSpacing w:val="0"/>
        <w:rPr>
          <w:rFonts w:asciiTheme="majorBidi" w:hAnsiTheme="majorBidi" w:cstheme="majorBidi"/>
          <w:b/>
          <w:bCs/>
          <w:snapToGrid w:val="0"/>
          <w:color w:val="000000"/>
          <w:sz w:val="24"/>
          <w:szCs w:val="24"/>
          <w:lang w:val="en-US"/>
        </w:rPr>
      </w:pPr>
      <w:r w:rsidRPr="008261BD">
        <w:rPr>
          <w:rFonts w:asciiTheme="majorBidi" w:hAnsiTheme="majorBidi" w:cstheme="majorBidi"/>
          <w:b/>
          <w:bCs/>
          <w:snapToGrid w:val="0"/>
          <w:color w:val="000000"/>
          <w:sz w:val="24"/>
          <w:szCs w:val="24"/>
          <w:lang w:val="en-US"/>
        </w:rPr>
        <w:t>Progress in the implementation of resolution 3/9 on eliminating exposure to lead paint and promoting environmentally sound management of waste lead-acid batteries</w:t>
      </w:r>
    </w:p>
    <w:p w14:paraId="5823AD78" w14:textId="6BC2C416" w:rsidR="00AC3078" w:rsidRPr="008261BD" w:rsidRDefault="00BB17E7" w:rsidP="004906C8">
      <w:pPr>
        <w:numPr>
          <w:ilvl w:val="0"/>
          <w:numId w:val="1"/>
        </w:numPr>
        <w:tabs>
          <w:tab w:val="left" w:pos="1260"/>
          <w:tab w:val="left" w:pos="1814"/>
          <w:tab w:val="left" w:pos="2381"/>
          <w:tab w:val="left" w:pos="2948"/>
          <w:tab w:val="left" w:pos="3515"/>
        </w:tabs>
        <w:spacing w:after="120" w:line="240" w:lineRule="auto"/>
        <w:ind w:left="1276" w:firstLine="0"/>
        <w:rPr>
          <w:rFonts w:asciiTheme="majorBidi" w:hAnsiTheme="majorBidi" w:cstheme="majorBidi"/>
          <w:b/>
          <w:bCs/>
          <w:snapToGrid w:val="0"/>
          <w:color w:val="000000"/>
          <w:sz w:val="24"/>
          <w:szCs w:val="24"/>
          <w:lang w:val="en-US"/>
        </w:rPr>
      </w:pPr>
      <w:r w:rsidRPr="008261BD">
        <w:rPr>
          <w:rFonts w:asciiTheme="majorBidi" w:hAnsiTheme="majorBidi" w:cstheme="majorBidi"/>
          <w:sz w:val="20"/>
          <w:szCs w:val="20"/>
          <w:lang w:val="en-US"/>
        </w:rPr>
        <w:t>At its fourteenth meeting, the Conference of the Parties to the Basel Convention will consider the invitation by resolution 3/9 to revise the technical guidelines on the environmentally sound management of waste lead-acid batteries regarding the application of new technologies in different aspects of environmentally sound management systems.</w:t>
      </w:r>
      <w:r w:rsidRPr="008261BD">
        <w:rPr>
          <w:rStyle w:val="FootnoteReference"/>
          <w:rFonts w:asciiTheme="majorBidi" w:hAnsiTheme="majorBidi" w:cstheme="majorBidi"/>
          <w:szCs w:val="20"/>
          <w:lang w:val="en-US"/>
        </w:rPr>
        <w:footnoteReference w:id="33"/>
      </w:r>
      <w:r w:rsidR="00AC3078" w:rsidRPr="00AC3078">
        <w:rPr>
          <w:rFonts w:asciiTheme="majorBidi" w:hAnsiTheme="majorBidi" w:cstheme="majorBidi"/>
          <w:b/>
          <w:bCs/>
          <w:snapToGrid w:val="0"/>
          <w:color w:val="000000"/>
          <w:sz w:val="24"/>
          <w:szCs w:val="24"/>
          <w:lang w:val="en-US"/>
        </w:rPr>
        <w:t xml:space="preserve"> </w:t>
      </w:r>
      <w:r w:rsidR="00AC3078" w:rsidRPr="008261BD">
        <w:rPr>
          <w:rFonts w:asciiTheme="majorBidi" w:hAnsiTheme="majorBidi" w:cstheme="majorBidi"/>
          <w:b/>
          <w:bCs/>
          <w:snapToGrid w:val="0"/>
          <w:color w:val="000000"/>
          <w:sz w:val="24"/>
          <w:szCs w:val="24"/>
          <w:lang w:val="en-US"/>
        </w:rPr>
        <w:br w:type="page"/>
      </w:r>
    </w:p>
    <w:p w14:paraId="651D6F53" w14:textId="3BF9C168" w:rsidR="008261BD" w:rsidRPr="001357AB" w:rsidRDefault="008261BD" w:rsidP="001357AB">
      <w:pPr>
        <w:tabs>
          <w:tab w:val="left" w:pos="1247"/>
          <w:tab w:val="left" w:pos="1814"/>
          <w:tab w:val="left" w:pos="2381"/>
          <w:tab w:val="left" w:pos="2948"/>
          <w:tab w:val="left" w:pos="3515"/>
        </w:tabs>
        <w:spacing w:before="360" w:after="120" w:line="240" w:lineRule="auto"/>
        <w:rPr>
          <w:rFonts w:asciiTheme="majorBidi" w:eastAsia="Times New Roman" w:hAnsiTheme="majorBidi" w:cstheme="majorBidi"/>
          <w:b/>
          <w:bCs/>
          <w:sz w:val="28"/>
          <w:szCs w:val="26"/>
          <w:lang w:val="en-GB"/>
        </w:rPr>
      </w:pPr>
      <w:r w:rsidRPr="008261BD">
        <w:rPr>
          <w:rFonts w:asciiTheme="majorBidi" w:eastAsia="Times New Roman" w:hAnsiTheme="majorBidi" w:cstheme="majorBidi"/>
          <w:b/>
          <w:bCs/>
          <w:sz w:val="28"/>
          <w:szCs w:val="26"/>
          <w:lang w:val="en-GB"/>
        </w:rPr>
        <w:lastRenderedPageBreak/>
        <w:t>Annex</w:t>
      </w:r>
      <w:r w:rsidR="00344C91">
        <w:rPr>
          <w:rFonts w:asciiTheme="majorBidi" w:eastAsia="Times New Roman" w:hAnsiTheme="majorBidi" w:cstheme="majorBidi"/>
          <w:b/>
          <w:bCs/>
          <w:sz w:val="28"/>
          <w:szCs w:val="26"/>
          <w:lang w:val="en-GB"/>
        </w:rPr>
        <w:t xml:space="preserve"> </w:t>
      </w:r>
    </w:p>
    <w:p w14:paraId="3544B040" w14:textId="77777777" w:rsidR="008261BD" w:rsidRPr="008261BD" w:rsidRDefault="008261BD" w:rsidP="00CF44DC">
      <w:pPr>
        <w:spacing w:after="240"/>
        <w:ind w:left="1267"/>
        <w:rPr>
          <w:rFonts w:asciiTheme="majorBidi" w:hAnsiTheme="majorBidi" w:cstheme="majorBidi"/>
          <w:b/>
          <w:sz w:val="28"/>
          <w:szCs w:val="28"/>
          <w:lang w:val="en-US"/>
        </w:rPr>
      </w:pPr>
      <w:r w:rsidRPr="008261BD">
        <w:rPr>
          <w:rFonts w:asciiTheme="majorBidi" w:hAnsiTheme="majorBidi" w:cstheme="majorBidi"/>
          <w:b/>
          <w:sz w:val="28"/>
          <w:szCs w:val="28"/>
          <w:lang w:val="en-US"/>
        </w:rPr>
        <w:t>Marine plastic litter and microplastics: The contribution of the Basel Convention</w:t>
      </w:r>
    </w:p>
    <w:p w14:paraId="272A4CB6" w14:textId="77777777" w:rsidR="008261BD" w:rsidRPr="00CF44DC" w:rsidRDefault="008261BD" w:rsidP="00D63870">
      <w:pPr>
        <w:pStyle w:val="ListParagraph"/>
        <w:numPr>
          <w:ilvl w:val="0"/>
          <w:numId w:val="7"/>
        </w:numPr>
        <w:spacing w:after="120" w:line="240" w:lineRule="auto"/>
        <w:ind w:left="1260"/>
        <w:contextualSpacing w:val="0"/>
        <w:rPr>
          <w:rFonts w:asciiTheme="majorBidi" w:hAnsiTheme="majorBidi" w:cstheme="majorBidi"/>
          <w:b/>
          <w:sz w:val="24"/>
          <w:szCs w:val="24"/>
        </w:rPr>
      </w:pPr>
      <w:r w:rsidRPr="00CF44DC">
        <w:rPr>
          <w:rFonts w:asciiTheme="majorBidi" w:hAnsiTheme="majorBidi" w:cstheme="majorBidi"/>
          <w:b/>
          <w:sz w:val="24"/>
          <w:szCs w:val="24"/>
        </w:rPr>
        <w:t>Introduction</w:t>
      </w:r>
    </w:p>
    <w:p w14:paraId="1CCDA435" w14:textId="3BE7C63D" w:rsidR="008261BD" w:rsidRPr="008261BD" w:rsidRDefault="008261BD" w:rsidP="00D63870">
      <w:pPr>
        <w:pStyle w:val="ListParagraph"/>
        <w:numPr>
          <w:ilvl w:val="0"/>
          <w:numId w:val="8"/>
        </w:numPr>
        <w:tabs>
          <w:tab w:val="left" w:pos="1890"/>
        </w:tabs>
        <w:spacing w:after="120" w:line="240" w:lineRule="auto"/>
        <w:ind w:left="1260" w:firstLine="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The Basel Convention on the Control of Transboundary Movements of Hazardous Wastes and their Disposal entered into force in 1992.  It has three principal aims: minimizing the generation of hazardous wastes and other wastes, controlling their transboundary movements and promoting their environmentally sound management</w:t>
      </w:r>
      <w:r w:rsidR="00AC3078">
        <w:rPr>
          <w:rFonts w:asciiTheme="majorBidi" w:hAnsiTheme="majorBidi" w:cstheme="majorBidi"/>
          <w:sz w:val="20"/>
          <w:szCs w:val="20"/>
          <w:lang w:val="en-US"/>
        </w:rPr>
        <w:t>.</w:t>
      </w:r>
      <w:r w:rsidRPr="008261BD">
        <w:rPr>
          <w:rFonts w:asciiTheme="majorBidi" w:hAnsiTheme="majorBidi" w:cstheme="majorBidi"/>
          <w:sz w:val="20"/>
          <w:szCs w:val="20"/>
          <w:lang w:val="en-US"/>
        </w:rPr>
        <w:t xml:space="preserve"> There are 187 Parties to the Convention.</w:t>
      </w:r>
    </w:p>
    <w:p w14:paraId="182140AD" w14:textId="1170FC6C" w:rsidR="008261BD" w:rsidRPr="008261BD" w:rsidRDefault="008261BD" w:rsidP="00D63870">
      <w:pPr>
        <w:pStyle w:val="ListParagraph"/>
        <w:numPr>
          <w:ilvl w:val="0"/>
          <w:numId w:val="8"/>
        </w:numPr>
        <w:tabs>
          <w:tab w:val="left" w:pos="1890"/>
        </w:tabs>
        <w:spacing w:after="120" w:line="240" w:lineRule="auto"/>
        <w:ind w:left="1260" w:firstLine="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The thirteenth meeting of the Conference of the Parties (COP), held in 2017, included in the work programme of one of its subsidiary bod</w:t>
      </w:r>
      <w:r w:rsidR="000D4A1F">
        <w:rPr>
          <w:rFonts w:asciiTheme="majorBidi" w:hAnsiTheme="majorBidi" w:cstheme="majorBidi"/>
          <w:sz w:val="20"/>
          <w:szCs w:val="20"/>
          <w:lang w:val="en-US"/>
        </w:rPr>
        <w:t>ies</w:t>
      </w:r>
      <w:r w:rsidRPr="008261BD">
        <w:rPr>
          <w:rFonts w:asciiTheme="majorBidi" w:hAnsiTheme="majorBidi" w:cstheme="majorBidi"/>
          <w:sz w:val="20"/>
          <w:szCs w:val="20"/>
          <w:lang w:val="en-US"/>
        </w:rPr>
        <w:t xml:space="preserve"> – the Basel Convention Open-ended Working Group (OEWG) -  a remit to consider relevant options available under the Convention to further address marine plastic litter and microplastics, taking into account, inter alia, the assessment requested by the United Nations Environment Assembly of the United Nations Environment Programme in its resolution 2/11, any relevant resolution adopted by the Environment Assembly at its third session and existing guidance documents and activities under the Basel Convention that address issues related to marine plastic litter and microplastics.  The OEWG was further requested to develop a proposal for possible further action, within the scope of the Convention and avoiding duplication with activities relating to the matter in other forums, for consideration by the COP at its fourteenth meeting.</w:t>
      </w:r>
    </w:p>
    <w:p w14:paraId="4EBAE1E5" w14:textId="7E1E1848" w:rsidR="008261BD" w:rsidRPr="008261BD" w:rsidRDefault="008261BD" w:rsidP="00D63870">
      <w:pPr>
        <w:pStyle w:val="ListParagraph"/>
        <w:numPr>
          <w:ilvl w:val="0"/>
          <w:numId w:val="8"/>
        </w:numPr>
        <w:tabs>
          <w:tab w:val="left" w:pos="1890"/>
        </w:tabs>
        <w:spacing w:after="120" w:line="240" w:lineRule="auto"/>
        <w:ind w:left="1260" w:firstLine="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 xml:space="preserve">The OEWG met in September 2018.  It agreed </w:t>
      </w:r>
      <w:r w:rsidR="00D2307A">
        <w:rPr>
          <w:rFonts w:asciiTheme="majorBidi" w:hAnsiTheme="majorBidi" w:cstheme="majorBidi"/>
          <w:sz w:val="20"/>
          <w:szCs w:val="20"/>
          <w:lang w:val="en-US"/>
        </w:rPr>
        <w:t xml:space="preserve">on </w:t>
      </w:r>
      <w:r w:rsidRPr="008261BD">
        <w:rPr>
          <w:rFonts w:asciiTheme="majorBidi" w:hAnsiTheme="majorBidi" w:cstheme="majorBidi"/>
          <w:iCs/>
          <w:color w:val="000000"/>
          <w:sz w:val="20"/>
          <w:szCs w:val="20"/>
          <w:lang w:val="en-US"/>
        </w:rPr>
        <w:t>draft elements, set out in the annex to its decision OEWG-11/18, to be taken as a basis for decisions by the COP on further actions on marine plastic litter and microplastics. These elements include, for example, e</w:t>
      </w:r>
      <w:r w:rsidRPr="008261BD">
        <w:rPr>
          <w:rFonts w:asciiTheme="majorBidi" w:hAnsiTheme="majorBidi" w:cstheme="majorBidi"/>
          <w:iCs/>
          <w:sz w:val="20"/>
          <w:szCs w:val="20"/>
          <w:lang w:val="en-US"/>
        </w:rPr>
        <w:t xml:space="preserve">mphasizing that work under the Basel Convention can and will play an important role in addressing </w:t>
      </w:r>
      <w:r w:rsidRPr="008261BD">
        <w:rPr>
          <w:rFonts w:asciiTheme="majorBidi" w:hAnsiTheme="majorBidi" w:cstheme="majorBidi"/>
          <w:sz w:val="20"/>
          <w:szCs w:val="20"/>
          <w:lang w:val="en-US"/>
        </w:rPr>
        <w:t xml:space="preserve">marine plastic litter and microplastics, the need to avoid duplication with work undertaken in other international forums, and the need to update the technical guidelines on plastic wastes adopted in 2002.  Specifically, the OEWG recommended that the COP should establish a Basel Convention Partnership on Plastic Wastes.  </w:t>
      </w:r>
      <w:r w:rsidR="00351D27">
        <w:rPr>
          <w:rFonts w:asciiTheme="majorBidi" w:hAnsiTheme="majorBidi" w:cstheme="majorBidi"/>
          <w:sz w:val="20"/>
          <w:szCs w:val="20"/>
          <w:lang w:val="en-US"/>
        </w:rPr>
        <w:t xml:space="preserve">The draft decisions for consideration by COP-14 are currently </w:t>
      </w:r>
      <w:r w:rsidR="00F20719">
        <w:rPr>
          <w:rFonts w:asciiTheme="majorBidi" w:hAnsiTheme="majorBidi" w:cstheme="majorBidi"/>
          <w:sz w:val="20"/>
          <w:szCs w:val="20"/>
          <w:lang w:val="en-US"/>
        </w:rPr>
        <w:t xml:space="preserve">being </w:t>
      </w:r>
      <w:r w:rsidR="00351D27">
        <w:rPr>
          <w:rFonts w:asciiTheme="majorBidi" w:hAnsiTheme="majorBidi" w:cstheme="majorBidi"/>
          <w:sz w:val="20"/>
          <w:szCs w:val="20"/>
          <w:lang w:val="en-US"/>
        </w:rPr>
        <w:t>finalized by the Secretariat in the light of further comments submitted by Parties and others by 17 December 2018.</w:t>
      </w:r>
    </w:p>
    <w:p w14:paraId="7278FF1B" w14:textId="2D34D8D6" w:rsidR="008261BD" w:rsidRPr="008261BD" w:rsidRDefault="008261BD" w:rsidP="00D63870">
      <w:pPr>
        <w:pStyle w:val="ListParagraph"/>
        <w:numPr>
          <w:ilvl w:val="0"/>
          <w:numId w:val="8"/>
        </w:numPr>
        <w:tabs>
          <w:tab w:val="left" w:pos="1890"/>
        </w:tabs>
        <w:spacing w:after="120" w:line="240" w:lineRule="auto"/>
        <w:ind w:left="1260" w:firstLine="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 xml:space="preserve">The OEWG also recommended that the COP </w:t>
      </w:r>
      <w:r w:rsidRPr="008261BD">
        <w:rPr>
          <w:rFonts w:asciiTheme="majorBidi" w:hAnsiTheme="majorBidi" w:cstheme="majorBidi"/>
          <w:iCs/>
          <w:color w:val="000000"/>
          <w:sz w:val="20"/>
          <w:szCs w:val="20"/>
          <w:lang w:val="en-US"/>
        </w:rPr>
        <w:t>consider whether to amend entry B3010 on solid plastic waste in Annex IX to the Convention and, if so, in what form</w:t>
      </w:r>
      <w:r w:rsidR="00AC3078">
        <w:rPr>
          <w:rFonts w:asciiTheme="majorBidi" w:hAnsiTheme="majorBidi" w:cstheme="majorBidi"/>
          <w:iCs/>
          <w:color w:val="000000"/>
          <w:sz w:val="20"/>
          <w:szCs w:val="20"/>
          <w:lang w:val="en-US"/>
        </w:rPr>
        <w:t>,</w:t>
      </w:r>
      <w:r w:rsidRPr="008261BD">
        <w:rPr>
          <w:rFonts w:asciiTheme="majorBidi" w:hAnsiTheme="majorBidi" w:cstheme="majorBidi"/>
          <w:iCs/>
          <w:color w:val="000000"/>
          <w:sz w:val="20"/>
          <w:szCs w:val="20"/>
          <w:lang w:val="en-US"/>
        </w:rPr>
        <w:t xml:space="preserve"> and noted </w:t>
      </w:r>
      <w:r w:rsidRPr="008261BD">
        <w:rPr>
          <w:rFonts w:asciiTheme="majorBidi" w:hAnsiTheme="majorBidi" w:cstheme="majorBidi"/>
          <w:color w:val="000000"/>
          <w:sz w:val="20"/>
          <w:szCs w:val="20"/>
          <w:lang w:val="en-US"/>
        </w:rPr>
        <w:t>the</w:t>
      </w:r>
      <w:r w:rsidRPr="008261BD">
        <w:rPr>
          <w:rFonts w:asciiTheme="majorBidi" w:hAnsiTheme="majorBidi" w:cstheme="majorBidi"/>
          <w:i/>
          <w:iCs/>
          <w:color w:val="000000"/>
          <w:sz w:val="20"/>
          <w:szCs w:val="20"/>
          <w:lang w:val="en-US"/>
        </w:rPr>
        <w:t xml:space="preserve"> </w:t>
      </w:r>
      <w:r w:rsidRPr="008261BD">
        <w:rPr>
          <w:rFonts w:asciiTheme="majorBidi" w:hAnsiTheme="majorBidi" w:cstheme="majorBidi"/>
          <w:sz w:val="20"/>
          <w:szCs w:val="20"/>
          <w:lang w:val="en-US"/>
        </w:rPr>
        <w:t>intention of the Government of Norway to submit a proposal to amend Annex II to the Convention</w:t>
      </w:r>
      <w:r w:rsidRPr="008261BD">
        <w:rPr>
          <w:rFonts w:asciiTheme="majorBidi" w:hAnsiTheme="majorBidi" w:cstheme="majorBidi"/>
          <w:iCs/>
          <w:color w:val="000000"/>
          <w:sz w:val="20"/>
          <w:szCs w:val="20"/>
          <w:lang w:val="en-US"/>
        </w:rPr>
        <w:t>.</w:t>
      </w:r>
      <w:r w:rsidRPr="008261BD">
        <w:rPr>
          <w:rFonts w:asciiTheme="majorBidi" w:hAnsiTheme="majorBidi" w:cstheme="majorBidi"/>
          <w:sz w:val="20"/>
          <w:szCs w:val="20"/>
          <w:lang w:val="en-US"/>
        </w:rPr>
        <w:t xml:space="preserve"> </w:t>
      </w:r>
    </w:p>
    <w:p w14:paraId="26DFA4BF" w14:textId="5F6F5950" w:rsidR="008261BD" w:rsidRPr="008261BD" w:rsidRDefault="008261BD" w:rsidP="00D63870">
      <w:pPr>
        <w:pStyle w:val="ListParagraph"/>
        <w:numPr>
          <w:ilvl w:val="0"/>
          <w:numId w:val="8"/>
        </w:numPr>
        <w:tabs>
          <w:tab w:val="left" w:pos="1890"/>
        </w:tabs>
        <w:spacing w:after="120" w:line="240" w:lineRule="auto"/>
        <w:ind w:left="1260" w:firstLine="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The COP will consider these issues at its fourteenth meeting, to be held from 29 April to 10 May 2019, in Geneva.  At that time, the COP will also have before it any relevant decisions of the fourth meeting of the United Nations Environment Assembly.</w:t>
      </w:r>
    </w:p>
    <w:p w14:paraId="6CC009A0" w14:textId="25DC0932" w:rsidR="008261BD" w:rsidRPr="008261BD" w:rsidRDefault="008261BD" w:rsidP="00D63870">
      <w:pPr>
        <w:pStyle w:val="ListParagraph"/>
        <w:numPr>
          <w:ilvl w:val="0"/>
          <w:numId w:val="8"/>
        </w:numPr>
        <w:tabs>
          <w:tab w:val="left" w:pos="1890"/>
        </w:tabs>
        <w:spacing w:after="120" w:line="240" w:lineRule="auto"/>
        <w:ind w:left="1260" w:firstLine="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Decisions OEWG-11/8 and OEWG-11/7 are reproduced in the a</w:t>
      </w:r>
      <w:r>
        <w:rPr>
          <w:rFonts w:asciiTheme="majorBidi" w:hAnsiTheme="majorBidi" w:cstheme="majorBidi"/>
          <w:sz w:val="20"/>
          <w:szCs w:val="20"/>
          <w:lang w:val="en-US"/>
        </w:rPr>
        <w:t>ppendix</w:t>
      </w:r>
      <w:r w:rsidR="007A096F">
        <w:rPr>
          <w:rFonts w:asciiTheme="majorBidi" w:hAnsiTheme="majorBidi" w:cstheme="majorBidi"/>
          <w:sz w:val="20"/>
          <w:szCs w:val="20"/>
          <w:lang w:val="en-US"/>
        </w:rPr>
        <w:t xml:space="preserve"> </w:t>
      </w:r>
      <w:r w:rsidRPr="008261BD">
        <w:rPr>
          <w:rFonts w:asciiTheme="majorBidi" w:hAnsiTheme="majorBidi" w:cstheme="majorBidi"/>
          <w:sz w:val="20"/>
          <w:szCs w:val="20"/>
          <w:lang w:val="en-US"/>
        </w:rPr>
        <w:t xml:space="preserve">to the present </w:t>
      </w:r>
      <w:r w:rsidR="00A26107">
        <w:rPr>
          <w:rFonts w:asciiTheme="majorBidi" w:hAnsiTheme="majorBidi" w:cstheme="majorBidi"/>
          <w:sz w:val="20"/>
          <w:szCs w:val="20"/>
          <w:lang w:val="en-US"/>
        </w:rPr>
        <w:t>annex</w:t>
      </w:r>
      <w:r w:rsidRPr="008261BD">
        <w:rPr>
          <w:rFonts w:asciiTheme="majorBidi" w:hAnsiTheme="majorBidi" w:cstheme="majorBidi"/>
          <w:sz w:val="20"/>
          <w:szCs w:val="20"/>
          <w:lang w:val="en-US"/>
        </w:rPr>
        <w:t>.  The report of the eleventh meeting of the OEWG is available on the website of the Basel Convention.</w:t>
      </w:r>
      <w:r w:rsidRPr="008261BD">
        <w:rPr>
          <w:rStyle w:val="FootnoteReference"/>
          <w:rFonts w:asciiTheme="majorBidi" w:hAnsiTheme="majorBidi" w:cstheme="majorBidi"/>
          <w:szCs w:val="20"/>
        </w:rPr>
        <w:footnoteReference w:id="34"/>
      </w:r>
      <w:r w:rsidRPr="008261BD">
        <w:rPr>
          <w:rFonts w:asciiTheme="majorBidi" w:hAnsiTheme="majorBidi" w:cstheme="majorBidi"/>
          <w:sz w:val="20"/>
          <w:szCs w:val="20"/>
          <w:lang w:val="en-US"/>
        </w:rPr>
        <w:t xml:space="preserve"> </w:t>
      </w:r>
    </w:p>
    <w:p w14:paraId="1E3E41F4" w14:textId="77777777" w:rsidR="008261BD" w:rsidRPr="00CF44DC" w:rsidRDefault="008261BD" w:rsidP="00D63870">
      <w:pPr>
        <w:pStyle w:val="ListParagraph"/>
        <w:numPr>
          <w:ilvl w:val="0"/>
          <w:numId w:val="7"/>
        </w:numPr>
        <w:spacing w:after="120" w:line="240" w:lineRule="auto"/>
        <w:ind w:left="1260"/>
        <w:contextualSpacing w:val="0"/>
        <w:rPr>
          <w:rFonts w:asciiTheme="majorBidi" w:hAnsiTheme="majorBidi" w:cstheme="majorBidi"/>
          <w:b/>
          <w:sz w:val="24"/>
          <w:szCs w:val="24"/>
          <w:lang w:val="en-US"/>
        </w:rPr>
      </w:pPr>
      <w:r w:rsidRPr="00CF44DC">
        <w:rPr>
          <w:rFonts w:asciiTheme="majorBidi" w:hAnsiTheme="majorBidi" w:cstheme="majorBidi"/>
          <w:b/>
          <w:sz w:val="24"/>
          <w:szCs w:val="24"/>
          <w:lang w:val="en-US"/>
        </w:rPr>
        <w:t>Basel Convention Partnership on Plastic Wastes</w:t>
      </w:r>
    </w:p>
    <w:p w14:paraId="5574E6CF" w14:textId="05AFC0E5" w:rsidR="008261BD" w:rsidRPr="008261BD" w:rsidRDefault="008261BD" w:rsidP="00D63870">
      <w:pPr>
        <w:pStyle w:val="ListParagraph"/>
        <w:numPr>
          <w:ilvl w:val="0"/>
          <w:numId w:val="8"/>
        </w:numPr>
        <w:tabs>
          <w:tab w:val="left" w:pos="1890"/>
        </w:tabs>
        <w:spacing w:after="120" w:line="240" w:lineRule="auto"/>
        <w:ind w:left="1260" w:firstLine="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 xml:space="preserve">The Basel Convention has considerable experience </w:t>
      </w:r>
      <w:r w:rsidR="002E5433">
        <w:rPr>
          <w:rFonts w:asciiTheme="majorBidi" w:hAnsiTheme="majorBidi" w:cstheme="majorBidi"/>
          <w:sz w:val="20"/>
          <w:szCs w:val="20"/>
          <w:lang w:val="en-US"/>
        </w:rPr>
        <w:t>with</w:t>
      </w:r>
      <w:r w:rsidRPr="008261BD">
        <w:rPr>
          <w:rFonts w:asciiTheme="majorBidi" w:hAnsiTheme="majorBidi" w:cstheme="majorBidi"/>
          <w:sz w:val="20"/>
          <w:szCs w:val="20"/>
          <w:lang w:val="en-US"/>
        </w:rPr>
        <w:t xml:space="preserve"> partnership approaches bringing together a wide range of actors to promote environmentally sound management of wastes – for example on computing equipment, and most recently on household waste. </w:t>
      </w:r>
    </w:p>
    <w:p w14:paraId="00C783BF" w14:textId="0A9B48C3" w:rsidR="008261BD" w:rsidRPr="008261BD" w:rsidRDefault="008261BD" w:rsidP="00D63870">
      <w:pPr>
        <w:pStyle w:val="ListParagraph"/>
        <w:numPr>
          <w:ilvl w:val="0"/>
          <w:numId w:val="8"/>
        </w:numPr>
        <w:tabs>
          <w:tab w:val="left" w:pos="1890"/>
        </w:tabs>
        <w:spacing w:after="120" w:line="240" w:lineRule="auto"/>
        <w:ind w:left="1260" w:firstLine="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 xml:space="preserve">The OEWG recommended that the COP should establish a new partnership to address plastic wastes, with the objective “to improve and promote the environmentally sound management of plastic wastes and minimize their generation so as to reduce significantly, and in the long-term eliminate, the discharge of plastic and microplastics into the environment and in particular the marine environment”.   </w:t>
      </w:r>
    </w:p>
    <w:p w14:paraId="0115E320" w14:textId="64A46F04" w:rsidR="008261BD" w:rsidRPr="008261BD" w:rsidRDefault="008261BD" w:rsidP="00D63870">
      <w:pPr>
        <w:pStyle w:val="ListParagraph"/>
        <w:numPr>
          <w:ilvl w:val="0"/>
          <w:numId w:val="8"/>
        </w:numPr>
        <w:tabs>
          <w:tab w:val="left" w:pos="1890"/>
        </w:tabs>
        <w:spacing w:after="120" w:line="240" w:lineRule="auto"/>
        <w:ind w:left="1260" w:firstLine="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 xml:space="preserve">The partnership would aim to promote dialogue amongst governments, regional and local authorities, Regional Seas </w:t>
      </w:r>
      <w:proofErr w:type="spellStart"/>
      <w:r w:rsidRPr="008261BD">
        <w:rPr>
          <w:rFonts w:asciiTheme="majorBidi" w:hAnsiTheme="majorBidi" w:cstheme="majorBidi"/>
          <w:sz w:val="20"/>
          <w:szCs w:val="20"/>
          <w:lang w:val="en-US"/>
        </w:rPr>
        <w:t>Programmes</w:t>
      </w:r>
      <w:proofErr w:type="spellEnd"/>
      <w:r w:rsidRPr="008261BD">
        <w:rPr>
          <w:rFonts w:asciiTheme="majorBidi" w:hAnsiTheme="majorBidi" w:cstheme="majorBidi"/>
          <w:sz w:val="20"/>
          <w:szCs w:val="20"/>
          <w:lang w:val="en-US"/>
        </w:rPr>
        <w:t>, intergovernmental organizations, private sector, non-governmental organizations and academia; foster best practice solutions and make recommendations; and coordinate and cooperate, as appropriate, with other bodies involved in activities concerning the management of plastic wastes, to build on the body and knowledge currently existing on best practices, successes and challenges.</w:t>
      </w:r>
    </w:p>
    <w:p w14:paraId="3FB6E099" w14:textId="1343D6C8" w:rsidR="008261BD" w:rsidRPr="008261BD" w:rsidRDefault="008261BD" w:rsidP="00D63870">
      <w:pPr>
        <w:pStyle w:val="ListParagraph"/>
        <w:numPr>
          <w:ilvl w:val="0"/>
          <w:numId w:val="8"/>
        </w:numPr>
        <w:tabs>
          <w:tab w:val="left" w:pos="1890"/>
        </w:tabs>
        <w:spacing w:after="120" w:line="240" w:lineRule="auto"/>
        <w:ind w:left="1260" w:firstLine="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lastRenderedPageBreak/>
        <w:t xml:space="preserve">At the OEWG meeting, not only Parties but also other stakeholders, including trade associations and NGOs, expressed support for establishing a partnership along those lines.     </w:t>
      </w:r>
    </w:p>
    <w:p w14:paraId="65D325BB" w14:textId="345D81CB" w:rsidR="008261BD" w:rsidRPr="008261BD" w:rsidRDefault="008261BD" w:rsidP="00D63870">
      <w:pPr>
        <w:pStyle w:val="ListParagraph"/>
        <w:numPr>
          <w:ilvl w:val="0"/>
          <w:numId w:val="8"/>
        </w:numPr>
        <w:tabs>
          <w:tab w:val="left" w:pos="1890"/>
        </w:tabs>
        <w:spacing w:after="120" w:line="240" w:lineRule="auto"/>
        <w:ind w:left="1260" w:firstLine="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 xml:space="preserve">Parties and others were invited to submit their comments on the draft terms of reference of the partnership and suggestions on the draft work programme of the partnership for the biennium 2020-2021. As of 14 February 2019, comments have been received from Canada, </w:t>
      </w:r>
      <w:r w:rsidR="005A6F2B" w:rsidRPr="005A6F2B">
        <w:rPr>
          <w:rFonts w:asciiTheme="majorBidi" w:hAnsiTheme="majorBidi" w:cstheme="majorBidi"/>
          <w:sz w:val="20"/>
          <w:szCs w:val="20"/>
          <w:lang w:val="en-US"/>
        </w:rPr>
        <w:t>Côte d'Ivoire</w:t>
      </w:r>
      <w:r w:rsidR="005A6F2B">
        <w:rPr>
          <w:rFonts w:asciiTheme="majorBidi" w:hAnsiTheme="majorBidi" w:cstheme="majorBidi"/>
          <w:sz w:val="20"/>
          <w:szCs w:val="20"/>
          <w:lang w:val="en-US"/>
        </w:rPr>
        <w:t>,</w:t>
      </w:r>
      <w:r w:rsidR="005A6F2B" w:rsidRPr="005A6F2B">
        <w:rPr>
          <w:rFonts w:asciiTheme="majorBidi" w:hAnsiTheme="majorBidi" w:cstheme="majorBidi"/>
          <w:sz w:val="20"/>
          <w:szCs w:val="20"/>
          <w:lang w:val="en-US"/>
        </w:rPr>
        <w:t xml:space="preserve"> </w:t>
      </w:r>
      <w:r w:rsidRPr="008261BD">
        <w:rPr>
          <w:rFonts w:asciiTheme="majorBidi" w:hAnsiTheme="majorBidi" w:cstheme="majorBidi"/>
          <w:sz w:val="20"/>
          <w:szCs w:val="20"/>
          <w:lang w:val="en-US"/>
        </w:rPr>
        <w:t xml:space="preserve">the European Union and its member States, </w:t>
      </w:r>
      <w:r w:rsidR="005A6F2B">
        <w:rPr>
          <w:rFonts w:asciiTheme="majorBidi" w:hAnsiTheme="majorBidi" w:cstheme="majorBidi"/>
          <w:sz w:val="20"/>
          <w:szCs w:val="20"/>
          <w:lang w:val="en-US"/>
        </w:rPr>
        <w:t>Japan</w:t>
      </w:r>
      <w:r w:rsidRPr="008261BD">
        <w:rPr>
          <w:rFonts w:asciiTheme="majorBidi" w:hAnsiTheme="majorBidi" w:cstheme="majorBidi"/>
          <w:sz w:val="20"/>
          <w:szCs w:val="20"/>
          <w:lang w:val="en-US"/>
        </w:rPr>
        <w:t>, Norway, the United States of America</w:t>
      </w:r>
      <w:r w:rsidR="005A6F2B">
        <w:rPr>
          <w:rFonts w:asciiTheme="majorBidi" w:hAnsiTheme="majorBidi" w:cstheme="majorBidi"/>
          <w:sz w:val="20"/>
          <w:szCs w:val="20"/>
          <w:lang w:val="en-US"/>
        </w:rPr>
        <w:t xml:space="preserve">, </w:t>
      </w:r>
      <w:r w:rsidR="00D2307A">
        <w:rPr>
          <w:rFonts w:asciiTheme="majorBidi" w:hAnsiTheme="majorBidi" w:cstheme="majorBidi"/>
          <w:sz w:val="20"/>
          <w:szCs w:val="20"/>
          <w:lang w:val="en-US"/>
        </w:rPr>
        <w:t xml:space="preserve">the </w:t>
      </w:r>
      <w:r w:rsidR="005A6F2B" w:rsidRPr="005A6F2B">
        <w:rPr>
          <w:rFonts w:asciiTheme="majorBidi" w:hAnsiTheme="majorBidi" w:cstheme="majorBidi"/>
          <w:sz w:val="20"/>
          <w:szCs w:val="20"/>
          <w:lang w:val="en-US"/>
        </w:rPr>
        <w:t xml:space="preserve">American Chemistry Council and </w:t>
      </w:r>
      <w:r w:rsidR="00D2307A">
        <w:rPr>
          <w:rFonts w:asciiTheme="majorBidi" w:hAnsiTheme="majorBidi" w:cstheme="majorBidi"/>
          <w:sz w:val="20"/>
          <w:szCs w:val="20"/>
          <w:lang w:val="en-US"/>
        </w:rPr>
        <w:t xml:space="preserve">the </w:t>
      </w:r>
      <w:r w:rsidR="005A6F2B" w:rsidRPr="005A6F2B">
        <w:rPr>
          <w:rFonts w:asciiTheme="majorBidi" w:hAnsiTheme="majorBidi" w:cstheme="majorBidi"/>
          <w:sz w:val="20"/>
          <w:szCs w:val="20"/>
          <w:lang w:val="en-US"/>
        </w:rPr>
        <w:t>World Plastics Council</w:t>
      </w:r>
      <w:r w:rsidRPr="008261BD">
        <w:rPr>
          <w:rFonts w:asciiTheme="majorBidi" w:hAnsiTheme="majorBidi" w:cstheme="majorBidi"/>
          <w:sz w:val="20"/>
          <w:szCs w:val="20"/>
          <w:lang w:val="en-US"/>
        </w:rPr>
        <w:t xml:space="preserve">. </w:t>
      </w:r>
    </w:p>
    <w:p w14:paraId="705B67D9" w14:textId="2E693EED" w:rsidR="008261BD" w:rsidRPr="008261BD" w:rsidRDefault="008261BD" w:rsidP="00D63870">
      <w:pPr>
        <w:pStyle w:val="ListParagraph"/>
        <w:numPr>
          <w:ilvl w:val="0"/>
          <w:numId w:val="8"/>
        </w:numPr>
        <w:tabs>
          <w:tab w:val="left" w:pos="1890"/>
        </w:tabs>
        <w:spacing w:after="120" w:line="240" w:lineRule="auto"/>
        <w:ind w:left="1260" w:firstLine="0"/>
        <w:contextualSpacing w:val="0"/>
        <w:rPr>
          <w:rFonts w:asciiTheme="majorBidi" w:hAnsiTheme="majorBidi" w:cstheme="majorBidi"/>
          <w:sz w:val="20"/>
          <w:szCs w:val="20"/>
          <w:lang w:val="en-US"/>
        </w:rPr>
      </w:pPr>
      <w:proofErr w:type="gramStart"/>
      <w:r w:rsidRPr="008261BD">
        <w:rPr>
          <w:rFonts w:asciiTheme="majorBidi" w:hAnsiTheme="majorBidi" w:cstheme="majorBidi"/>
          <w:sz w:val="20"/>
          <w:szCs w:val="20"/>
          <w:lang w:val="en-US"/>
        </w:rPr>
        <w:t>Taking into account</w:t>
      </w:r>
      <w:proofErr w:type="gramEnd"/>
      <w:r w:rsidRPr="008261BD">
        <w:rPr>
          <w:rFonts w:asciiTheme="majorBidi" w:hAnsiTheme="majorBidi" w:cstheme="majorBidi"/>
          <w:sz w:val="20"/>
          <w:szCs w:val="20"/>
          <w:lang w:val="en-US"/>
        </w:rPr>
        <w:t xml:space="preserve"> the discussions at OEWG-11 and the comments and suggestions received from Parties and others</w:t>
      </w:r>
      <w:r w:rsidR="00166462">
        <w:rPr>
          <w:rFonts w:asciiTheme="majorBidi" w:hAnsiTheme="majorBidi" w:cstheme="majorBidi"/>
          <w:sz w:val="20"/>
          <w:szCs w:val="20"/>
          <w:lang w:val="en-US"/>
        </w:rPr>
        <w:t>,</w:t>
      </w:r>
      <w:r w:rsidRPr="008261BD">
        <w:rPr>
          <w:rFonts w:asciiTheme="majorBidi" w:hAnsiTheme="majorBidi" w:cstheme="majorBidi"/>
          <w:sz w:val="20"/>
          <w:szCs w:val="20"/>
          <w:lang w:val="en-US"/>
        </w:rPr>
        <w:t xml:space="preserve"> the Secretariat r</w:t>
      </w:r>
      <w:r w:rsidRPr="008261BD">
        <w:rPr>
          <w:rFonts w:asciiTheme="majorBidi" w:hAnsiTheme="majorBidi" w:cstheme="majorBidi"/>
          <w:iCs/>
          <w:color w:val="000000"/>
          <w:sz w:val="20"/>
          <w:szCs w:val="20"/>
          <w:lang w:val="en-US"/>
        </w:rPr>
        <w:t>evised the draft terms of reference of the partnership and prepared a draft work programme, as</w:t>
      </w:r>
      <w:r w:rsidRPr="008261BD">
        <w:rPr>
          <w:rFonts w:asciiTheme="majorBidi" w:hAnsiTheme="majorBidi" w:cstheme="majorBidi"/>
          <w:sz w:val="20"/>
          <w:szCs w:val="20"/>
          <w:lang w:val="en-US"/>
        </w:rPr>
        <w:t xml:space="preserve"> set out in document UNEP/CHW.14/INF/16.</w:t>
      </w:r>
      <w:r w:rsidR="007E0F69">
        <w:rPr>
          <w:rStyle w:val="FootnoteReference"/>
          <w:rFonts w:cstheme="majorBidi"/>
          <w:lang w:val="en-US"/>
        </w:rPr>
        <w:footnoteReference w:id="35"/>
      </w:r>
    </w:p>
    <w:p w14:paraId="7DABE5C4" w14:textId="0559876D" w:rsidR="008261BD" w:rsidRPr="008261BD" w:rsidRDefault="008261BD" w:rsidP="00D63870">
      <w:pPr>
        <w:pStyle w:val="ListParagraph"/>
        <w:numPr>
          <w:ilvl w:val="0"/>
          <w:numId w:val="8"/>
        </w:numPr>
        <w:tabs>
          <w:tab w:val="left" w:pos="1890"/>
        </w:tabs>
        <w:spacing w:after="120" w:line="240" w:lineRule="auto"/>
        <w:ind w:left="1260" w:firstLine="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The relevant draft decision</w:t>
      </w:r>
      <w:r w:rsidR="00D2307A">
        <w:rPr>
          <w:rFonts w:asciiTheme="majorBidi" w:hAnsiTheme="majorBidi" w:cstheme="majorBidi"/>
          <w:sz w:val="20"/>
          <w:szCs w:val="20"/>
          <w:lang w:val="en-US"/>
        </w:rPr>
        <w:t xml:space="preserve"> </w:t>
      </w:r>
      <w:r w:rsidRPr="008261BD">
        <w:rPr>
          <w:rFonts w:asciiTheme="majorBidi" w:hAnsiTheme="majorBidi" w:cstheme="majorBidi"/>
          <w:sz w:val="20"/>
          <w:szCs w:val="20"/>
          <w:lang w:val="en-US"/>
        </w:rPr>
        <w:t xml:space="preserve">on the Partnership on Plastic Waste is set </w:t>
      </w:r>
      <w:r w:rsidR="00351D27">
        <w:rPr>
          <w:rFonts w:asciiTheme="majorBidi" w:hAnsiTheme="majorBidi" w:cstheme="majorBidi"/>
          <w:sz w:val="20"/>
          <w:szCs w:val="20"/>
          <w:lang w:val="en-US"/>
        </w:rPr>
        <w:t>out in document UNEP/CHW.14/11,</w:t>
      </w:r>
      <w:r w:rsidR="007E0F69">
        <w:rPr>
          <w:rStyle w:val="FootnoteReference"/>
          <w:rFonts w:cstheme="majorBidi"/>
          <w:lang w:val="en-US"/>
        </w:rPr>
        <w:footnoteReference w:id="36"/>
      </w:r>
      <w:r w:rsidR="005F69D7">
        <w:rPr>
          <w:rFonts w:asciiTheme="majorBidi" w:hAnsiTheme="majorBidi" w:cstheme="majorBidi"/>
          <w:sz w:val="20"/>
          <w:szCs w:val="20"/>
          <w:lang w:val="en-US"/>
        </w:rPr>
        <w:t xml:space="preserve"> </w:t>
      </w:r>
      <w:r w:rsidR="00351D27">
        <w:rPr>
          <w:rFonts w:asciiTheme="majorBidi" w:hAnsiTheme="majorBidi" w:cstheme="majorBidi"/>
          <w:sz w:val="20"/>
          <w:szCs w:val="20"/>
          <w:lang w:val="en-US"/>
        </w:rPr>
        <w:t>for consideration and possible adoption at COP-14</w:t>
      </w:r>
      <w:r w:rsidRPr="008261BD">
        <w:rPr>
          <w:rFonts w:asciiTheme="majorBidi" w:hAnsiTheme="majorBidi" w:cstheme="majorBidi"/>
          <w:sz w:val="20"/>
          <w:szCs w:val="20"/>
          <w:lang w:val="en-US"/>
        </w:rPr>
        <w:t>.</w:t>
      </w:r>
    </w:p>
    <w:p w14:paraId="469A8CCF" w14:textId="77777777" w:rsidR="008261BD" w:rsidRPr="00CF44DC" w:rsidRDefault="008261BD" w:rsidP="00D63870">
      <w:pPr>
        <w:pStyle w:val="ListParagraph"/>
        <w:numPr>
          <w:ilvl w:val="0"/>
          <w:numId w:val="7"/>
        </w:numPr>
        <w:spacing w:after="120" w:line="240" w:lineRule="auto"/>
        <w:ind w:left="1260"/>
        <w:contextualSpacing w:val="0"/>
        <w:rPr>
          <w:rFonts w:asciiTheme="majorBidi" w:hAnsiTheme="majorBidi" w:cstheme="majorBidi"/>
          <w:b/>
          <w:sz w:val="24"/>
          <w:szCs w:val="24"/>
        </w:rPr>
      </w:pPr>
      <w:r w:rsidRPr="00CF44DC">
        <w:rPr>
          <w:rFonts w:asciiTheme="majorBidi" w:hAnsiTheme="majorBidi" w:cstheme="majorBidi"/>
          <w:b/>
          <w:sz w:val="24"/>
          <w:szCs w:val="24"/>
        </w:rPr>
        <w:t>Possible amendments to the Convention</w:t>
      </w:r>
    </w:p>
    <w:p w14:paraId="3218BDBD" w14:textId="56AD2648" w:rsidR="008261BD" w:rsidRPr="008261BD" w:rsidRDefault="008261BD" w:rsidP="00D63870">
      <w:pPr>
        <w:pStyle w:val="ListParagraph"/>
        <w:numPr>
          <w:ilvl w:val="0"/>
          <w:numId w:val="8"/>
        </w:numPr>
        <w:tabs>
          <w:tab w:val="left" w:pos="1890"/>
        </w:tabs>
        <w:spacing w:after="120" w:line="240" w:lineRule="auto"/>
        <w:ind w:left="1260" w:firstLine="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 xml:space="preserve">At its fourteenth meeting, the COP will also consider proposals to amend Annexes II, VIII and IX </w:t>
      </w:r>
      <w:r w:rsidR="00CB7649">
        <w:rPr>
          <w:rFonts w:asciiTheme="majorBidi" w:hAnsiTheme="majorBidi" w:cstheme="majorBidi"/>
          <w:sz w:val="20"/>
          <w:szCs w:val="20"/>
          <w:lang w:val="en-US"/>
        </w:rPr>
        <w:t>to</w:t>
      </w:r>
      <w:r w:rsidRPr="008261BD">
        <w:rPr>
          <w:rFonts w:asciiTheme="majorBidi" w:hAnsiTheme="majorBidi" w:cstheme="majorBidi"/>
          <w:sz w:val="20"/>
          <w:szCs w:val="20"/>
          <w:lang w:val="en-US"/>
        </w:rPr>
        <w:t xml:space="preserve"> the Convention submitted by the Government of Norway.  The aim of the proposed amendments, as described by Norway, is to clarify the distinction between:</w:t>
      </w:r>
    </w:p>
    <w:p w14:paraId="7A33BBA5" w14:textId="4BA26F26" w:rsidR="008261BD" w:rsidRPr="008261BD" w:rsidRDefault="008261BD" w:rsidP="004906C8">
      <w:pPr>
        <w:pStyle w:val="ListParagraph"/>
        <w:numPr>
          <w:ilvl w:val="1"/>
          <w:numId w:val="11"/>
        </w:numPr>
        <w:tabs>
          <w:tab w:val="left" w:pos="2520"/>
        </w:tabs>
        <w:spacing w:after="120" w:line="240" w:lineRule="auto"/>
        <w:ind w:left="1267" w:firstLine="72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Hazardous plastic waste already covered by the Basel Convention (Annex I - wastes)</w:t>
      </w:r>
      <w:r w:rsidR="00A26107">
        <w:rPr>
          <w:rFonts w:asciiTheme="majorBidi" w:hAnsiTheme="majorBidi" w:cstheme="majorBidi"/>
          <w:sz w:val="20"/>
          <w:szCs w:val="20"/>
          <w:lang w:val="en-US"/>
        </w:rPr>
        <w:t>;</w:t>
      </w:r>
    </w:p>
    <w:p w14:paraId="2DB2ADCA" w14:textId="318EDA39" w:rsidR="008261BD" w:rsidRPr="008261BD" w:rsidRDefault="008261BD" w:rsidP="00D63870">
      <w:pPr>
        <w:pStyle w:val="ListParagraph"/>
        <w:numPr>
          <w:ilvl w:val="1"/>
          <w:numId w:val="11"/>
        </w:numPr>
        <w:tabs>
          <w:tab w:val="left" w:pos="2520"/>
        </w:tabs>
        <w:spacing w:after="120" w:line="240" w:lineRule="auto"/>
        <w:ind w:left="1260" w:firstLine="72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Problematic streams of plastic waste that should fall under the Basel Convention, for instance due to a mixture of different plastics, a mixture with other wastes, or contamination to an extent which prevents recycling in an environmentally sound manner (Annex II - wastes)</w:t>
      </w:r>
      <w:r w:rsidR="00A26107">
        <w:rPr>
          <w:rFonts w:asciiTheme="majorBidi" w:hAnsiTheme="majorBidi" w:cstheme="majorBidi"/>
          <w:sz w:val="20"/>
          <w:szCs w:val="20"/>
          <w:lang w:val="en-US"/>
        </w:rPr>
        <w:t>;</w:t>
      </w:r>
    </w:p>
    <w:p w14:paraId="3AC1FA2C" w14:textId="77777777" w:rsidR="008261BD" w:rsidRPr="008261BD" w:rsidRDefault="008261BD" w:rsidP="00D63870">
      <w:pPr>
        <w:pStyle w:val="ListParagraph"/>
        <w:numPr>
          <w:ilvl w:val="1"/>
          <w:numId w:val="11"/>
        </w:numPr>
        <w:tabs>
          <w:tab w:val="left" w:pos="2520"/>
        </w:tabs>
        <w:spacing w:after="120" w:line="240" w:lineRule="auto"/>
        <w:ind w:left="1260" w:firstLine="72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Uncontaminated, pre-sorted plastic materials for recycling, prepared to a specification and suitable for immediate recycling (Annex IX - wastes).</w:t>
      </w:r>
    </w:p>
    <w:p w14:paraId="3EA73104" w14:textId="784399BE" w:rsidR="008261BD" w:rsidRPr="008261BD" w:rsidRDefault="008261BD" w:rsidP="00D63870">
      <w:pPr>
        <w:pStyle w:val="ListParagraph"/>
        <w:numPr>
          <w:ilvl w:val="0"/>
          <w:numId w:val="8"/>
        </w:numPr>
        <w:tabs>
          <w:tab w:val="left" w:pos="1890"/>
        </w:tabs>
        <w:spacing w:after="120" w:line="240" w:lineRule="auto"/>
        <w:ind w:left="1260" w:firstLine="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 xml:space="preserve">The two first categories would fall under the prior informed consent procedure of the Basel Convention (PIC procedure); the third category would not.  According to Norway, the rationale for the proposed amendments is that </w:t>
      </w:r>
      <w:r w:rsidR="002E5433">
        <w:rPr>
          <w:rFonts w:asciiTheme="majorBidi" w:hAnsiTheme="majorBidi" w:cstheme="majorBidi"/>
          <w:sz w:val="20"/>
          <w:szCs w:val="20"/>
          <w:lang w:val="en-US"/>
        </w:rPr>
        <w:t xml:space="preserve">a lot of </w:t>
      </w:r>
      <w:r w:rsidRPr="008261BD">
        <w:rPr>
          <w:rFonts w:asciiTheme="majorBidi" w:hAnsiTheme="majorBidi" w:cstheme="majorBidi"/>
          <w:sz w:val="20"/>
          <w:szCs w:val="20"/>
          <w:lang w:val="en-US"/>
        </w:rPr>
        <w:t xml:space="preserve">plastic waste is currently exported to operators unable to manage it in an environmentally sound manner, which substantially increases the risk of plastic waste being discharged into the environment and ultimately becoming marine litter.  The changes would also create an incentive for stakeholders to prepare plastic waste in a way that it can be more readily recycled, contributing thereby to establishing a circular economy.   </w:t>
      </w:r>
    </w:p>
    <w:p w14:paraId="2F1047C9" w14:textId="7BA23EC5" w:rsidR="008261BD" w:rsidRPr="00E1394F" w:rsidRDefault="008261BD" w:rsidP="00D63870">
      <w:pPr>
        <w:pStyle w:val="ListParagraph"/>
        <w:numPr>
          <w:ilvl w:val="0"/>
          <w:numId w:val="8"/>
        </w:numPr>
        <w:tabs>
          <w:tab w:val="left" w:pos="1890"/>
        </w:tabs>
        <w:spacing w:after="120" w:line="240" w:lineRule="auto"/>
        <w:ind w:left="1260" w:firstLine="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 xml:space="preserve">The proposed amendments are currently open to comments by Parties and will be carefully considered by the COP; the </w:t>
      </w:r>
      <w:proofErr w:type="gramStart"/>
      <w:r w:rsidRPr="008261BD">
        <w:rPr>
          <w:rFonts w:asciiTheme="majorBidi" w:hAnsiTheme="majorBidi" w:cstheme="majorBidi"/>
          <w:sz w:val="20"/>
          <w:szCs w:val="20"/>
          <w:lang w:val="en-US"/>
        </w:rPr>
        <w:t>final outcome</w:t>
      </w:r>
      <w:proofErr w:type="gramEnd"/>
      <w:r w:rsidRPr="008261BD">
        <w:rPr>
          <w:rFonts w:asciiTheme="majorBidi" w:hAnsiTheme="majorBidi" w:cstheme="majorBidi"/>
          <w:sz w:val="20"/>
          <w:szCs w:val="20"/>
          <w:lang w:val="en-US"/>
        </w:rPr>
        <w:t xml:space="preserve"> of this consideration could therefore be different from the current text of the proposed amendments.  </w:t>
      </w:r>
    </w:p>
    <w:p w14:paraId="1E9EC1FD" w14:textId="1A4EFCC9" w:rsidR="008261BD" w:rsidRPr="00E1394F" w:rsidRDefault="008261BD" w:rsidP="00D63870">
      <w:pPr>
        <w:pStyle w:val="ListParagraph"/>
        <w:numPr>
          <w:ilvl w:val="0"/>
          <w:numId w:val="8"/>
        </w:numPr>
        <w:tabs>
          <w:tab w:val="left" w:pos="1890"/>
        </w:tabs>
        <w:spacing w:after="120" w:line="240" w:lineRule="auto"/>
        <w:ind w:left="1260" w:firstLine="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Norway has provided the following informal summary description of the effects of the proposed amendments</w:t>
      </w:r>
      <w:r w:rsidRPr="00E1394F">
        <w:rPr>
          <w:rFonts w:asciiTheme="majorBidi" w:hAnsiTheme="majorBidi" w:cstheme="majorBidi"/>
          <w:sz w:val="20"/>
          <w:szCs w:val="20"/>
          <w:lang w:val="en-US"/>
        </w:rPr>
        <w:t>:</w:t>
      </w:r>
      <w:r w:rsidRPr="008261BD">
        <w:rPr>
          <w:rFonts w:asciiTheme="majorBidi" w:hAnsiTheme="majorBidi" w:cstheme="majorBidi"/>
          <w:sz w:val="20"/>
          <w:szCs w:val="20"/>
          <w:lang w:val="en-US"/>
        </w:rPr>
        <w:t xml:space="preserve"> </w:t>
      </w:r>
    </w:p>
    <w:p w14:paraId="4B84C3D4" w14:textId="5056993E" w:rsidR="008261BD" w:rsidRPr="008261BD" w:rsidRDefault="008261BD" w:rsidP="00D63870">
      <w:pPr>
        <w:pStyle w:val="ListParagraph"/>
        <w:numPr>
          <w:ilvl w:val="0"/>
          <w:numId w:val="8"/>
        </w:numPr>
        <w:tabs>
          <w:tab w:val="left" w:pos="1890"/>
        </w:tabs>
        <w:spacing w:after="120" w:line="240" w:lineRule="auto"/>
        <w:ind w:left="1260" w:firstLine="0"/>
        <w:contextualSpacing w:val="0"/>
        <w:rPr>
          <w:rFonts w:asciiTheme="majorBidi" w:hAnsiTheme="majorBidi" w:cstheme="majorBidi"/>
          <w:sz w:val="20"/>
          <w:szCs w:val="20"/>
          <w:lang w:val="en-US"/>
        </w:rPr>
      </w:pPr>
      <w:r w:rsidRPr="00E1394F">
        <w:rPr>
          <w:rFonts w:asciiTheme="majorBidi" w:hAnsiTheme="majorBidi" w:cstheme="majorBidi"/>
          <w:sz w:val="20"/>
          <w:szCs w:val="20"/>
          <w:lang w:val="en-US"/>
        </w:rPr>
        <w:t xml:space="preserve">The amendment to Annex II would bring certain plastic wastes subject to transboundary movement within the scope of the PIC procedure.  The procedure already applies to plastic wastes which meet the </w:t>
      </w:r>
      <w:r w:rsidRPr="008261BD">
        <w:rPr>
          <w:rFonts w:asciiTheme="majorBidi" w:hAnsiTheme="majorBidi" w:cstheme="majorBidi"/>
          <w:sz w:val="20"/>
          <w:szCs w:val="20"/>
          <w:lang w:val="en-US"/>
        </w:rPr>
        <w:t xml:space="preserve">hazardous waste </w:t>
      </w:r>
      <w:r w:rsidRPr="00E1394F">
        <w:rPr>
          <w:rFonts w:asciiTheme="majorBidi" w:hAnsiTheme="majorBidi" w:cstheme="majorBidi"/>
          <w:sz w:val="20"/>
          <w:szCs w:val="20"/>
          <w:lang w:val="en-US"/>
        </w:rPr>
        <w:t>criteria set out in Annexes</w:t>
      </w:r>
      <w:r w:rsidRPr="008261BD">
        <w:rPr>
          <w:rFonts w:asciiTheme="majorBidi" w:hAnsiTheme="majorBidi" w:cstheme="majorBidi"/>
          <w:sz w:val="20"/>
          <w:szCs w:val="20"/>
          <w:lang w:val="en-US"/>
        </w:rPr>
        <w:t xml:space="preserve"> I, III and VIII</w:t>
      </w:r>
      <w:r w:rsidRPr="00E1394F">
        <w:rPr>
          <w:rFonts w:asciiTheme="majorBidi" w:hAnsiTheme="majorBidi" w:cstheme="majorBidi"/>
          <w:sz w:val="20"/>
          <w:szCs w:val="20"/>
          <w:lang w:val="en-US"/>
        </w:rPr>
        <w:t xml:space="preserve">.  Annex II lists further categories of waste which, although not hazardous wastes according to the </w:t>
      </w:r>
      <w:r w:rsidRPr="008261BD">
        <w:rPr>
          <w:rFonts w:asciiTheme="majorBidi" w:hAnsiTheme="majorBidi" w:cstheme="majorBidi"/>
          <w:sz w:val="20"/>
          <w:szCs w:val="20"/>
          <w:lang w:val="en-US"/>
        </w:rPr>
        <w:t>c</w:t>
      </w:r>
      <w:r w:rsidRPr="00E1394F">
        <w:rPr>
          <w:rFonts w:asciiTheme="majorBidi" w:hAnsiTheme="majorBidi" w:cstheme="majorBidi"/>
          <w:sz w:val="20"/>
          <w:szCs w:val="20"/>
          <w:lang w:val="en-US"/>
        </w:rPr>
        <w:t xml:space="preserve">onvention, require special consideration.  </w:t>
      </w:r>
      <w:r w:rsidR="0096759C">
        <w:rPr>
          <w:rFonts w:asciiTheme="majorBidi" w:hAnsiTheme="majorBidi" w:cstheme="majorBidi"/>
          <w:sz w:val="20"/>
          <w:szCs w:val="20"/>
          <w:lang w:val="en-US"/>
        </w:rPr>
        <w:t>By</w:t>
      </w:r>
      <w:r w:rsidRPr="00E1394F">
        <w:rPr>
          <w:rFonts w:asciiTheme="majorBidi" w:hAnsiTheme="majorBidi" w:cstheme="majorBidi"/>
          <w:sz w:val="20"/>
          <w:szCs w:val="20"/>
          <w:lang w:val="en-US"/>
        </w:rPr>
        <w:t xml:space="preserve"> adding plastic wastes to Annex II</w:t>
      </w:r>
      <w:r w:rsidR="0096759C">
        <w:rPr>
          <w:rFonts w:asciiTheme="majorBidi" w:hAnsiTheme="majorBidi" w:cstheme="majorBidi"/>
          <w:sz w:val="20"/>
          <w:szCs w:val="20"/>
          <w:lang w:val="en-US"/>
        </w:rPr>
        <w:t>,</w:t>
      </w:r>
      <w:r w:rsidRPr="00E1394F">
        <w:rPr>
          <w:rFonts w:asciiTheme="majorBidi" w:hAnsiTheme="majorBidi" w:cstheme="majorBidi"/>
          <w:sz w:val="20"/>
          <w:szCs w:val="20"/>
          <w:lang w:val="en-US"/>
        </w:rPr>
        <w:t xml:space="preserve"> the basic obligations of the convention regarding “other wastes” would apply to them – for example, Parties would be required to ensure that their generation is reduced to a minimum, that adequate disposal facilities for environmentally sound management located if possible within Parties’ territories</w:t>
      </w:r>
      <w:r w:rsidR="0096759C">
        <w:rPr>
          <w:rFonts w:asciiTheme="majorBidi" w:hAnsiTheme="majorBidi" w:cstheme="majorBidi"/>
          <w:sz w:val="20"/>
          <w:szCs w:val="20"/>
          <w:lang w:val="en-US"/>
        </w:rPr>
        <w:t xml:space="preserve"> are available</w:t>
      </w:r>
      <w:r w:rsidRPr="00E1394F">
        <w:rPr>
          <w:rFonts w:asciiTheme="majorBidi" w:hAnsiTheme="majorBidi" w:cstheme="majorBidi"/>
          <w:sz w:val="20"/>
          <w:szCs w:val="20"/>
          <w:lang w:val="en-US"/>
        </w:rPr>
        <w:t>, and that transboundary movements are minimi</w:t>
      </w:r>
      <w:r w:rsidR="005542F4">
        <w:rPr>
          <w:rFonts w:asciiTheme="majorBidi" w:hAnsiTheme="majorBidi" w:cstheme="majorBidi"/>
          <w:sz w:val="20"/>
          <w:szCs w:val="20"/>
          <w:lang w:val="en-US"/>
        </w:rPr>
        <w:t>z</w:t>
      </w:r>
      <w:r w:rsidRPr="00E1394F">
        <w:rPr>
          <w:rFonts w:asciiTheme="majorBidi" w:hAnsiTheme="majorBidi" w:cstheme="majorBidi"/>
          <w:sz w:val="20"/>
          <w:szCs w:val="20"/>
          <w:lang w:val="en-US"/>
        </w:rPr>
        <w:t>ed consistent with environmentally sound and efficient management of such wastes.</w:t>
      </w:r>
    </w:p>
    <w:p w14:paraId="3F596958" w14:textId="06E6DC93" w:rsidR="008261BD" w:rsidRPr="008261BD" w:rsidRDefault="008261BD" w:rsidP="00D63870">
      <w:pPr>
        <w:pStyle w:val="ListParagraph"/>
        <w:numPr>
          <w:ilvl w:val="0"/>
          <w:numId w:val="8"/>
        </w:numPr>
        <w:tabs>
          <w:tab w:val="left" w:pos="1890"/>
        </w:tabs>
        <w:spacing w:after="120" w:line="240" w:lineRule="auto"/>
        <w:ind w:left="1260" w:firstLine="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 xml:space="preserve">The second amendment concerns Annex VIII.  This Annex lists specific wastes which are presumed to be ‘hazardous’ under the convention, unless it can be shown that they do not in fact have hazardous properties.  If adopted, the amendment would add </w:t>
      </w:r>
      <w:r w:rsidR="0096759C">
        <w:rPr>
          <w:rFonts w:asciiTheme="majorBidi" w:hAnsiTheme="majorBidi" w:cstheme="majorBidi"/>
          <w:sz w:val="20"/>
          <w:szCs w:val="20"/>
          <w:lang w:val="en-US"/>
        </w:rPr>
        <w:t xml:space="preserve">to Annex VIII </w:t>
      </w:r>
      <w:r w:rsidRPr="008261BD">
        <w:rPr>
          <w:rFonts w:asciiTheme="majorBidi" w:hAnsiTheme="majorBidi" w:cstheme="majorBidi"/>
          <w:sz w:val="20"/>
          <w:szCs w:val="20"/>
          <w:lang w:val="en-US"/>
        </w:rPr>
        <w:t>plastic wastes containing certain hazardous constituents listed in Annex I. According to Norway th</w:t>
      </w:r>
      <w:r w:rsidR="002E5433">
        <w:rPr>
          <w:rFonts w:asciiTheme="majorBidi" w:hAnsiTheme="majorBidi" w:cstheme="majorBidi"/>
          <w:sz w:val="20"/>
          <w:szCs w:val="20"/>
          <w:lang w:val="en-US"/>
        </w:rPr>
        <w:t xml:space="preserve">is </w:t>
      </w:r>
      <w:r w:rsidR="00C7370C">
        <w:rPr>
          <w:rFonts w:asciiTheme="majorBidi" w:hAnsiTheme="majorBidi" w:cstheme="majorBidi"/>
          <w:sz w:val="20"/>
          <w:szCs w:val="20"/>
          <w:lang w:val="en-US"/>
        </w:rPr>
        <w:t xml:space="preserve">second </w:t>
      </w:r>
      <w:r w:rsidR="002E5433">
        <w:rPr>
          <w:rFonts w:asciiTheme="majorBidi" w:hAnsiTheme="majorBidi" w:cstheme="majorBidi"/>
          <w:sz w:val="20"/>
          <w:szCs w:val="20"/>
          <w:lang w:val="en-US"/>
        </w:rPr>
        <w:t>amendmen</w:t>
      </w:r>
      <w:r w:rsidR="00C7370C">
        <w:rPr>
          <w:rFonts w:asciiTheme="majorBidi" w:hAnsiTheme="majorBidi" w:cstheme="majorBidi"/>
          <w:sz w:val="20"/>
          <w:szCs w:val="20"/>
          <w:lang w:val="en-US"/>
        </w:rPr>
        <w:t>t</w:t>
      </w:r>
      <w:r w:rsidRPr="008261BD">
        <w:rPr>
          <w:rFonts w:asciiTheme="majorBidi" w:hAnsiTheme="majorBidi" w:cstheme="majorBidi"/>
          <w:sz w:val="20"/>
          <w:szCs w:val="20"/>
          <w:lang w:val="en-US"/>
        </w:rPr>
        <w:t xml:space="preserve"> is </w:t>
      </w:r>
      <w:r w:rsidR="00C7370C">
        <w:rPr>
          <w:rFonts w:asciiTheme="majorBidi" w:hAnsiTheme="majorBidi" w:cstheme="majorBidi"/>
          <w:sz w:val="20"/>
          <w:szCs w:val="20"/>
          <w:lang w:val="en-US"/>
        </w:rPr>
        <w:t>only</w:t>
      </w:r>
      <w:r w:rsidRPr="008261BD">
        <w:rPr>
          <w:rFonts w:asciiTheme="majorBidi" w:hAnsiTheme="majorBidi" w:cstheme="majorBidi"/>
          <w:sz w:val="20"/>
          <w:szCs w:val="20"/>
          <w:lang w:val="en-US"/>
        </w:rPr>
        <w:t xml:space="preserve"> consequential in nature and does not intend to change the definition of hazardous plastic waste under the convention.      </w:t>
      </w:r>
    </w:p>
    <w:p w14:paraId="642B19D3" w14:textId="1D39B605" w:rsidR="008261BD" w:rsidRPr="008261BD" w:rsidRDefault="008261BD" w:rsidP="00D63870">
      <w:pPr>
        <w:pStyle w:val="ListParagraph"/>
        <w:numPr>
          <w:ilvl w:val="0"/>
          <w:numId w:val="8"/>
        </w:numPr>
        <w:tabs>
          <w:tab w:val="left" w:pos="1890"/>
        </w:tabs>
        <w:spacing w:after="120" w:line="240" w:lineRule="auto"/>
        <w:ind w:left="1260" w:firstLine="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lastRenderedPageBreak/>
        <w:t xml:space="preserve">The third amendment concerns Annex IX.  This Annex lists categories of waste which are not regarded as ‘hazardous wastes’, unless they arise from Annex I waste streams or contain hazardous substances to the extent that they show hazardous properties.  </w:t>
      </w:r>
      <w:r w:rsidR="002E5433">
        <w:rPr>
          <w:rFonts w:asciiTheme="majorBidi" w:hAnsiTheme="majorBidi" w:cstheme="majorBidi"/>
          <w:sz w:val="20"/>
          <w:szCs w:val="20"/>
          <w:lang w:val="en-US"/>
        </w:rPr>
        <w:t>T</w:t>
      </w:r>
      <w:r w:rsidRPr="008261BD">
        <w:rPr>
          <w:rFonts w:asciiTheme="majorBidi" w:hAnsiTheme="majorBidi" w:cstheme="majorBidi"/>
          <w:sz w:val="20"/>
          <w:szCs w:val="20"/>
          <w:lang w:val="en-US"/>
        </w:rPr>
        <w:t xml:space="preserve">he </w:t>
      </w:r>
      <w:r w:rsidR="00F20719">
        <w:rPr>
          <w:rFonts w:asciiTheme="majorBidi" w:hAnsiTheme="majorBidi" w:cstheme="majorBidi"/>
          <w:sz w:val="20"/>
          <w:szCs w:val="20"/>
          <w:lang w:val="en-US"/>
        </w:rPr>
        <w:t>C</w:t>
      </w:r>
      <w:r w:rsidRPr="008261BD">
        <w:rPr>
          <w:rFonts w:asciiTheme="majorBidi" w:hAnsiTheme="majorBidi" w:cstheme="majorBidi"/>
          <w:sz w:val="20"/>
          <w:szCs w:val="20"/>
          <w:lang w:val="en-US"/>
        </w:rPr>
        <w:t xml:space="preserve">onvention </w:t>
      </w:r>
      <w:r w:rsidR="002E5433">
        <w:rPr>
          <w:rFonts w:asciiTheme="majorBidi" w:hAnsiTheme="majorBidi" w:cstheme="majorBidi"/>
          <w:sz w:val="20"/>
          <w:szCs w:val="20"/>
          <w:lang w:val="en-US"/>
        </w:rPr>
        <w:t xml:space="preserve">thus </w:t>
      </w:r>
      <w:r w:rsidRPr="008261BD">
        <w:rPr>
          <w:rFonts w:asciiTheme="majorBidi" w:hAnsiTheme="majorBidi" w:cstheme="majorBidi"/>
          <w:sz w:val="20"/>
          <w:szCs w:val="20"/>
          <w:lang w:val="en-US"/>
        </w:rPr>
        <w:t>gives plastic wastes listed in Annex IX a ‘green light’, in the form of a presumption that they fall outside the PIC procedure. Currently</w:t>
      </w:r>
      <w:r w:rsidR="0096759C">
        <w:rPr>
          <w:rFonts w:asciiTheme="majorBidi" w:hAnsiTheme="majorBidi" w:cstheme="majorBidi"/>
          <w:sz w:val="20"/>
          <w:szCs w:val="20"/>
          <w:lang w:val="en-US"/>
        </w:rPr>
        <w:t>,</w:t>
      </w:r>
      <w:r w:rsidRPr="008261BD">
        <w:rPr>
          <w:rFonts w:asciiTheme="majorBidi" w:hAnsiTheme="majorBidi" w:cstheme="majorBidi"/>
          <w:sz w:val="20"/>
          <w:szCs w:val="20"/>
          <w:lang w:val="en-US"/>
        </w:rPr>
        <w:t xml:space="preserve"> Annex IX includes an entry covering a wide range of solid plastic waste.</w:t>
      </w:r>
      <w:r w:rsidRPr="008261BD">
        <w:rPr>
          <w:rStyle w:val="FootnoteReference"/>
          <w:rFonts w:asciiTheme="majorBidi" w:hAnsiTheme="majorBidi" w:cstheme="majorBidi"/>
          <w:szCs w:val="20"/>
        </w:rPr>
        <w:footnoteReference w:id="37"/>
      </w:r>
      <w:r w:rsidRPr="008261BD">
        <w:rPr>
          <w:rFonts w:asciiTheme="majorBidi" w:hAnsiTheme="majorBidi" w:cstheme="majorBidi"/>
          <w:sz w:val="20"/>
          <w:szCs w:val="20"/>
          <w:lang w:val="en-US"/>
        </w:rPr>
        <w:t xml:space="preserve">  </w:t>
      </w:r>
      <w:r w:rsidR="001357AB" w:rsidRPr="00E1394F">
        <w:rPr>
          <w:rFonts w:asciiTheme="majorBidi" w:hAnsiTheme="majorBidi" w:cstheme="majorBidi"/>
          <w:sz w:val="20"/>
          <w:szCs w:val="20"/>
          <w:lang w:val="en-US"/>
        </w:rPr>
        <w:t>The proposed amendment would limit the scope of plastic waste covered by Annex</w:t>
      </w:r>
      <w:r w:rsidR="001357AB" w:rsidRPr="008261BD">
        <w:rPr>
          <w:rFonts w:asciiTheme="majorBidi" w:hAnsiTheme="majorBidi" w:cstheme="majorBidi"/>
          <w:sz w:val="20"/>
          <w:szCs w:val="20"/>
          <w:lang w:val="en-US"/>
        </w:rPr>
        <w:t xml:space="preserve"> IX, to include only consignments of plastic waste, which are not mixed or contaminated to an extent which prevents recovery in an environmentally sound manner.  Clean, sorted batches of waste, which are suitable for recycling, would </w:t>
      </w:r>
      <w:r w:rsidR="001357AB">
        <w:rPr>
          <w:rFonts w:asciiTheme="majorBidi" w:hAnsiTheme="majorBidi" w:cstheme="majorBidi"/>
          <w:sz w:val="20"/>
          <w:szCs w:val="20"/>
          <w:lang w:val="en-US"/>
        </w:rPr>
        <w:t>however</w:t>
      </w:r>
      <w:r w:rsidR="001357AB" w:rsidRPr="008261BD">
        <w:rPr>
          <w:rFonts w:asciiTheme="majorBidi" w:hAnsiTheme="majorBidi" w:cstheme="majorBidi"/>
          <w:sz w:val="20"/>
          <w:szCs w:val="20"/>
          <w:lang w:val="en-US"/>
        </w:rPr>
        <w:t xml:space="preserve"> continue to fall outside the PIC procedure.</w:t>
      </w:r>
      <w:r w:rsidR="001357AB" w:rsidRPr="008261BD">
        <w:rPr>
          <w:rStyle w:val="FootnoteReference"/>
          <w:rFonts w:asciiTheme="majorBidi" w:hAnsiTheme="majorBidi" w:cstheme="majorBidi"/>
          <w:szCs w:val="20"/>
        </w:rPr>
        <w:footnoteReference w:id="38"/>
      </w:r>
    </w:p>
    <w:p w14:paraId="37B84F04" w14:textId="18A33643" w:rsidR="008261BD" w:rsidRPr="008261BD" w:rsidRDefault="008261BD" w:rsidP="00D63870">
      <w:pPr>
        <w:pStyle w:val="ListParagraph"/>
        <w:numPr>
          <w:ilvl w:val="0"/>
          <w:numId w:val="8"/>
        </w:numPr>
        <w:tabs>
          <w:tab w:val="left" w:pos="1890"/>
        </w:tabs>
        <w:spacing w:after="120" w:line="240" w:lineRule="auto"/>
        <w:ind w:left="1260" w:firstLine="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The amendment to Annex IX was discussed at OEWG, which recommended that the COP should, at its fourteenth meeting, consider whether Annex IX should be amended and</w:t>
      </w:r>
      <w:r w:rsidR="00166462">
        <w:rPr>
          <w:rFonts w:asciiTheme="majorBidi" w:hAnsiTheme="majorBidi" w:cstheme="majorBidi"/>
          <w:sz w:val="20"/>
          <w:szCs w:val="20"/>
          <w:lang w:val="en-US"/>
        </w:rPr>
        <w:t>,</w:t>
      </w:r>
      <w:r w:rsidRPr="008261BD">
        <w:rPr>
          <w:rFonts w:asciiTheme="majorBidi" w:hAnsiTheme="majorBidi" w:cstheme="majorBidi"/>
          <w:sz w:val="20"/>
          <w:szCs w:val="20"/>
          <w:lang w:val="en-US"/>
        </w:rPr>
        <w:t xml:space="preserve"> if so, in what form.</w:t>
      </w:r>
    </w:p>
    <w:p w14:paraId="34BC24DF" w14:textId="324F328C" w:rsidR="008261BD" w:rsidRPr="008261BD" w:rsidRDefault="008261BD" w:rsidP="00D63870">
      <w:pPr>
        <w:pStyle w:val="ListParagraph"/>
        <w:numPr>
          <w:ilvl w:val="0"/>
          <w:numId w:val="8"/>
        </w:numPr>
        <w:tabs>
          <w:tab w:val="left" w:pos="1890"/>
        </w:tabs>
        <w:spacing w:after="120" w:line="240" w:lineRule="auto"/>
        <w:ind w:left="1260" w:firstLine="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The different amendments proposed by Norway would potentially bring a wider range of plastic wastes within the scope of the Convention as “other wastes requiring special consideration” and thus subject those wastes to the obligations of the convention, including on prior informed consent.  Uncontaminated and sorted plastic wastes for recycling, prepared to a specification and suitable for immediate recycling would remain outside the scope of the PIC procedure.  The COP will need to consider whether these changes are desirable, and</w:t>
      </w:r>
      <w:r w:rsidR="00166462">
        <w:rPr>
          <w:rFonts w:asciiTheme="majorBidi" w:hAnsiTheme="majorBidi" w:cstheme="majorBidi"/>
          <w:sz w:val="20"/>
          <w:szCs w:val="20"/>
          <w:lang w:val="en-US"/>
        </w:rPr>
        <w:t>,</w:t>
      </w:r>
      <w:r w:rsidRPr="008261BD">
        <w:rPr>
          <w:rFonts w:asciiTheme="majorBidi" w:hAnsiTheme="majorBidi" w:cstheme="majorBidi"/>
          <w:sz w:val="20"/>
          <w:szCs w:val="20"/>
          <w:lang w:val="en-US"/>
        </w:rPr>
        <w:t xml:space="preserve"> if so, </w:t>
      </w:r>
      <w:r w:rsidR="0096759C">
        <w:rPr>
          <w:rFonts w:asciiTheme="majorBidi" w:hAnsiTheme="majorBidi" w:cstheme="majorBidi"/>
          <w:sz w:val="20"/>
          <w:szCs w:val="20"/>
          <w:lang w:val="en-US"/>
        </w:rPr>
        <w:t xml:space="preserve">precisely </w:t>
      </w:r>
      <w:r w:rsidRPr="008261BD">
        <w:rPr>
          <w:rFonts w:asciiTheme="majorBidi" w:hAnsiTheme="majorBidi" w:cstheme="majorBidi"/>
          <w:sz w:val="20"/>
          <w:szCs w:val="20"/>
          <w:lang w:val="en-US"/>
        </w:rPr>
        <w:t>de</w:t>
      </w:r>
      <w:r w:rsidR="0096759C">
        <w:rPr>
          <w:rFonts w:asciiTheme="majorBidi" w:hAnsiTheme="majorBidi" w:cstheme="majorBidi"/>
          <w:sz w:val="20"/>
          <w:szCs w:val="20"/>
          <w:lang w:val="en-US"/>
        </w:rPr>
        <w:t>fine</w:t>
      </w:r>
      <w:r w:rsidRPr="008261BD">
        <w:rPr>
          <w:rFonts w:asciiTheme="majorBidi" w:hAnsiTheme="majorBidi" w:cstheme="majorBidi"/>
          <w:sz w:val="20"/>
          <w:szCs w:val="20"/>
          <w:lang w:val="en-US"/>
        </w:rPr>
        <w:t xml:space="preserve"> the</w:t>
      </w:r>
      <w:r w:rsidR="0096759C">
        <w:rPr>
          <w:rFonts w:asciiTheme="majorBidi" w:hAnsiTheme="majorBidi" w:cstheme="majorBidi"/>
          <w:sz w:val="20"/>
          <w:szCs w:val="20"/>
          <w:lang w:val="en-US"/>
        </w:rPr>
        <w:t xml:space="preserve"> </w:t>
      </w:r>
      <w:r w:rsidRPr="008261BD">
        <w:rPr>
          <w:rFonts w:asciiTheme="majorBidi" w:hAnsiTheme="majorBidi" w:cstheme="majorBidi"/>
          <w:sz w:val="20"/>
          <w:szCs w:val="20"/>
          <w:lang w:val="en-US"/>
        </w:rPr>
        <w:t xml:space="preserve">categories of plastic wastes to be covered by the </w:t>
      </w:r>
      <w:r w:rsidR="004A7404">
        <w:rPr>
          <w:rFonts w:asciiTheme="majorBidi" w:hAnsiTheme="majorBidi" w:cstheme="majorBidi"/>
          <w:sz w:val="20"/>
          <w:szCs w:val="20"/>
          <w:lang w:val="en-US"/>
        </w:rPr>
        <w:t>C</w:t>
      </w:r>
      <w:r w:rsidRPr="008261BD">
        <w:rPr>
          <w:rFonts w:asciiTheme="majorBidi" w:hAnsiTheme="majorBidi" w:cstheme="majorBidi"/>
          <w:sz w:val="20"/>
          <w:szCs w:val="20"/>
          <w:lang w:val="en-US"/>
        </w:rPr>
        <w:t xml:space="preserve">onvention.  </w:t>
      </w:r>
    </w:p>
    <w:p w14:paraId="30DF3F60" w14:textId="47A9D8AA" w:rsidR="008261BD" w:rsidRPr="008261BD" w:rsidRDefault="008261BD" w:rsidP="00D63870">
      <w:pPr>
        <w:pStyle w:val="ListParagraph"/>
        <w:numPr>
          <w:ilvl w:val="0"/>
          <w:numId w:val="8"/>
        </w:numPr>
        <w:tabs>
          <w:tab w:val="left" w:pos="1890"/>
        </w:tabs>
        <w:spacing w:after="120" w:line="240" w:lineRule="auto"/>
        <w:ind w:left="1260" w:firstLine="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The amendments have been communicated to the Parties and signatories to the Convention on 26 October 2018. In the same communication, in order to facilitate discussions at the fourteenth meeting of the Conference of the Parties, Parties have been invited to submit to the Secretariat and the Government of Norway any comments relating to the amendment proposals by 31 December 2018. As of 14 February 2019, comments were received from the European Union and its member States, Japan, Lebanon, Malaysia, Mexico, Qatar and Singapore.</w:t>
      </w:r>
      <w:r w:rsidRPr="008261BD">
        <w:rPr>
          <w:rStyle w:val="FootnoteReference"/>
          <w:rFonts w:asciiTheme="majorBidi" w:hAnsiTheme="majorBidi" w:cstheme="majorBidi"/>
          <w:szCs w:val="20"/>
        </w:rPr>
        <w:footnoteReference w:id="39"/>
      </w:r>
      <w:r w:rsidRPr="008261BD">
        <w:rPr>
          <w:rFonts w:asciiTheme="majorBidi" w:hAnsiTheme="majorBidi" w:cstheme="majorBidi"/>
          <w:sz w:val="20"/>
          <w:szCs w:val="20"/>
          <w:lang w:val="en-US"/>
        </w:rPr>
        <w:t xml:space="preserve"> </w:t>
      </w:r>
      <w:r w:rsidR="00166462">
        <w:rPr>
          <w:rFonts w:asciiTheme="majorBidi" w:hAnsiTheme="majorBidi" w:cstheme="majorBidi"/>
          <w:sz w:val="20"/>
          <w:szCs w:val="20"/>
          <w:lang w:val="en-US"/>
        </w:rPr>
        <w:t xml:space="preserve"> </w:t>
      </w:r>
      <w:r w:rsidRPr="008261BD">
        <w:rPr>
          <w:rFonts w:asciiTheme="majorBidi" w:hAnsiTheme="majorBidi" w:cstheme="majorBidi"/>
          <w:sz w:val="20"/>
          <w:szCs w:val="20"/>
          <w:lang w:val="en-US"/>
        </w:rPr>
        <w:t>The proposals to amend the annexes to the Basel Convention are set out in document UNEP/CHW.14/27,</w:t>
      </w:r>
      <w:r w:rsidR="007E0F69">
        <w:rPr>
          <w:rStyle w:val="FootnoteReference"/>
          <w:rFonts w:cstheme="majorBidi"/>
          <w:lang w:val="en-US"/>
        </w:rPr>
        <w:footnoteReference w:id="40"/>
      </w:r>
      <w:r w:rsidR="004A7404">
        <w:rPr>
          <w:rFonts w:asciiTheme="majorBidi" w:hAnsiTheme="majorBidi" w:cstheme="majorBidi"/>
          <w:sz w:val="20"/>
          <w:szCs w:val="20"/>
          <w:lang w:val="en-US"/>
        </w:rPr>
        <w:t xml:space="preserve"> </w:t>
      </w:r>
      <w:r w:rsidR="00351D27">
        <w:rPr>
          <w:rFonts w:asciiTheme="majorBidi" w:hAnsiTheme="majorBidi" w:cstheme="majorBidi"/>
          <w:sz w:val="20"/>
          <w:szCs w:val="20"/>
          <w:lang w:val="en-US"/>
        </w:rPr>
        <w:t>for consideration and possible adoption at COP-14</w:t>
      </w:r>
      <w:r w:rsidRPr="008261BD">
        <w:rPr>
          <w:rFonts w:asciiTheme="majorBidi" w:hAnsiTheme="majorBidi" w:cstheme="majorBidi"/>
          <w:sz w:val="20"/>
          <w:szCs w:val="20"/>
          <w:lang w:val="en-US"/>
        </w:rPr>
        <w:t>.</w:t>
      </w:r>
      <w:r w:rsidR="004A7404">
        <w:rPr>
          <w:rFonts w:asciiTheme="majorBidi" w:hAnsiTheme="majorBidi" w:cstheme="majorBidi"/>
          <w:sz w:val="20"/>
          <w:szCs w:val="20"/>
          <w:lang w:val="en-US"/>
        </w:rPr>
        <w:t xml:space="preserve"> </w:t>
      </w:r>
    </w:p>
    <w:p w14:paraId="7F8F20D6" w14:textId="471C0E7D" w:rsidR="008261BD" w:rsidRPr="008261BD" w:rsidRDefault="008261BD" w:rsidP="00D63870">
      <w:pPr>
        <w:pStyle w:val="ListParagraph"/>
        <w:numPr>
          <w:ilvl w:val="0"/>
          <w:numId w:val="8"/>
        </w:numPr>
        <w:tabs>
          <w:tab w:val="left" w:pos="1890"/>
          <w:tab w:val="left" w:pos="1980"/>
        </w:tabs>
        <w:spacing w:after="120" w:line="240" w:lineRule="auto"/>
        <w:ind w:left="1260" w:firstLine="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If adopted by the COP, any amendment to the annexes would come into effect six months after the depositary has communicated it to Parties, except for those Parties that, within the deadline, declare that they cannot accept it.</w:t>
      </w:r>
    </w:p>
    <w:p w14:paraId="30EB9F37" w14:textId="77777777" w:rsidR="008261BD" w:rsidRPr="00CF44DC" w:rsidRDefault="008261BD" w:rsidP="00D63870">
      <w:pPr>
        <w:pStyle w:val="ListParagraph"/>
        <w:numPr>
          <w:ilvl w:val="0"/>
          <w:numId w:val="7"/>
        </w:numPr>
        <w:spacing w:after="120" w:line="240" w:lineRule="auto"/>
        <w:ind w:left="1260"/>
        <w:contextualSpacing w:val="0"/>
        <w:rPr>
          <w:rFonts w:asciiTheme="majorBidi" w:hAnsiTheme="majorBidi" w:cstheme="majorBidi"/>
          <w:b/>
          <w:sz w:val="24"/>
          <w:szCs w:val="24"/>
        </w:rPr>
      </w:pPr>
      <w:r w:rsidRPr="00CF44DC">
        <w:rPr>
          <w:rFonts w:asciiTheme="majorBidi" w:hAnsiTheme="majorBidi" w:cstheme="majorBidi"/>
          <w:b/>
          <w:sz w:val="24"/>
          <w:szCs w:val="24"/>
        </w:rPr>
        <w:t>Technical guidelines on plastic wastes</w:t>
      </w:r>
    </w:p>
    <w:p w14:paraId="5A47C2FE" w14:textId="77777777" w:rsidR="008261BD" w:rsidRPr="008261BD" w:rsidRDefault="008261BD" w:rsidP="00D63870">
      <w:pPr>
        <w:pStyle w:val="ListParagraph"/>
        <w:numPr>
          <w:ilvl w:val="0"/>
          <w:numId w:val="8"/>
        </w:numPr>
        <w:tabs>
          <w:tab w:val="left" w:pos="1260"/>
          <w:tab w:val="left" w:pos="1890"/>
        </w:tabs>
        <w:snapToGrid w:val="0"/>
        <w:spacing w:after="120" w:line="240" w:lineRule="auto"/>
        <w:ind w:left="1267" w:firstLine="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The COP</w:t>
      </w:r>
      <w:r w:rsidRPr="008261BD">
        <w:rPr>
          <w:rFonts w:asciiTheme="majorBidi" w:hAnsiTheme="majorBidi" w:cstheme="majorBidi"/>
          <w:i/>
          <w:sz w:val="20"/>
          <w:szCs w:val="20"/>
          <w:lang w:val="en-US"/>
        </w:rPr>
        <w:t xml:space="preserve"> </w:t>
      </w:r>
      <w:r w:rsidRPr="008261BD">
        <w:rPr>
          <w:rFonts w:asciiTheme="majorBidi" w:hAnsiTheme="majorBidi" w:cstheme="majorBidi"/>
          <w:sz w:val="20"/>
          <w:szCs w:val="20"/>
          <w:lang w:val="en-US"/>
        </w:rPr>
        <w:t xml:space="preserve">adopted </w:t>
      </w:r>
      <w:r w:rsidRPr="008261BD">
        <w:rPr>
          <w:rFonts w:asciiTheme="majorBidi" w:hAnsiTheme="majorBidi" w:cstheme="majorBidi"/>
          <w:iCs/>
          <w:sz w:val="20"/>
          <w:szCs w:val="20"/>
          <w:lang w:val="en-US"/>
        </w:rPr>
        <w:t xml:space="preserve">“Technical guidelines for the identification and environmentally sound management of plastic wastes and for their disposal” </w:t>
      </w:r>
      <w:r w:rsidRPr="008261BD">
        <w:rPr>
          <w:rFonts w:asciiTheme="majorBidi" w:hAnsiTheme="majorBidi" w:cstheme="majorBidi"/>
          <w:sz w:val="20"/>
          <w:szCs w:val="20"/>
          <w:lang w:val="en-US"/>
        </w:rPr>
        <w:t>in 2002.</w:t>
      </w:r>
      <w:r w:rsidRPr="008261BD">
        <w:rPr>
          <w:rStyle w:val="FootnoteReference"/>
          <w:rFonts w:asciiTheme="majorBidi" w:hAnsiTheme="majorBidi" w:cstheme="majorBidi"/>
          <w:szCs w:val="20"/>
        </w:rPr>
        <w:footnoteReference w:id="41"/>
      </w:r>
      <w:r w:rsidRPr="008261BD">
        <w:rPr>
          <w:rFonts w:asciiTheme="majorBidi" w:hAnsiTheme="majorBidi" w:cstheme="majorBidi"/>
          <w:sz w:val="20"/>
          <w:szCs w:val="20"/>
          <w:lang w:val="en-US"/>
        </w:rPr>
        <w:t xml:space="preserve">  These guidelines focus mainly on the technical aspects of the management </w:t>
      </w:r>
      <w:r w:rsidRPr="008261BD">
        <w:rPr>
          <w:rFonts w:asciiTheme="majorBidi" w:hAnsiTheme="majorBidi" w:cstheme="majorBidi"/>
          <w:color w:val="000000"/>
          <w:sz w:val="20"/>
          <w:szCs w:val="20"/>
          <w:lang w:val="en-US"/>
        </w:rPr>
        <w:t>of plastics once they become waste</w:t>
      </w:r>
      <w:r w:rsidRPr="008261BD">
        <w:rPr>
          <w:rFonts w:asciiTheme="majorBidi" w:hAnsiTheme="majorBidi" w:cstheme="majorBidi"/>
          <w:sz w:val="20"/>
          <w:szCs w:val="20"/>
          <w:lang w:val="en-US"/>
        </w:rPr>
        <w:t xml:space="preserve">, with </w:t>
      </w:r>
      <w:proofErr w:type="gramStart"/>
      <w:r w:rsidRPr="008261BD">
        <w:rPr>
          <w:rFonts w:asciiTheme="majorBidi" w:hAnsiTheme="majorBidi" w:cstheme="majorBidi"/>
          <w:sz w:val="20"/>
          <w:szCs w:val="20"/>
          <w:lang w:val="en-US"/>
        </w:rPr>
        <w:t>particular emphasis</w:t>
      </w:r>
      <w:proofErr w:type="gramEnd"/>
      <w:r w:rsidRPr="008261BD">
        <w:rPr>
          <w:rFonts w:asciiTheme="majorBidi" w:hAnsiTheme="majorBidi" w:cstheme="majorBidi"/>
          <w:sz w:val="20"/>
          <w:szCs w:val="20"/>
          <w:lang w:val="en-US"/>
        </w:rPr>
        <w:t xml:space="preserve"> on their recycling.  </w:t>
      </w:r>
      <w:r w:rsidRPr="008261BD">
        <w:rPr>
          <w:rFonts w:asciiTheme="majorBidi" w:eastAsia="DejaVu Sans" w:hAnsiTheme="majorBidi" w:cstheme="majorBidi"/>
          <w:sz w:val="20"/>
          <w:szCs w:val="20"/>
          <w:lang w:val="en-US"/>
        </w:rPr>
        <w:t xml:space="preserve">The environmental and health impacts of plastic waste are not addressed, nor is the reduction of hazard potential of plastic products and waste. </w:t>
      </w:r>
      <w:r w:rsidRPr="008261BD">
        <w:rPr>
          <w:rFonts w:asciiTheme="majorBidi" w:hAnsiTheme="majorBidi" w:cstheme="majorBidi"/>
          <w:sz w:val="20"/>
          <w:szCs w:val="20"/>
          <w:lang w:val="en-US"/>
        </w:rPr>
        <w:t xml:space="preserve"> </w:t>
      </w:r>
    </w:p>
    <w:p w14:paraId="0E106517" w14:textId="77777777" w:rsidR="008261BD" w:rsidRPr="008261BD" w:rsidRDefault="008261BD" w:rsidP="00D63870">
      <w:pPr>
        <w:pStyle w:val="ListParagraph"/>
        <w:numPr>
          <w:ilvl w:val="0"/>
          <w:numId w:val="8"/>
        </w:numPr>
        <w:tabs>
          <w:tab w:val="left" w:pos="1260"/>
          <w:tab w:val="left" w:pos="1890"/>
        </w:tabs>
        <w:snapToGrid w:val="0"/>
        <w:spacing w:after="120" w:line="240" w:lineRule="auto"/>
        <w:ind w:left="1267" w:firstLine="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The OEWG agreed that the COP consider updating these guidelines and that arrangements should be made for an expert group to undertake this work.  It also agreed that the COP consider inviting Parties to provide information on their experiences in using the technical guidelines.</w:t>
      </w:r>
    </w:p>
    <w:p w14:paraId="2602DC87" w14:textId="77777777" w:rsidR="008261BD" w:rsidRPr="00CF44DC" w:rsidRDefault="008261BD" w:rsidP="00D63870">
      <w:pPr>
        <w:pStyle w:val="NormalNonumber"/>
        <w:keepNext/>
        <w:numPr>
          <w:ilvl w:val="0"/>
          <w:numId w:val="7"/>
        </w:numPr>
        <w:tabs>
          <w:tab w:val="clear" w:pos="1247"/>
          <w:tab w:val="clear" w:pos="1814"/>
          <w:tab w:val="clear" w:pos="2381"/>
          <w:tab w:val="clear" w:pos="2948"/>
          <w:tab w:val="clear" w:pos="3515"/>
          <w:tab w:val="clear" w:pos="4082"/>
        </w:tabs>
        <w:ind w:left="1267"/>
        <w:rPr>
          <w:rFonts w:asciiTheme="majorBidi" w:hAnsiTheme="majorBidi" w:cstheme="majorBidi"/>
          <w:b/>
          <w:iCs/>
          <w:sz w:val="24"/>
          <w:szCs w:val="24"/>
        </w:rPr>
      </w:pPr>
      <w:r w:rsidRPr="00CF44DC">
        <w:rPr>
          <w:rFonts w:asciiTheme="majorBidi" w:hAnsiTheme="majorBidi" w:cstheme="majorBidi"/>
          <w:b/>
          <w:iCs/>
          <w:sz w:val="24"/>
          <w:szCs w:val="24"/>
        </w:rPr>
        <w:t>Technical assistance and capacity-building</w:t>
      </w:r>
    </w:p>
    <w:p w14:paraId="56D2F139" w14:textId="77777777" w:rsidR="008261BD" w:rsidRPr="008261BD" w:rsidRDefault="008261BD" w:rsidP="00D63870">
      <w:pPr>
        <w:pStyle w:val="ListParagraph"/>
        <w:numPr>
          <w:ilvl w:val="0"/>
          <w:numId w:val="8"/>
        </w:numPr>
        <w:tabs>
          <w:tab w:val="left" w:pos="1260"/>
          <w:tab w:val="left" w:pos="1890"/>
        </w:tabs>
        <w:snapToGrid w:val="0"/>
        <w:spacing w:after="120" w:line="240" w:lineRule="auto"/>
        <w:ind w:left="1267" w:firstLine="0"/>
        <w:contextualSpacing w:val="0"/>
        <w:rPr>
          <w:rFonts w:asciiTheme="majorBidi" w:hAnsiTheme="majorBidi" w:cstheme="majorBidi"/>
          <w:sz w:val="20"/>
          <w:szCs w:val="20"/>
          <w:lang w:val="en-US"/>
        </w:rPr>
      </w:pPr>
      <w:r w:rsidRPr="008261BD">
        <w:rPr>
          <w:rFonts w:asciiTheme="majorBidi" w:hAnsiTheme="majorBidi" w:cstheme="majorBidi"/>
          <w:sz w:val="20"/>
          <w:szCs w:val="20"/>
          <w:lang w:val="en-US"/>
        </w:rPr>
        <w:t>The OEWG noted that the technical assistance plan for the implementation of the Basel Convention, the Rotterdam Convention</w:t>
      </w:r>
      <w:r w:rsidRPr="008261BD">
        <w:rPr>
          <w:rStyle w:val="FootnoteReference"/>
          <w:rFonts w:asciiTheme="majorBidi" w:hAnsiTheme="majorBidi" w:cstheme="majorBidi"/>
          <w:szCs w:val="20"/>
        </w:rPr>
        <w:footnoteReference w:id="42"/>
      </w:r>
      <w:r w:rsidRPr="008261BD">
        <w:rPr>
          <w:rFonts w:asciiTheme="majorBidi" w:hAnsiTheme="majorBidi" w:cstheme="majorBidi"/>
          <w:sz w:val="20"/>
          <w:szCs w:val="20"/>
          <w:lang w:val="en-US"/>
        </w:rPr>
        <w:t xml:space="preserve"> and the Stockholm Convention</w:t>
      </w:r>
      <w:r w:rsidRPr="008261BD">
        <w:rPr>
          <w:rStyle w:val="FootnoteReference"/>
          <w:rFonts w:asciiTheme="majorBidi" w:hAnsiTheme="majorBidi" w:cstheme="majorBidi"/>
          <w:szCs w:val="20"/>
        </w:rPr>
        <w:footnoteReference w:id="43"/>
      </w:r>
      <w:r w:rsidRPr="008261BD">
        <w:rPr>
          <w:rFonts w:asciiTheme="majorBidi" w:hAnsiTheme="majorBidi" w:cstheme="majorBidi"/>
          <w:sz w:val="20"/>
          <w:szCs w:val="20"/>
          <w:lang w:val="en-US"/>
        </w:rPr>
        <w:t xml:space="preserve"> provides opportunities for capacity</w:t>
      </w:r>
      <w:r w:rsidRPr="008261BD">
        <w:rPr>
          <w:rFonts w:asciiTheme="majorBidi" w:hAnsiTheme="majorBidi" w:cstheme="majorBidi"/>
          <w:sz w:val="20"/>
          <w:szCs w:val="20"/>
          <w:lang w:val="en-US"/>
        </w:rPr>
        <w:noBreakHyphen/>
        <w:t xml:space="preserve">building by Parties including on marine plastic litter and microplastics.  </w:t>
      </w:r>
    </w:p>
    <w:p w14:paraId="757CEACD" w14:textId="7892B170" w:rsidR="008261BD" w:rsidRPr="008261BD" w:rsidRDefault="008261BD" w:rsidP="00D63870">
      <w:pPr>
        <w:pStyle w:val="ListParagraph"/>
        <w:keepNext/>
        <w:keepLines/>
        <w:numPr>
          <w:ilvl w:val="0"/>
          <w:numId w:val="8"/>
        </w:numPr>
        <w:tabs>
          <w:tab w:val="left" w:pos="1260"/>
          <w:tab w:val="left" w:pos="1890"/>
        </w:tabs>
        <w:snapToGrid w:val="0"/>
        <w:spacing w:after="120" w:line="240" w:lineRule="auto"/>
        <w:ind w:left="1260" w:firstLine="0"/>
        <w:contextualSpacing w:val="0"/>
        <w:rPr>
          <w:rFonts w:asciiTheme="majorBidi" w:hAnsiTheme="majorBidi" w:cstheme="majorBidi"/>
          <w:sz w:val="20"/>
          <w:szCs w:val="20"/>
          <w:lang w:val="en-US"/>
        </w:rPr>
      </w:pPr>
      <w:proofErr w:type="gramStart"/>
      <w:r w:rsidRPr="008261BD">
        <w:rPr>
          <w:rFonts w:asciiTheme="majorBidi" w:hAnsiTheme="majorBidi" w:cstheme="majorBidi"/>
          <w:sz w:val="20"/>
          <w:szCs w:val="20"/>
          <w:lang w:val="en-US"/>
        </w:rPr>
        <w:lastRenderedPageBreak/>
        <w:t xml:space="preserve">In particular </w:t>
      </w:r>
      <w:r w:rsidRPr="008261BD">
        <w:rPr>
          <w:rFonts w:asciiTheme="majorBidi" w:hAnsiTheme="majorBidi" w:cstheme="majorBidi"/>
          <w:iCs/>
          <w:sz w:val="20"/>
          <w:szCs w:val="20"/>
          <w:lang w:val="en-US"/>
        </w:rPr>
        <w:t>the</w:t>
      </w:r>
      <w:proofErr w:type="gramEnd"/>
      <w:r w:rsidRPr="008261BD">
        <w:rPr>
          <w:rFonts w:asciiTheme="majorBidi" w:hAnsiTheme="majorBidi" w:cstheme="majorBidi"/>
          <w:iCs/>
          <w:sz w:val="20"/>
          <w:szCs w:val="20"/>
          <w:lang w:val="en-US"/>
        </w:rPr>
        <w:t xml:space="preserve"> regional </w:t>
      </w:r>
      <w:proofErr w:type="spellStart"/>
      <w:r w:rsidRPr="008261BD">
        <w:rPr>
          <w:rFonts w:asciiTheme="majorBidi" w:hAnsiTheme="majorBidi" w:cstheme="majorBidi"/>
          <w:iCs/>
          <w:sz w:val="20"/>
          <w:szCs w:val="20"/>
          <w:lang w:val="en-US"/>
        </w:rPr>
        <w:t>centres</w:t>
      </w:r>
      <w:proofErr w:type="spellEnd"/>
      <w:r w:rsidRPr="008261BD">
        <w:rPr>
          <w:rFonts w:asciiTheme="majorBidi" w:hAnsiTheme="majorBidi" w:cstheme="majorBidi"/>
          <w:iCs/>
          <w:sz w:val="20"/>
          <w:szCs w:val="20"/>
          <w:lang w:val="en-US"/>
        </w:rPr>
        <w:t xml:space="preserve"> of the Basel and Stockholm Conventions have already undertaken extensive work to address pollution by marine plastics and microplastics.  </w:t>
      </w:r>
      <w:r w:rsidR="00166462">
        <w:rPr>
          <w:rFonts w:asciiTheme="majorBidi" w:hAnsiTheme="majorBidi" w:cstheme="majorBidi"/>
          <w:iCs/>
          <w:sz w:val="20"/>
          <w:szCs w:val="20"/>
          <w:lang w:val="en-US"/>
        </w:rPr>
        <w:t>T</w:t>
      </w:r>
      <w:r w:rsidRPr="008261BD">
        <w:rPr>
          <w:rFonts w:asciiTheme="majorBidi" w:hAnsiTheme="majorBidi" w:cstheme="majorBidi"/>
          <w:iCs/>
          <w:sz w:val="20"/>
          <w:szCs w:val="20"/>
          <w:lang w:val="en-US"/>
        </w:rPr>
        <w:t>he OEWG agreed that the COP should consider inviting them to continue this work.</w:t>
      </w:r>
      <w:r w:rsidRPr="008261BD">
        <w:rPr>
          <w:rStyle w:val="FootnoteReference"/>
          <w:rFonts w:asciiTheme="majorBidi" w:hAnsiTheme="majorBidi" w:cstheme="majorBidi"/>
          <w:iCs/>
          <w:szCs w:val="20"/>
        </w:rPr>
        <w:footnoteReference w:id="44"/>
      </w:r>
      <w:r w:rsidRPr="008261BD">
        <w:rPr>
          <w:rFonts w:asciiTheme="majorBidi" w:hAnsiTheme="majorBidi" w:cstheme="majorBidi"/>
          <w:iCs/>
          <w:sz w:val="20"/>
          <w:szCs w:val="20"/>
          <w:lang w:val="en-US"/>
        </w:rPr>
        <w:t xml:space="preserve"> </w:t>
      </w:r>
    </w:p>
    <w:p w14:paraId="5448A52B" w14:textId="09E069C1" w:rsidR="008261BD" w:rsidRPr="008261BD" w:rsidRDefault="008261BD" w:rsidP="00D63870">
      <w:pPr>
        <w:pStyle w:val="NormalNonumber"/>
        <w:numPr>
          <w:ilvl w:val="0"/>
          <w:numId w:val="8"/>
        </w:numPr>
        <w:tabs>
          <w:tab w:val="clear" w:pos="1247"/>
          <w:tab w:val="clear" w:pos="1814"/>
          <w:tab w:val="clear" w:pos="2381"/>
          <w:tab w:val="clear" w:pos="2948"/>
          <w:tab w:val="clear" w:pos="3515"/>
          <w:tab w:val="clear" w:pos="4082"/>
          <w:tab w:val="left" w:pos="1890"/>
        </w:tabs>
        <w:ind w:left="1267" w:firstLine="0"/>
        <w:rPr>
          <w:rFonts w:asciiTheme="majorBidi" w:hAnsiTheme="majorBidi" w:cstheme="majorBidi"/>
          <w:iCs/>
        </w:rPr>
      </w:pPr>
      <w:r w:rsidRPr="008261BD">
        <w:rPr>
          <w:rFonts w:asciiTheme="majorBidi" w:hAnsiTheme="majorBidi" w:cstheme="majorBidi"/>
          <w:iCs/>
        </w:rPr>
        <w:t xml:space="preserve">The OEWG also agreed that the COP should consider asking the Secretariat to use the clearing house mechanism of the Basel, Rotterdam and Stockholm conventions to gather information about regional and national initiatives on marine plastic litter and microplastics and to make such information readily available, </w:t>
      </w:r>
      <w:proofErr w:type="gramStart"/>
      <w:r w:rsidRPr="008261BD">
        <w:rPr>
          <w:rFonts w:asciiTheme="majorBidi" w:hAnsiTheme="majorBidi" w:cstheme="majorBidi"/>
          <w:iCs/>
        </w:rPr>
        <w:t>taking into account</w:t>
      </w:r>
      <w:proofErr w:type="gramEnd"/>
      <w:r w:rsidRPr="008261BD">
        <w:rPr>
          <w:rFonts w:asciiTheme="majorBidi" w:hAnsiTheme="majorBidi" w:cstheme="majorBidi"/>
          <w:iCs/>
        </w:rPr>
        <w:t xml:space="preserve"> and in cooperation with other initiatives.</w:t>
      </w:r>
    </w:p>
    <w:p w14:paraId="01F555A4" w14:textId="77777777" w:rsidR="008261BD" w:rsidRPr="00CF44DC" w:rsidRDefault="008261BD" w:rsidP="00D63870">
      <w:pPr>
        <w:pStyle w:val="NormalNonumber"/>
        <w:numPr>
          <w:ilvl w:val="0"/>
          <w:numId w:val="7"/>
        </w:numPr>
        <w:tabs>
          <w:tab w:val="clear" w:pos="1247"/>
          <w:tab w:val="clear" w:pos="1814"/>
          <w:tab w:val="clear" w:pos="2381"/>
          <w:tab w:val="clear" w:pos="2948"/>
          <w:tab w:val="clear" w:pos="3515"/>
          <w:tab w:val="clear" w:pos="4082"/>
        </w:tabs>
        <w:ind w:left="1260"/>
        <w:rPr>
          <w:rFonts w:asciiTheme="majorBidi" w:hAnsiTheme="majorBidi" w:cstheme="majorBidi"/>
          <w:b/>
          <w:iCs/>
          <w:sz w:val="24"/>
          <w:szCs w:val="24"/>
        </w:rPr>
      </w:pPr>
      <w:r w:rsidRPr="00CF44DC">
        <w:rPr>
          <w:rFonts w:asciiTheme="majorBidi" w:hAnsiTheme="majorBidi" w:cstheme="majorBidi"/>
          <w:b/>
          <w:iCs/>
          <w:sz w:val="24"/>
          <w:szCs w:val="24"/>
        </w:rPr>
        <w:t>Other issues</w:t>
      </w:r>
    </w:p>
    <w:p w14:paraId="3BE32116" w14:textId="6AF5B926" w:rsidR="008261BD" w:rsidRPr="008261BD" w:rsidRDefault="008261BD" w:rsidP="00D63870">
      <w:pPr>
        <w:pStyle w:val="NormalNonumber"/>
        <w:numPr>
          <w:ilvl w:val="0"/>
          <w:numId w:val="8"/>
        </w:numPr>
        <w:tabs>
          <w:tab w:val="clear" w:pos="1247"/>
          <w:tab w:val="clear" w:pos="1814"/>
          <w:tab w:val="clear" w:pos="2381"/>
          <w:tab w:val="clear" w:pos="2948"/>
          <w:tab w:val="clear" w:pos="3515"/>
          <w:tab w:val="clear" w:pos="4082"/>
          <w:tab w:val="left" w:pos="1890"/>
        </w:tabs>
        <w:ind w:left="1260" w:firstLine="0"/>
        <w:rPr>
          <w:rFonts w:asciiTheme="majorBidi" w:hAnsiTheme="majorBidi" w:cstheme="majorBidi"/>
          <w:iCs/>
        </w:rPr>
      </w:pPr>
      <w:r w:rsidRPr="008261BD">
        <w:rPr>
          <w:rFonts w:asciiTheme="majorBidi" w:hAnsiTheme="majorBidi" w:cstheme="majorBidi"/>
          <w:iCs/>
        </w:rPr>
        <w:t xml:space="preserve">Plastics may contain potentially hazardous substances, including additives such as plasticizers and flame retardants, or may be contaminated by hazardous substances.  As a result, plastic wastes may, as marine litter and microplastics, pose a risk to human health and marine.  The OEWG therefore agreed to invite the COP to consider welcoming the work of the Stockholm Convention to eliminate or control the production or use of persistent organic pollutants, and the work of the Strategic Approach to International Chemicals Management, </w:t>
      </w:r>
      <w:proofErr w:type="gramStart"/>
      <w:r w:rsidRPr="008261BD">
        <w:rPr>
          <w:rFonts w:asciiTheme="majorBidi" w:hAnsiTheme="majorBidi" w:cstheme="majorBidi"/>
          <w:iCs/>
        </w:rPr>
        <w:t>in particular in</w:t>
      </w:r>
      <w:proofErr w:type="gramEnd"/>
      <w:r w:rsidRPr="008261BD">
        <w:rPr>
          <w:rFonts w:asciiTheme="majorBidi" w:hAnsiTheme="majorBidi" w:cstheme="majorBidi"/>
          <w:iCs/>
        </w:rPr>
        <w:t xml:space="preserve"> relation to nanomaterials and to chemicals in products.</w:t>
      </w:r>
    </w:p>
    <w:p w14:paraId="13791ECA" w14:textId="1FA7F8F8" w:rsidR="008261BD" w:rsidRPr="008261BD" w:rsidRDefault="008261BD" w:rsidP="00D63870">
      <w:pPr>
        <w:pStyle w:val="NormalNonumber"/>
        <w:numPr>
          <w:ilvl w:val="0"/>
          <w:numId w:val="8"/>
        </w:numPr>
        <w:tabs>
          <w:tab w:val="clear" w:pos="1247"/>
          <w:tab w:val="clear" w:pos="1814"/>
          <w:tab w:val="clear" w:pos="2381"/>
          <w:tab w:val="clear" w:pos="2948"/>
          <w:tab w:val="clear" w:pos="3515"/>
          <w:tab w:val="clear" w:pos="4082"/>
          <w:tab w:val="left" w:pos="1890"/>
        </w:tabs>
        <w:ind w:left="1260" w:firstLine="0"/>
        <w:rPr>
          <w:rFonts w:asciiTheme="majorBidi" w:hAnsiTheme="majorBidi" w:cstheme="majorBidi"/>
          <w:iCs/>
        </w:rPr>
      </w:pPr>
      <w:r w:rsidRPr="008261BD">
        <w:rPr>
          <w:rFonts w:asciiTheme="majorBidi" w:hAnsiTheme="majorBidi" w:cstheme="majorBidi"/>
          <w:iCs/>
        </w:rPr>
        <w:t>The OEWG further agreed that the COP should consider addressing public awareness, education and information exchange, and in particular how Parties can most effectively make relevant technical, social and economic information and expertise available by building on existing work, taking into account the scope of the new partnership on plastic waste, and the work of the United Nations Environment Programme and other agencies, in order to achieve maximum impact and avoid duplication.</w:t>
      </w:r>
    </w:p>
    <w:p w14:paraId="289EF50A" w14:textId="0A06F5DF" w:rsidR="008261BD" w:rsidRPr="008261BD" w:rsidRDefault="008261BD" w:rsidP="00D63870">
      <w:pPr>
        <w:pStyle w:val="NormalNonumber"/>
        <w:numPr>
          <w:ilvl w:val="0"/>
          <w:numId w:val="8"/>
        </w:numPr>
        <w:tabs>
          <w:tab w:val="clear" w:pos="1247"/>
          <w:tab w:val="clear" w:pos="1814"/>
          <w:tab w:val="clear" w:pos="2381"/>
          <w:tab w:val="clear" w:pos="2948"/>
          <w:tab w:val="clear" w:pos="3515"/>
          <w:tab w:val="clear" w:pos="4082"/>
          <w:tab w:val="left" w:pos="1890"/>
        </w:tabs>
        <w:ind w:left="1260" w:firstLine="0"/>
        <w:rPr>
          <w:rFonts w:asciiTheme="majorBidi" w:hAnsiTheme="majorBidi" w:cstheme="majorBidi"/>
          <w:bCs/>
          <w:iCs/>
        </w:rPr>
      </w:pPr>
      <w:r w:rsidRPr="008261BD">
        <w:rPr>
          <w:rFonts w:asciiTheme="majorBidi" w:hAnsiTheme="majorBidi" w:cstheme="majorBidi"/>
          <w:bCs/>
          <w:iCs/>
        </w:rPr>
        <w:t xml:space="preserve">It also invited the COP to consider what data should be gathered, and by whom, related to the generation, disposal of, and transboundary movement of plastic wastes in different waste streams; the environmental, economic and social impact of plastic wastes; and national policies and progress towards the environmentally sound management of plastic wastes. </w:t>
      </w:r>
    </w:p>
    <w:p w14:paraId="752B494F" w14:textId="2EAE119F" w:rsidR="008261BD" w:rsidRPr="008261BD" w:rsidRDefault="008261BD" w:rsidP="00D63870">
      <w:pPr>
        <w:pStyle w:val="NormalNonumber"/>
        <w:numPr>
          <w:ilvl w:val="0"/>
          <w:numId w:val="8"/>
        </w:numPr>
        <w:tabs>
          <w:tab w:val="clear" w:pos="1247"/>
          <w:tab w:val="clear" w:pos="1814"/>
          <w:tab w:val="clear" w:pos="2381"/>
          <w:tab w:val="clear" w:pos="2948"/>
          <w:tab w:val="clear" w:pos="3515"/>
          <w:tab w:val="clear" w:pos="4082"/>
          <w:tab w:val="left" w:pos="1890"/>
        </w:tabs>
        <w:ind w:left="1260" w:firstLine="0"/>
        <w:rPr>
          <w:rFonts w:asciiTheme="majorBidi" w:hAnsiTheme="majorBidi" w:cstheme="majorBidi"/>
          <w:bCs/>
          <w:iCs/>
        </w:rPr>
      </w:pPr>
      <w:r w:rsidRPr="008261BD">
        <w:rPr>
          <w:rFonts w:asciiTheme="majorBidi" w:hAnsiTheme="majorBidi" w:cstheme="majorBidi"/>
          <w:bCs/>
          <w:iCs/>
        </w:rPr>
        <w:t xml:space="preserve">Finally, it agreed that the COP should consider whether, how and when </w:t>
      </w:r>
      <w:r w:rsidR="005812B8">
        <w:rPr>
          <w:rFonts w:asciiTheme="majorBidi" w:hAnsiTheme="majorBidi" w:cstheme="majorBidi"/>
          <w:bCs/>
          <w:iCs/>
        </w:rPr>
        <w:t>it</w:t>
      </w:r>
      <w:r w:rsidRPr="008261BD">
        <w:rPr>
          <w:rFonts w:asciiTheme="majorBidi" w:hAnsiTheme="majorBidi" w:cstheme="majorBidi"/>
          <w:bCs/>
          <w:iCs/>
        </w:rPr>
        <w:t xml:space="preserve"> should assess the effectiveness of the measures taken under the convention to address plastic waste contributing to marine plastic litter and microplastics.</w:t>
      </w:r>
    </w:p>
    <w:p w14:paraId="18A8633F" w14:textId="7ABF8F2A" w:rsidR="008261BD" w:rsidRPr="00CF44DC" w:rsidRDefault="008261BD" w:rsidP="00D63870">
      <w:pPr>
        <w:pStyle w:val="NormalNonumber"/>
        <w:numPr>
          <w:ilvl w:val="0"/>
          <w:numId w:val="7"/>
        </w:numPr>
        <w:tabs>
          <w:tab w:val="clear" w:pos="1247"/>
          <w:tab w:val="clear" w:pos="1814"/>
          <w:tab w:val="clear" w:pos="2381"/>
          <w:tab w:val="clear" w:pos="2948"/>
          <w:tab w:val="clear" w:pos="3515"/>
          <w:tab w:val="clear" w:pos="4082"/>
        </w:tabs>
        <w:ind w:left="1260"/>
        <w:rPr>
          <w:rFonts w:asciiTheme="majorBidi" w:hAnsiTheme="majorBidi" w:cstheme="majorBidi"/>
          <w:b/>
          <w:bCs/>
          <w:iCs/>
          <w:sz w:val="24"/>
          <w:szCs w:val="24"/>
        </w:rPr>
      </w:pPr>
      <w:r w:rsidRPr="00CF44DC">
        <w:rPr>
          <w:rFonts w:asciiTheme="majorBidi" w:hAnsiTheme="majorBidi" w:cstheme="majorBidi"/>
          <w:b/>
          <w:bCs/>
          <w:iCs/>
          <w:sz w:val="24"/>
          <w:szCs w:val="24"/>
        </w:rPr>
        <w:t>Next step</w:t>
      </w:r>
      <w:r w:rsidR="004E4620">
        <w:rPr>
          <w:rFonts w:asciiTheme="majorBidi" w:hAnsiTheme="majorBidi" w:cstheme="majorBidi"/>
          <w:b/>
          <w:bCs/>
          <w:iCs/>
          <w:sz w:val="24"/>
          <w:szCs w:val="24"/>
        </w:rPr>
        <w:t>s</w:t>
      </w:r>
    </w:p>
    <w:p w14:paraId="0EF431FE" w14:textId="675100DC" w:rsidR="008261BD" w:rsidRPr="008261BD" w:rsidRDefault="008261BD" w:rsidP="004014F7">
      <w:pPr>
        <w:pStyle w:val="NormalNonumber"/>
        <w:numPr>
          <w:ilvl w:val="0"/>
          <w:numId w:val="8"/>
        </w:numPr>
        <w:tabs>
          <w:tab w:val="clear" w:pos="1247"/>
          <w:tab w:val="clear" w:pos="1814"/>
          <w:tab w:val="clear" w:pos="2381"/>
          <w:tab w:val="clear" w:pos="2948"/>
          <w:tab w:val="clear" w:pos="3515"/>
          <w:tab w:val="clear" w:pos="4082"/>
          <w:tab w:val="left" w:pos="1890"/>
        </w:tabs>
        <w:ind w:left="1260" w:firstLine="0"/>
        <w:rPr>
          <w:rFonts w:asciiTheme="majorBidi" w:hAnsiTheme="majorBidi" w:cstheme="majorBidi"/>
          <w:bCs/>
          <w:iCs/>
        </w:rPr>
      </w:pPr>
      <w:r w:rsidRPr="008261BD">
        <w:rPr>
          <w:rFonts w:asciiTheme="majorBidi" w:hAnsiTheme="majorBidi" w:cstheme="majorBidi"/>
          <w:bCs/>
          <w:iCs/>
        </w:rPr>
        <w:t>The Basel Convention COP</w:t>
      </w:r>
      <w:r w:rsidR="00CB7649">
        <w:rPr>
          <w:rFonts w:asciiTheme="majorBidi" w:hAnsiTheme="majorBidi" w:cstheme="majorBidi"/>
          <w:bCs/>
          <w:iCs/>
        </w:rPr>
        <w:t xml:space="preserve">, at its fourteenth meeting </w:t>
      </w:r>
      <w:r w:rsidRPr="008261BD">
        <w:rPr>
          <w:rFonts w:asciiTheme="majorBidi" w:hAnsiTheme="majorBidi" w:cstheme="majorBidi"/>
          <w:bCs/>
          <w:iCs/>
        </w:rPr>
        <w:t>will consider adopting a comprehensive set of decisions addressing plastic wastes, with the aim of preventing pollution by marine plastic litter and microplastics.  The draft decisions are set out in the following documents and are available on the website of the Basel Convention:</w:t>
      </w:r>
      <w:r w:rsidRPr="008261BD">
        <w:rPr>
          <w:rStyle w:val="FootnoteReference"/>
          <w:rFonts w:asciiTheme="majorBidi" w:hAnsiTheme="majorBidi" w:cstheme="majorBidi"/>
          <w:bCs/>
          <w:iCs/>
        </w:rPr>
        <w:footnoteReference w:id="45"/>
      </w:r>
    </w:p>
    <w:p w14:paraId="492EA966" w14:textId="77777777" w:rsidR="008261BD" w:rsidRPr="008261BD" w:rsidRDefault="008261BD" w:rsidP="004906C8">
      <w:pPr>
        <w:pStyle w:val="NormalNonumber"/>
        <w:numPr>
          <w:ilvl w:val="1"/>
          <w:numId w:val="8"/>
        </w:numPr>
        <w:tabs>
          <w:tab w:val="clear" w:pos="1247"/>
          <w:tab w:val="clear" w:pos="1814"/>
          <w:tab w:val="clear" w:pos="2381"/>
          <w:tab w:val="clear" w:pos="2948"/>
          <w:tab w:val="clear" w:pos="3515"/>
          <w:tab w:val="clear" w:pos="4082"/>
          <w:tab w:val="left" w:pos="2520"/>
        </w:tabs>
        <w:ind w:left="1267" w:firstLine="720"/>
        <w:rPr>
          <w:rFonts w:asciiTheme="majorBidi" w:hAnsiTheme="majorBidi" w:cstheme="majorBidi"/>
          <w:bCs/>
          <w:iCs/>
        </w:rPr>
      </w:pPr>
      <w:r w:rsidRPr="008261BD">
        <w:rPr>
          <w:rFonts w:asciiTheme="majorBidi" w:hAnsiTheme="majorBidi" w:cstheme="majorBidi"/>
          <w:bCs/>
          <w:iCs/>
        </w:rPr>
        <w:t>Marine plastic litter and microplastics (UNEP/CHW.14/11);</w:t>
      </w:r>
    </w:p>
    <w:p w14:paraId="1E259CE0" w14:textId="77777777" w:rsidR="008261BD" w:rsidRPr="008261BD" w:rsidRDefault="008261BD" w:rsidP="004906C8">
      <w:pPr>
        <w:pStyle w:val="NormalNonumber"/>
        <w:numPr>
          <w:ilvl w:val="1"/>
          <w:numId w:val="8"/>
        </w:numPr>
        <w:tabs>
          <w:tab w:val="clear" w:pos="1247"/>
          <w:tab w:val="clear" w:pos="1814"/>
          <w:tab w:val="clear" w:pos="2381"/>
          <w:tab w:val="clear" w:pos="2948"/>
          <w:tab w:val="clear" w:pos="3515"/>
          <w:tab w:val="clear" w:pos="4082"/>
          <w:tab w:val="left" w:pos="2520"/>
        </w:tabs>
        <w:ind w:left="1267" w:firstLine="720"/>
        <w:rPr>
          <w:rFonts w:asciiTheme="majorBidi" w:hAnsiTheme="majorBidi" w:cstheme="majorBidi"/>
          <w:bCs/>
          <w:iCs/>
        </w:rPr>
      </w:pPr>
      <w:r w:rsidRPr="008261BD">
        <w:rPr>
          <w:rFonts w:asciiTheme="majorBidi" w:hAnsiTheme="majorBidi" w:cstheme="majorBidi"/>
          <w:bCs/>
          <w:iCs/>
        </w:rPr>
        <w:t>Basel Convention Partnership Programme (UNEP/ CHW.14/18);</w:t>
      </w:r>
    </w:p>
    <w:p w14:paraId="240009A7" w14:textId="77777777" w:rsidR="008261BD" w:rsidRPr="008261BD" w:rsidRDefault="008261BD" w:rsidP="004906C8">
      <w:pPr>
        <w:pStyle w:val="NormalNonumber"/>
        <w:numPr>
          <w:ilvl w:val="1"/>
          <w:numId w:val="8"/>
        </w:numPr>
        <w:tabs>
          <w:tab w:val="clear" w:pos="1247"/>
          <w:tab w:val="clear" w:pos="1814"/>
          <w:tab w:val="clear" w:pos="2381"/>
          <w:tab w:val="clear" w:pos="2948"/>
          <w:tab w:val="clear" w:pos="3515"/>
          <w:tab w:val="clear" w:pos="4082"/>
          <w:tab w:val="left" w:pos="2520"/>
        </w:tabs>
        <w:ind w:left="1267" w:firstLine="720"/>
        <w:rPr>
          <w:rFonts w:asciiTheme="majorBidi" w:hAnsiTheme="majorBidi" w:cstheme="majorBidi"/>
          <w:bCs/>
          <w:iCs/>
        </w:rPr>
      </w:pPr>
      <w:r w:rsidRPr="008261BD">
        <w:rPr>
          <w:rFonts w:asciiTheme="majorBidi" w:hAnsiTheme="majorBidi" w:cstheme="majorBidi"/>
          <w:bCs/>
          <w:iCs/>
        </w:rPr>
        <w:t>Technical assistance and capacity-building for the implementation of the Basel, Rotterdam and Stockholm conventions (UNEP/CHW.14/16–UNEP/FAO/RC/COP.9/15–UNEP/POPS/COP.9/16);</w:t>
      </w:r>
    </w:p>
    <w:p w14:paraId="307F2210" w14:textId="77777777" w:rsidR="008261BD" w:rsidRPr="008261BD" w:rsidRDefault="008261BD" w:rsidP="004906C8">
      <w:pPr>
        <w:pStyle w:val="NormalNonumber"/>
        <w:numPr>
          <w:ilvl w:val="1"/>
          <w:numId w:val="8"/>
        </w:numPr>
        <w:tabs>
          <w:tab w:val="clear" w:pos="1247"/>
          <w:tab w:val="clear" w:pos="1814"/>
          <w:tab w:val="clear" w:pos="2381"/>
          <w:tab w:val="clear" w:pos="2948"/>
          <w:tab w:val="clear" w:pos="3515"/>
          <w:tab w:val="clear" w:pos="4082"/>
          <w:tab w:val="left" w:pos="2520"/>
        </w:tabs>
        <w:ind w:left="1267" w:firstLine="720"/>
        <w:rPr>
          <w:rFonts w:asciiTheme="majorBidi" w:hAnsiTheme="majorBidi" w:cstheme="majorBidi"/>
          <w:bCs/>
          <w:iCs/>
        </w:rPr>
      </w:pPr>
      <w:r w:rsidRPr="008261BD">
        <w:rPr>
          <w:rFonts w:asciiTheme="majorBidi" w:hAnsiTheme="majorBidi" w:cstheme="majorBidi"/>
          <w:bCs/>
          <w:iCs/>
        </w:rPr>
        <w:t>Basel Convention regional and coordinating centres (UNEP/CHW.14/17);</w:t>
      </w:r>
    </w:p>
    <w:p w14:paraId="184A83DA" w14:textId="77777777" w:rsidR="008261BD" w:rsidRPr="008261BD" w:rsidRDefault="008261BD" w:rsidP="004906C8">
      <w:pPr>
        <w:pStyle w:val="NormalNonumber"/>
        <w:numPr>
          <w:ilvl w:val="1"/>
          <w:numId w:val="8"/>
        </w:numPr>
        <w:tabs>
          <w:tab w:val="clear" w:pos="1247"/>
          <w:tab w:val="clear" w:pos="1814"/>
          <w:tab w:val="clear" w:pos="2381"/>
          <w:tab w:val="clear" w:pos="2948"/>
          <w:tab w:val="clear" w:pos="3515"/>
          <w:tab w:val="clear" w:pos="4082"/>
          <w:tab w:val="left" w:pos="2520"/>
        </w:tabs>
        <w:ind w:left="1267" w:firstLine="720"/>
        <w:rPr>
          <w:rFonts w:asciiTheme="majorBidi" w:hAnsiTheme="majorBidi" w:cstheme="majorBidi"/>
          <w:bCs/>
          <w:iCs/>
        </w:rPr>
      </w:pPr>
      <w:r w:rsidRPr="008261BD">
        <w:rPr>
          <w:rFonts w:asciiTheme="majorBidi" w:hAnsiTheme="majorBidi" w:cstheme="majorBidi"/>
          <w:bCs/>
          <w:iCs/>
        </w:rPr>
        <w:t xml:space="preserve">Stockholm Convention regional and </w:t>
      </w:r>
      <w:proofErr w:type="spellStart"/>
      <w:r w:rsidRPr="008261BD">
        <w:rPr>
          <w:rFonts w:asciiTheme="majorBidi" w:hAnsiTheme="majorBidi" w:cstheme="majorBidi"/>
          <w:bCs/>
          <w:iCs/>
        </w:rPr>
        <w:t>subregional</w:t>
      </w:r>
      <w:proofErr w:type="spellEnd"/>
      <w:r w:rsidRPr="008261BD">
        <w:rPr>
          <w:rFonts w:asciiTheme="majorBidi" w:hAnsiTheme="majorBidi" w:cstheme="majorBidi"/>
          <w:bCs/>
          <w:iCs/>
        </w:rPr>
        <w:t xml:space="preserve"> centres for capacity-building and the transfer of technology (UNEP/POPS/COP.9/17);</w:t>
      </w:r>
    </w:p>
    <w:p w14:paraId="7DB0F2F8" w14:textId="77777777" w:rsidR="008261BD" w:rsidRPr="008261BD" w:rsidRDefault="008261BD" w:rsidP="004906C8">
      <w:pPr>
        <w:pStyle w:val="NormalNonumber"/>
        <w:numPr>
          <w:ilvl w:val="1"/>
          <w:numId w:val="8"/>
        </w:numPr>
        <w:tabs>
          <w:tab w:val="clear" w:pos="1247"/>
          <w:tab w:val="clear" w:pos="1814"/>
          <w:tab w:val="clear" w:pos="2381"/>
          <w:tab w:val="clear" w:pos="2948"/>
          <w:tab w:val="clear" w:pos="3515"/>
          <w:tab w:val="clear" w:pos="4082"/>
          <w:tab w:val="left" w:pos="2520"/>
        </w:tabs>
        <w:ind w:left="1267" w:firstLine="720"/>
        <w:rPr>
          <w:rFonts w:asciiTheme="majorBidi" w:hAnsiTheme="majorBidi" w:cstheme="majorBidi"/>
          <w:bCs/>
          <w:iCs/>
        </w:rPr>
      </w:pPr>
      <w:r w:rsidRPr="008261BD">
        <w:rPr>
          <w:rFonts w:asciiTheme="majorBidi" w:hAnsiTheme="majorBidi" w:cstheme="majorBidi"/>
          <w:bCs/>
          <w:iCs/>
        </w:rPr>
        <w:t>International cooperation and coordination (UNEP/CHW.14/20–UNEP/FAO/RC/COP.9/16–UNEP/POPS/COP.9/23);</w:t>
      </w:r>
    </w:p>
    <w:p w14:paraId="08661DD1" w14:textId="77777777" w:rsidR="008261BD" w:rsidRPr="008261BD" w:rsidRDefault="008261BD" w:rsidP="004906C8">
      <w:pPr>
        <w:pStyle w:val="NormalNonumber"/>
        <w:numPr>
          <w:ilvl w:val="1"/>
          <w:numId w:val="8"/>
        </w:numPr>
        <w:tabs>
          <w:tab w:val="clear" w:pos="1247"/>
          <w:tab w:val="clear" w:pos="1814"/>
          <w:tab w:val="clear" w:pos="2381"/>
          <w:tab w:val="clear" w:pos="2948"/>
          <w:tab w:val="clear" w:pos="3515"/>
          <w:tab w:val="clear" w:pos="4082"/>
          <w:tab w:val="left" w:pos="2520"/>
        </w:tabs>
        <w:ind w:left="1267" w:firstLine="720"/>
        <w:rPr>
          <w:rFonts w:asciiTheme="majorBidi" w:hAnsiTheme="majorBidi" w:cstheme="majorBidi"/>
          <w:bCs/>
          <w:iCs/>
        </w:rPr>
      </w:pPr>
      <w:r w:rsidRPr="008261BD">
        <w:rPr>
          <w:rFonts w:asciiTheme="majorBidi" w:hAnsiTheme="majorBidi" w:cstheme="majorBidi"/>
          <w:bCs/>
          <w:iCs/>
        </w:rPr>
        <w:t>Clearing-house mechanism for information exchange (UNEP/CHW.14/21–UNEP/FAO/RC/COP.9/17–UNEP/POPS/COP.9/24).</w:t>
      </w:r>
    </w:p>
    <w:p w14:paraId="50928902" w14:textId="3E213CDD" w:rsidR="008261BD" w:rsidRPr="008261BD" w:rsidRDefault="008261BD" w:rsidP="00D63870">
      <w:pPr>
        <w:pStyle w:val="NormalNonumber"/>
        <w:numPr>
          <w:ilvl w:val="0"/>
          <w:numId w:val="8"/>
        </w:numPr>
        <w:tabs>
          <w:tab w:val="clear" w:pos="1247"/>
          <w:tab w:val="clear" w:pos="1814"/>
          <w:tab w:val="clear" w:pos="2381"/>
          <w:tab w:val="clear" w:pos="2948"/>
          <w:tab w:val="clear" w:pos="3515"/>
          <w:tab w:val="clear" w:pos="4082"/>
          <w:tab w:val="left" w:pos="1890"/>
        </w:tabs>
        <w:ind w:left="1260" w:firstLine="0"/>
        <w:rPr>
          <w:rFonts w:asciiTheme="majorBidi" w:hAnsiTheme="majorBidi" w:cstheme="majorBidi"/>
          <w:bCs/>
          <w:iCs/>
        </w:rPr>
      </w:pPr>
      <w:r w:rsidRPr="008261BD">
        <w:rPr>
          <w:rFonts w:asciiTheme="majorBidi" w:hAnsiTheme="majorBidi" w:cstheme="majorBidi"/>
          <w:bCs/>
          <w:iCs/>
        </w:rPr>
        <w:t xml:space="preserve">Many of the actions will fall within the existing programmes under the Convention – for example, the work on technical assistance – or the development of existing technical guidelines.  Other activities would be new, such as the creation of a new partnership to deal with plastic wastes.  </w:t>
      </w:r>
      <w:r w:rsidRPr="008261BD">
        <w:rPr>
          <w:rFonts w:asciiTheme="majorBidi" w:hAnsiTheme="majorBidi" w:cstheme="majorBidi"/>
          <w:bCs/>
          <w:iCs/>
        </w:rPr>
        <w:lastRenderedPageBreak/>
        <w:t xml:space="preserve">The recommendations also reflect the importance of working closely with other organisations and initiatives, in order to achieve maximum impact and to avoid duplication.  </w:t>
      </w:r>
      <w:r w:rsidRPr="008261BD">
        <w:rPr>
          <w:rFonts w:asciiTheme="majorBidi" w:hAnsiTheme="majorBidi" w:cstheme="majorBidi"/>
          <w:bCs/>
          <w:iCs/>
        </w:rPr>
        <w:br w:type="page"/>
      </w:r>
    </w:p>
    <w:p w14:paraId="209EE067" w14:textId="697D8891" w:rsidR="008261BD" w:rsidRDefault="008261BD" w:rsidP="008261BD">
      <w:pPr>
        <w:pStyle w:val="NormalNonumber"/>
        <w:tabs>
          <w:tab w:val="clear" w:pos="1247"/>
          <w:tab w:val="clear" w:pos="1814"/>
          <w:tab w:val="clear" w:pos="2381"/>
          <w:tab w:val="clear" w:pos="2948"/>
          <w:tab w:val="clear" w:pos="3515"/>
          <w:tab w:val="clear" w:pos="4082"/>
          <w:tab w:val="left" w:pos="1890"/>
        </w:tabs>
        <w:ind w:left="0"/>
        <w:rPr>
          <w:rFonts w:asciiTheme="majorBidi" w:hAnsiTheme="majorBidi" w:cstheme="majorBidi"/>
          <w:b/>
          <w:iCs/>
          <w:sz w:val="28"/>
          <w:szCs w:val="28"/>
        </w:rPr>
      </w:pPr>
      <w:r w:rsidRPr="008261BD">
        <w:rPr>
          <w:rFonts w:asciiTheme="majorBidi" w:hAnsiTheme="majorBidi" w:cstheme="majorBidi"/>
          <w:b/>
          <w:iCs/>
          <w:sz w:val="28"/>
          <w:szCs w:val="28"/>
        </w:rPr>
        <w:lastRenderedPageBreak/>
        <w:t>Appendix</w:t>
      </w:r>
    </w:p>
    <w:p w14:paraId="6B2453A0" w14:textId="11A02990" w:rsidR="00A26107" w:rsidRPr="008261BD" w:rsidRDefault="00A26107" w:rsidP="004906C8">
      <w:pPr>
        <w:pStyle w:val="NormalNonumber"/>
        <w:tabs>
          <w:tab w:val="clear" w:pos="1247"/>
          <w:tab w:val="clear" w:pos="1814"/>
          <w:tab w:val="clear" w:pos="2381"/>
          <w:tab w:val="clear" w:pos="2948"/>
          <w:tab w:val="clear" w:pos="3515"/>
          <w:tab w:val="clear" w:pos="4082"/>
          <w:tab w:val="left" w:pos="1890"/>
        </w:tabs>
        <w:ind w:left="1253"/>
        <w:rPr>
          <w:rFonts w:asciiTheme="majorBidi" w:hAnsiTheme="majorBidi" w:cstheme="majorBidi"/>
          <w:b/>
          <w:iCs/>
          <w:sz w:val="28"/>
          <w:szCs w:val="28"/>
        </w:rPr>
      </w:pPr>
      <w:r>
        <w:rPr>
          <w:rFonts w:asciiTheme="majorBidi" w:hAnsiTheme="majorBidi" w:cstheme="majorBidi"/>
          <w:b/>
          <w:iCs/>
          <w:sz w:val="28"/>
          <w:szCs w:val="28"/>
        </w:rPr>
        <w:t>Decisions OEWG-11/8 and OEWG-11/7</w:t>
      </w:r>
    </w:p>
    <w:p w14:paraId="0A139E9F" w14:textId="77777777" w:rsidR="008261BD" w:rsidRPr="008261BD" w:rsidRDefault="008261BD" w:rsidP="008261BD">
      <w:pPr>
        <w:pStyle w:val="CH1"/>
        <w:ind w:left="2494"/>
        <w:rPr>
          <w:rFonts w:asciiTheme="majorBidi" w:hAnsiTheme="majorBidi" w:cstheme="majorBidi"/>
        </w:rPr>
      </w:pPr>
      <w:r w:rsidRPr="008261BD">
        <w:rPr>
          <w:rFonts w:asciiTheme="majorBidi" w:hAnsiTheme="majorBidi" w:cstheme="majorBidi"/>
        </w:rPr>
        <w:t>OEWG-11/8:</w:t>
      </w:r>
      <w:r w:rsidRPr="008261BD">
        <w:rPr>
          <w:rFonts w:asciiTheme="majorBidi" w:hAnsiTheme="majorBidi" w:cstheme="majorBidi"/>
        </w:rPr>
        <w:tab/>
        <w:t>Marine plastic litter and microplastics</w:t>
      </w:r>
    </w:p>
    <w:p w14:paraId="2DB8ED04" w14:textId="77777777" w:rsidR="008261BD" w:rsidRPr="008261BD" w:rsidRDefault="008261BD" w:rsidP="008261BD">
      <w:pPr>
        <w:pStyle w:val="Normalpool"/>
        <w:tabs>
          <w:tab w:val="left" w:pos="624"/>
        </w:tabs>
        <w:spacing w:after="120"/>
        <w:ind w:left="1247" w:firstLine="624"/>
        <w:rPr>
          <w:rFonts w:asciiTheme="majorBidi" w:hAnsiTheme="majorBidi" w:cstheme="majorBidi"/>
          <w:i/>
          <w:lang w:val="en-GB"/>
        </w:rPr>
      </w:pPr>
      <w:r w:rsidRPr="008261BD">
        <w:rPr>
          <w:rFonts w:asciiTheme="majorBidi" w:hAnsiTheme="majorBidi" w:cstheme="majorBidi"/>
          <w:i/>
          <w:lang w:val="en-GB"/>
        </w:rPr>
        <w:t>The Open-ended Working Group</w:t>
      </w:r>
    </w:p>
    <w:p w14:paraId="2A696F39" w14:textId="77777777" w:rsidR="008261BD" w:rsidRPr="008261BD" w:rsidRDefault="008261BD" w:rsidP="00D63870">
      <w:pPr>
        <w:pStyle w:val="Normalpool"/>
        <w:numPr>
          <w:ilvl w:val="0"/>
          <w:numId w:val="9"/>
        </w:numPr>
        <w:tabs>
          <w:tab w:val="left" w:pos="624"/>
        </w:tabs>
        <w:spacing w:after="120"/>
        <w:ind w:left="1247" w:firstLine="624"/>
        <w:rPr>
          <w:rFonts w:asciiTheme="majorBidi" w:hAnsiTheme="majorBidi" w:cstheme="majorBidi"/>
          <w:bCs/>
          <w:lang w:val="en-GB"/>
        </w:rPr>
      </w:pPr>
      <w:r w:rsidRPr="008261BD">
        <w:rPr>
          <w:rFonts w:asciiTheme="majorBidi" w:hAnsiTheme="majorBidi" w:cstheme="majorBidi"/>
          <w:i/>
          <w:color w:val="000000"/>
          <w:lang w:val="en-GB"/>
        </w:rPr>
        <w:t>Welcomes</w:t>
      </w:r>
      <w:r w:rsidRPr="008261BD">
        <w:rPr>
          <w:rFonts w:asciiTheme="majorBidi" w:hAnsiTheme="majorBidi" w:cstheme="majorBidi"/>
          <w:color w:val="000000"/>
          <w:lang w:val="en-GB"/>
        </w:rPr>
        <w:t xml:space="preserve"> the </w:t>
      </w:r>
      <w:r w:rsidRPr="008261BD">
        <w:rPr>
          <w:rFonts w:asciiTheme="majorBidi" w:hAnsiTheme="majorBidi" w:cstheme="majorBidi"/>
          <w:lang w:val="en-GB"/>
        </w:rPr>
        <w:t>report on possible options available under the Basel Convention on the Control of Transboundary Movements of Hazardous Wastes and Their Disposal to further address marine plastic litter and microplastics</w:t>
      </w:r>
      <w:r w:rsidRPr="008261BD">
        <w:rPr>
          <w:rStyle w:val="FootnoteReference"/>
          <w:rFonts w:asciiTheme="majorBidi" w:hAnsiTheme="majorBidi" w:cstheme="majorBidi"/>
          <w:lang w:val="en-GB"/>
        </w:rPr>
        <w:footnoteReference w:id="46"/>
      </w:r>
      <w:r w:rsidRPr="008261BD">
        <w:rPr>
          <w:rFonts w:asciiTheme="majorBidi" w:hAnsiTheme="majorBidi" w:cstheme="majorBidi"/>
          <w:lang w:val="en-GB"/>
        </w:rPr>
        <w:t xml:space="preserve"> and </w:t>
      </w:r>
      <w:r w:rsidRPr="008261BD">
        <w:rPr>
          <w:rFonts w:asciiTheme="majorBidi" w:hAnsiTheme="majorBidi" w:cstheme="majorBidi"/>
          <w:iCs/>
          <w:lang w:val="en-GB"/>
        </w:rPr>
        <w:t>ta</w:t>
      </w:r>
      <w:r w:rsidRPr="008261BD">
        <w:rPr>
          <w:rFonts w:asciiTheme="majorBidi" w:hAnsiTheme="majorBidi" w:cstheme="majorBidi"/>
          <w:iCs/>
          <w:color w:val="000000"/>
          <w:lang w:val="en-GB"/>
        </w:rPr>
        <w:t>kes note</w:t>
      </w:r>
      <w:r w:rsidRPr="008261BD">
        <w:rPr>
          <w:rFonts w:asciiTheme="majorBidi" w:hAnsiTheme="majorBidi" w:cstheme="majorBidi"/>
          <w:color w:val="000000"/>
          <w:lang w:val="en-GB"/>
        </w:rPr>
        <w:t xml:space="preserve"> of the information on </w:t>
      </w:r>
      <w:r w:rsidRPr="008261BD">
        <w:rPr>
          <w:rFonts w:asciiTheme="majorBidi" w:hAnsiTheme="majorBidi" w:cstheme="majorBidi"/>
          <w:lang w:val="en-GB"/>
        </w:rPr>
        <w:t xml:space="preserve">activities related to marine plastic litter and microplastics undertaken by Basel Convention </w:t>
      </w:r>
      <w:r w:rsidRPr="008261BD">
        <w:rPr>
          <w:rFonts w:asciiTheme="majorBidi" w:hAnsiTheme="majorBidi" w:cstheme="majorBidi"/>
          <w:bCs/>
          <w:lang w:val="en-GB"/>
        </w:rPr>
        <w:t>regional and coordinating centres;</w:t>
      </w:r>
      <w:r w:rsidRPr="008261BD">
        <w:rPr>
          <w:rStyle w:val="FootnoteReference"/>
          <w:rFonts w:asciiTheme="majorBidi" w:hAnsiTheme="majorBidi" w:cstheme="majorBidi"/>
          <w:bCs/>
          <w:lang w:val="en-GB"/>
        </w:rPr>
        <w:footnoteReference w:id="47"/>
      </w:r>
    </w:p>
    <w:p w14:paraId="29DC9D19" w14:textId="77777777" w:rsidR="008261BD" w:rsidRPr="008261BD" w:rsidRDefault="008261BD" w:rsidP="00D63870">
      <w:pPr>
        <w:pStyle w:val="Normalpool"/>
        <w:numPr>
          <w:ilvl w:val="0"/>
          <w:numId w:val="9"/>
        </w:numPr>
        <w:tabs>
          <w:tab w:val="left" w:pos="624"/>
        </w:tabs>
        <w:spacing w:after="120"/>
        <w:ind w:left="1247" w:firstLine="624"/>
        <w:rPr>
          <w:rFonts w:asciiTheme="majorBidi" w:hAnsiTheme="majorBidi" w:cstheme="majorBidi"/>
          <w:i/>
          <w:color w:val="000000"/>
          <w:lang w:val="en-GB"/>
        </w:rPr>
      </w:pPr>
      <w:r w:rsidRPr="008261BD">
        <w:rPr>
          <w:rFonts w:asciiTheme="majorBidi" w:hAnsiTheme="majorBidi" w:cstheme="majorBidi"/>
          <w:i/>
          <w:color w:val="000000"/>
          <w:lang w:val="en-GB"/>
        </w:rPr>
        <w:t>Agrees</w:t>
      </w:r>
      <w:r w:rsidRPr="008261BD">
        <w:rPr>
          <w:rFonts w:asciiTheme="majorBidi" w:hAnsiTheme="majorBidi" w:cstheme="majorBidi"/>
          <w:iCs/>
          <w:color w:val="000000"/>
          <w:lang w:val="en-GB"/>
        </w:rPr>
        <w:t xml:space="preserve"> that the draft elements set out in the annex to the present decision should be a basis for a decision by the Conference of the Parties at its fourteenth meeting on further actions on marine plastic litter and microplastics</w:t>
      </w:r>
      <w:r w:rsidRPr="008261BD">
        <w:rPr>
          <w:rFonts w:asciiTheme="majorBidi" w:hAnsiTheme="majorBidi" w:cstheme="majorBidi"/>
          <w:i/>
          <w:color w:val="000000"/>
          <w:lang w:val="en-GB"/>
        </w:rPr>
        <w:t>;</w:t>
      </w:r>
    </w:p>
    <w:p w14:paraId="0F839530" w14:textId="77777777" w:rsidR="008261BD" w:rsidRPr="008261BD" w:rsidRDefault="008261BD" w:rsidP="00D63870">
      <w:pPr>
        <w:pStyle w:val="Normalpool"/>
        <w:numPr>
          <w:ilvl w:val="0"/>
          <w:numId w:val="9"/>
        </w:numPr>
        <w:tabs>
          <w:tab w:val="left" w:pos="624"/>
        </w:tabs>
        <w:spacing w:after="120"/>
        <w:ind w:left="1247" w:firstLine="624"/>
        <w:rPr>
          <w:rFonts w:asciiTheme="majorBidi" w:hAnsiTheme="majorBidi" w:cstheme="majorBidi"/>
          <w:iCs/>
          <w:color w:val="000000"/>
          <w:lang w:val="en-GB"/>
        </w:rPr>
      </w:pPr>
      <w:r w:rsidRPr="008261BD">
        <w:rPr>
          <w:rFonts w:asciiTheme="majorBidi" w:hAnsiTheme="majorBidi" w:cstheme="majorBidi"/>
          <w:i/>
          <w:color w:val="000000"/>
          <w:lang w:val="en-GB"/>
        </w:rPr>
        <w:t xml:space="preserve">Invites </w:t>
      </w:r>
      <w:r w:rsidRPr="008261BD">
        <w:rPr>
          <w:rFonts w:asciiTheme="majorBidi" w:hAnsiTheme="majorBidi" w:cstheme="majorBidi"/>
          <w:iCs/>
          <w:color w:val="000000"/>
          <w:lang w:val="en-GB"/>
        </w:rPr>
        <w:t>Parties and observers to submit comments on those draft elements to the Secretariat by 31 October 2018;</w:t>
      </w:r>
    </w:p>
    <w:p w14:paraId="45FF0264" w14:textId="77777777" w:rsidR="008261BD" w:rsidRPr="008261BD" w:rsidRDefault="008261BD" w:rsidP="00D63870">
      <w:pPr>
        <w:pStyle w:val="Normalpool"/>
        <w:numPr>
          <w:ilvl w:val="0"/>
          <w:numId w:val="9"/>
        </w:numPr>
        <w:tabs>
          <w:tab w:val="left" w:pos="624"/>
        </w:tabs>
        <w:spacing w:after="120"/>
        <w:ind w:left="1247" w:firstLine="624"/>
        <w:rPr>
          <w:rFonts w:asciiTheme="majorBidi" w:hAnsiTheme="majorBidi" w:cstheme="majorBidi"/>
          <w:i/>
          <w:color w:val="000000"/>
          <w:lang w:val="en-GB"/>
        </w:rPr>
      </w:pPr>
      <w:bookmarkStart w:id="3" w:name="_Hlk524874046"/>
      <w:r w:rsidRPr="008261BD">
        <w:rPr>
          <w:rFonts w:asciiTheme="majorBidi" w:hAnsiTheme="majorBidi" w:cstheme="majorBidi"/>
          <w:i/>
          <w:color w:val="000000"/>
          <w:lang w:val="en-GB"/>
        </w:rPr>
        <w:t xml:space="preserve">Requests </w:t>
      </w:r>
      <w:r w:rsidRPr="008261BD">
        <w:rPr>
          <w:rFonts w:asciiTheme="majorBidi" w:hAnsiTheme="majorBidi" w:cstheme="majorBidi"/>
          <w:iCs/>
          <w:color w:val="000000"/>
          <w:lang w:val="en-GB"/>
        </w:rPr>
        <w:t xml:space="preserve">the Secretariat to prepare a draft decision based on those draft elements, </w:t>
      </w:r>
      <w:proofErr w:type="gramStart"/>
      <w:r w:rsidRPr="008261BD">
        <w:rPr>
          <w:rFonts w:asciiTheme="majorBidi" w:hAnsiTheme="majorBidi" w:cstheme="majorBidi"/>
          <w:iCs/>
          <w:color w:val="000000"/>
          <w:lang w:val="en-GB"/>
        </w:rPr>
        <w:t>taking into account</w:t>
      </w:r>
      <w:proofErr w:type="gramEnd"/>
      <w:r w:rsidRPr="008261BD">
        <w:rPr>
          <w:rFonts w:asciiTheme="majorBidi" w:hAnsiTheme="majorBidi" w:cstheme="majorBidi"/>
          <w:iCs/>
          <w:color w:val="000000"/>
          <w:lang w:val="en-GB"/>
        </w:rPr>
        <w:t xml:space="preserve"> the comments received pursuant to paragraph 3 of the present decision, for consideration by the Conference of the Parties at its fourteenth meeting;</w:t>
      </w:r>
    </w:p>
    <w:p w14:paraId="630B99C2" w14:textId="77777777" w:rsidR="008261BD" w:rsidRPr="008261BD" w:rsidRDefault="008261BD" w:rsidP="00D63870">
      <w:pPr>
        <w:pStyle w:val="Normalpool"/>
        <w:numPr>
          <w:ilvl w:val="0"/>
          <w:numId w:val="9"/>
        </w:numPr>
        <w:tabs>
          <w:tab w:val="left" w:pos="624"/>
        </w:tabs>
        <w:spacing w:after="120"/>
        <w:ind w:left="1247" w:firstLine="624"/>
        <w:rPr>
          <w:rFonts w:asciiTheme="majorBidi" w:hAnsiTheme="majorBidi" w:cstheme="majorBidi"/>
          <w:iCs/>
          <w:color w:val="000000"/>
          <w:lang w:val="en-GB"/>
        </w:rPr>
      </w:pPr>
      <w:r w:rsidRPr="008261BD">
        <w:rPr>
          <w:rFonts w:asciiTheme="majorBidi" w:hAnsiTheme="majorBidi" w:cstheme="majorBidi"/>
          <w:i/>
          <w:color w:val="000000"/>
          <w:lang w:val="en-GB"/>
        </w:rPr>
        <w:t xml:space="preserve">Also requests </w:t>
      </w:r>
      <w:r w:rsidRPr="008261BD">
        <w:rPr>
          <w:rFonts w:asciiTheme="majorBidi" w:hAnsiTheme="majorBidi" w:cstheme="majorBidi"/>
          <w:iCs/>
          <w:color w:val="000000"/>
          <w:lang w:val="en-GB"/>
        </w:rPr>
        <w:t>the Secretariat to reflect the elements set out in sections 7, 8 and 9 of the annex to the present decision in the draft decisions on relevant agenda items to be considered by the Conference of the Parties at its fourteenth meeting</w:t>
      </w:r>
      <w:bookmarkEnd w:id="3"/>
      <w:r w:rsidRPr="008261BD">
        <w:rPr>
          <w:rFonts w:asciiTheme="majorBidi" w:hAnsiTheme="majorBidi" w:cstheme="majorBidi"/>
          <w:iCs/>
          <w:color w:val="000000"/>
          <w:lang w:val="en-GB"/>
        </w:rPr>
        <w:t>;</w:t>
      </w:r>
    </w:p>
    <w:p w14:paraId="4F1682BD" w14:textId="77777777" w:rsidR="008261BD" w:rsidRPr="008261BD" w:rsidRDefault="008261BD" w:rsidP="00D63870">
      <w:pPr>
        <w:pStyle w:val="Normalpool"/>
        <w:numPr>
          <w:ilvl w:val="0"/>
          <w:numId w:val="9"/>
        </w:numPr>
        <w:tabs>
          <w:tab w:val="left" w:pos="624"/>
        </w:tabs>
        <w:spacing w:after="120"/>
        <w:ind w:left="1247" w:firstLine="624"/>
        <w:rPr>
          <w:rFonts w:asciiTheme="majorBidi" w:hAnsiTheme="majorBidi" w:cstheme="majorBidi"/>
          <w:iCs/>
          <w:color w:val="000000"/>
          <w:lang w:val="en-GB"/>
        </w:rPr>
      </w:pPr>
      <w:r w:rsidRPr="008261BD">
        <w:rPr>
          <w:rFonts w:asciiTheme="majorBidi" w:hAnsiTheme="majorBidi" w:cstheme="majorBidi"/>
          <w:i/>
          <w:color w:val="000000"/>
          <w:lang w:val="en-GB"/>
        </w:rPr>
        <w:t>Welcomes with appreciation</w:t>
      </w:r>
      <w:r w:rsidRPr="008261BD">
        <w:rPr>
          <w:rFonts w:asciiTheme="majorBidi" w:hAnsiTheme="majorBidi" w:cstheme="majorBidi"/>
          <w:iCs/>
          <w:color w:val="000000"/>
          <w:lang w:val="en-GB"/>
        </w:rPr>
        <w:t xml:space="preserve"> the proposal submitted by the Government of Norway on the establishment of a plastic waste partnership;</w:t>
      </w:r>
    </w:p>
    <w:p w14:paraId="2DA26FA4" w14:textId="77777777" w:rsidR="008261BD" w:rsidRPr="008261BD" w:rsidRDefault="008261BD" w:rsidP="00D63870">
      <w:pPr>
        <w:pStyle w:val="Normalpool"/>
        <w:numPr>
          <w:ilvl w:val="0"/>
          <w:numId w:val="9"/>
        </w:numPr>
        <w:tabs>
          <w:tab w:val="left" w:pos="624"/>
        </w:tabs>
        <w:spacing w:after="120"/>
        <w:ind w:left="1247" w:firstLine="624"/>
        <w:rPr>
          <w:rFonts w:asciiTheme="majorBidi" w:hAnsiTheme="majorBidi" w:cstheme="majorBidi"/>
          <w:iCs/>
          <w:color w:val="000000"/>
          <w:lang w:val="en-GB"/>
        </w:rPr>
      </w:pPr>
      <w:r w:rsidRPr="008261BD">
        <w:rPr>
          <w:rFonts w:asciiTheme="majorBidi" w:hAnsiTheme="majorBidi" w:cstheme="majorBidi"/>
          <w:i/>
          <w:color w:val="000000"/>
          <w:lang w:val="en-GB"/>
        </w:rPr>
        <w:t xml:space="preserve">Recommends </w:t>
      </w:r>
      <w:r w:rsidRPr="008261BD">
        <w:rPr>
          <w:rFonts w:asciiTheme="majorBidi" w:hAnsiTheme="majorBidi" w:cstheme="majorBidi"/>
          <w:color w:val="000000"/>
          <w:lang w:val="en-GB"/>
        </w:rPr>
        <w:t>to</w:t>
      </w:r>
      <w:r w:rsidRPr="008261BD">
        <w:rPr>
          <w:rFonts w:asciiTheme="majorBidi" w:hAnsiTheme="majorBidi" w:cstheme="majorBidi"/>
          <w:i/>
          <w:color w:val="000000"/>
          <w:lang w:val="en-GB"/>
        </w:rPr>
        <w:t xml:space="preserve"> </w:t>
      </w:r>
      <w:r w:rsidRPr="008261BD">
        <w:rPr>
          <w:rFonts w:asciiTheme="majorBidi" w:hAnsiTheme="majorBidi" w:cstheme="majorBidi"/>
          <w:iCs/>
          <w:color w:val="000000"/>
          <w:lang w:val="en-GB"/>
        </w:rPr>
        <w:t>the Conference of the Parties at its fourteenth meeting the establishment of a partnership under the Basel Convention on plastic wastes that also addresses marine plastic litter and microplastics;</w:t>
      </w:r>
    </w:p>
    <w:p w14:paraId="4BA1BE65" w14:textId="77777777" w:rsidR="008261BD" w:rsidRPr="008261BD" w:rsidRDefault="008261BD" w:rsidP="00D63870">
      <w:pPr>
        <w:pStyle w:val="Normalpool"/>
        <w:numPr>
          <w:ilvl w:val="0"/>
          <w:numId w:val="9"/>
        </w:numPr>
        <w:tabs>
          <w:tab w:val="left" w:pos="624"/>
        </w:tabs>
        <w:spacing w:after="120"/>
        <w:ind w:left="1247" w:firstLine="624"/>
        <w:rPr>
          <w:rFonts w:asciiTheme="majorBidi" w:hAnsiTheme="majorBidi" w:cstheme="majorBidi"/>
          <w:iCs/>
          <w:color w:val="000000"/>
          <w:lang w:val="en-GB"/>
        </w:rPr>
      </w:pPr>
      <w:r w:rsidRPr="008261BD">
        <w:rPr>
          <w:rFonts w:asciiTheme="majorBidi" w:hAnsiTheme="majorBidi" w:cstheme="majorBidi"/>
          <w:i/>
          <w:color w:val="000000"/>
          <w:lang w:val="en-GB"/>
        </w:rPr>
        <w:t xml:space="preserve">Invites </w:t>
      </w:r>
      <w:r w:rsidRPr="008261BD">
        <w:rPr>
          <w:rFonts w:asciiTheme="majorBidi" w:hAnsiTheme="majorBidi" w:cstheme="majorBidi"/>
          <w:iCs/>
          <w:color w:val="000000"/>
          <w:lang w:val="en-GB"/>
        </w:rPr>
        <w:t>Parties and others to provide comments on the draft terms of reference of the partnership set out in the annex to document UNEP/CHW/OEWG.11/INF/39 and suggestions on elements of the work programme of the partnership for the biennium 2020–2021 by 17 December 2018;</w:t>
      </w:r>
    </w:p>
    <w:p w14:paraId="1711FE0A" w14:textId="77777777" w:rsidR="008261BD" w:rsidRPr="008261BD" w:rsidRDefault="008261BD" w:rsidP="00D63870">
      <w:pPr>
        <w:pStyle w:val="Normalpool"/>
        <w:numPr>
          <w:ilvl w:val="0"/>
          <w:numId w:val="9"/>
        </w:numPr>
        <w:tabs>
          <w:tab w:val="left" w:pos="624"/>
        </w:tabs>
        <w:spacing w:after="120"/>
        <w:ind w:left="1247" w:firstLine="624"/>
        <w:rPr>
          <w:rFonts w:asciiTheme="majorBidi" w:hAnsiTheme="majorBidi" w:cstheme="majorBidi"/>
          <w:iCs/>
          <w:color w:val="000000"/>
          <w:lang w:val="en-GB"/>
        </w:rPr>
      </w:pPr>
      <w:bookmarkStart w:id="4" w:name="_Hlk524873994"/>
      <w:r w:rsidRPr="008261BD">
        <w:rPr>
          <w:rFonts w:asciiTheme="majorBidi" w:hAnsiTheme="majorBidi" w:cstheme="majorBidi"/>
          <w:i/>
          <w:color w:val="000000"/>
          <w:lang w:val="en-GB"/>
        </w:rPr>
        <w:t>Requests</w:t>
      </w:r>
      <w:r w:rsidRPr="008261BD">
        <w:rPr>
          <w:rFonts w:asciiTheme="majorBidi" w:hAnsiTheme="majorBidi" w:cstheme="majorBidi"/>
          <w:iCs/>
          <w:color w:val="000000"/>
          <w:lang w:val="en-GB"/>
        </w:rPr>
        <w:t xml:space="preserve"> the Secretariat to revise the draft terms of reference of the partnership and prepare a draft work programme of the partnership for the biennium 2020–2021, taking into account the discussions at the eleventh meeting of the Open-ended Working Group and comments and suggestions received pursuant to paragraph 8 of the present decision, and to submit the revised draft terms of reference and the draft work programme to the Conference of the Parties at its fourteenth meeting</w:t>
      </w:r>
      <w:r w:rsidRPr="008261BD">
        <w:rPr>
          <w:rFonts w:asciiTheme="majorBidi" w:hAnsiTheme="majorBidi" w:cstheme="majorBidi"/>
          <w:lang w:val="en-GB"/>
        </w:rPr>
        <w:t xml:space="preserve"> for its consideration and possible adoption</w:t>
      </w:r>
      <w:bookmarkEnd w:id="4"/>
      <w:r w:rsidRPr="008261BD">
        <w:rPr>
          <w:rFonts w:asciiTheme="majorBidi" w:hAnsiTheme="majorBidi" w:cstheme="majorBidi"/>
          <w:iCs/>
          <w:color w:val="000000"/>
          <w:lang w:val="en-GB"/>
        </w:rPr>
        <w:t>;</w:t>
      </w:r>
    </w:p>
    <w:p w14:paraId="284B74D7" w14:textId="77777777" w:rsidR="008261BD" w:rsidRPr="008261BD" w:rsidRDefault="008261BD" w:rsidP="00D63870">
      <w:pPr>
        <w:pStyle w:val="Normalpool"/>
        <w:numPr>
          <w:ilvl w:val="0"/>
          <w:numId w:val="9"/>
        </w:numPr>
        <w:tabs>
          <w:tab w:val="left" w:pos="624"/>
        </w:tabs>
        <w:spacing w:after="120"/>
        <w:ind w:left="1247" w:firstLine="624"/>
        <w:rPr>
          <w:rFonts w:asciiTheme="majorBidi" w:hAnsiTheme="majorBidi" w:cstheme="majorBidi"/>
          <w:iCs/>
          <w:color w:val="000000"/>
          <w:lang w:val="en-GB"/>
        </w:rPr>
      </w:pPr>
      <w:r w:rsidRPr="008261BD">
        <w:rPr>
          <w:rFonts w:asciiTheme="majorBidi" w:hAnsiTheme="majorBidi" w:cstheme="majorBidi"/>
          <w:i/>
          <w:color w:val="000000"/>
          <w:lang w:val="en-GB"/>
        </w:rPr>
        <w:t xml:space="preserve">Takes note </w:t>
      </w:r>
      <w:r w:rsidRPr="008261BD">
        <w:rPr>
          <w:rFonts w:asciiTheme="majorBidi" w:hAnsiTheme="majorBidi" w:cstheme="majorBidi"/>
          <w:color w:val="000000"/>
          <w:lang w:val="en-GB"/>
        </w:rPr>
        <w:t>of</w:t>
      </w:r>
      <w:r w:rsidRPr="008261BD">
        <w:rPr>
          <w:rFonts w:asciiTheme="majorBidi" w:hAnsiTheme="majorBidi" w:cstheme="majorBidi"/>
          <w:i/>
          <w:color w:val="000000"/>
          <w:lang w:val="en-GB"/>
        </w:rPr>
        <w:t xml:space="preserve"> </w:t>
      </w:r>
      <w:r w:rsidRPr="008261BD">
        <w:rPr>
          <w:rFonts w:asciiTheme="majorBidi" w:hAnsiTheme="majorBidi" w:cstheme="majorBidi"/>
          <w:iCs/>
          <w:color w:val="000000"/>
          <w:lang w:val="en-GB"/>
        </w:rPr>
        <w:t>decision OEWG-11/7 on amendments to Annex IX to the Convention and the intention of the Government of Norway, as expressed at the eleventh meeting of the Open</w:t>
      </w:r>
      <w:r w:rsidRPr="008261BD">
        <w:rPr>
          <w:rFonts w:asciiTheme="majorBidi" w:hAnsiTheme="majorBidi" w:cstheme="majorBidi"/>
          <w:iCs/>
          <w:color w:val="000000"/>
          <w:lang w:val="en-GB"/>
        </w:rPr>
        <w:noBreakHyphen/>
        <w:t xml:space="preserve">ended Working Group, to submit a proposal to amend Annex II to the Convention for consideration </w:t>
      </w:r>
      <w:r w:rsidRPr="008261BD">
        <w:rPr>
          <w:rFonts w:asciiTheme="majorBidi" w:hAnsiTheme="majorBidi" w:cstheme="majorBidi"/>
          <w:lang w:val="en-GB"/>
        </w:rPr>
        <w:t>and possible adoption</w:t>
      </w:r>
      <w:r w:rsidRPr="008261BD">
        <w:rPr>
          <w:rFonts w:asciiTheme="majorBidi" w:hAnsiTheme="majorBidi" w:cstheme="majorBidi"/>
          <w:iCs/>
          <w:color w:val="000000"/>
          <w:lang w:val="en-GB"/>
        </w:rPr>
        <w:t xml:space="preserve"> by the Conference of the Parties at its fourteenth meeting;</w:t>
      </w:r>
    </w:p>
    <w:p w14:paraId="71CE2036" w14:textId="77777777" w:rsidR="008261BD" w:rsidRPr="008261BD" w:rsidRDefault="008261BD" w:rsidP="00D63870">
      <w:pPr>
        <w:pStyle w:val="Normalpool"/>
        <w:numPr>
          <w:ilvl w:val="0"/>
          <w:numId w:val="9"/>
        </w:numPr>
        <w:tabs>
          <w:tab w:val="left" w:pos="624"/>
        </w:tabs>
        <w:spacing w:after="120"/>
        <w:ind w:left="1247" w:firstLine="624"/>
        <w:rPr>
          <w:rFonts w:asciiTheme="majorBidi" w:hAnsiTheme="majorBidi" w:cstheme="majorBidi"/>
          <w:lang w:val="en-GB"/>
        </w:rPr>
      </w:pPr>
      <w:r w:rsidRPr="008261BD">
        <w:rPr>
          <w:rFonts w:asciiTheme="majorBidi" w:hAnsiTheme="majorBidi" w:cstheme="majorBidi"/>
          <w:i/>
          <w:color w:val="000000"/>
          <w:lang w:val="en-GB"/>
        </w:rPr>
        <w:t>Requests</w:t>
      </w:r>
      <w:r w:rsidRPr="008261BD">
        <w:rPr>
          <w:rFonts w:asciiTheme="majorBidi" w:hAnsiTheme="majorBidi" w:cstheme="majorBidi"/>
          <w:i/>
          <w:lang w:val="en-GB"/>
        </w:rPr>
        <w:t xml:space="preserve"> </w:t>
      </w:r>
      <w:r w:rsidRPr="008261BD">
        <w:rPr>
          <w:rFonts w:asciiTheme="majorBidi" w:hAnsiTheme="majorBidi" w:cstheme="majorBidi"/>
          <w:lang w:val="en-GB"/>
        </w:rPr>
        <w:t xml:space="preserve">the Secretariat to communicate the present decision to the open-ended ad hoc expert group referred to in paragraph 10 of resolution 3/7 of the United Nations Environment Assembly and to the United Nations Environment Assembly at its fourth session. </w:t>
      </w:r>
    </w:p>
    <w:p w14:paraId="0BB6BC18" w14:textId="77777777" w:rsidR="008261BD" w:rsidRPr="008261BD" w:rsidRDefault="008261BD" w:rsidP="008261BD">
      <w:pPr>
        <w:rPr>
          <w:rFonts w:asciiTheme="majorBidi" w:hAnsiTheme="majorBidi" w:cstheme="majorBidi"/>
          <w:lang w:val="en-US"/>
        </w:rPr>
        <w:sectPr w:rsidR="008261BD" w:rsidRPr="008261BD" w:rsidSect="004127E3">
          <w:headerReference w:type="even" r:id="rId11"/>
          <w:headerReference w:type="default" r:id="rId12"/>
          <w:footnotePr>
            <w:numRestart w:val="eachSect"/>
          </w:footnotePr>
          <w:pgSz w:w="11906" w:h="16838"/>
          <w:pgMar w:top="907" w:right="992" w:bottom="1418" w:left="1418" w:header="539" w:footer="975" w:gutter="0"/>
          <w:cols w:space="720"/>
          <w:titlePg/>
          <w:docGrid w:linePitch="299"/>
        </w:sectPr>
      </w:pPr>
    </w:p>
    <w:p w14:paraId="7C5A9D96" w14:textId="77777777" w:rsidR="008261BD" w:rsidRPr="008261BD" w:rsidRDefault="008261BD" w:rsidP="008261BD">
      <w:pPr>
        <w:pStyle w:val="CH2"/>
        <w:rPr>
          <w:rFonts w:asciiTheme="majorBidi" w:hAnsiTheme="majorBidi" w:cstheme="majorBidi"/>
        </w:rPr>
      </w:pPr>
      <w:r w:rsidRPr="008261BD">
        <w:rPr>
          <w:rFonts w:asciiTheme="majorBidi" w:hAnsiTheme="majorBidi" w:cstheme="majorBidi"/>
        </w:rPr>
        <w:lastRenderedPageBreak/>
        <w:tab/>
      </w:r>
      <w:r w:rsidRPr="008261BD">
        <w:rPr>
          <w:rFonts w:asciiTheme="majorBidi" w:hAnsiTheme="majorBidi" w:cstheme="majorBidi"/>
        </w:rPr>
        <w:tab/>
        <w:t>Annex to decision OEWG-11/8</w:t>
      </w:r>
    </w:p>
    <w:p w14:paraId="3B5C7E86" w14:textId="77777777" w:rsidR="008261BD" w:rsidRPr="008261BD" w:rsidRDefault="008261BD" w:rsidP="008261BD">
      <w:pPr>
        <w:pStyle w:val="CH2"/>
        <w:rPr>
          <w:rFonts w:asciiTheme="majorBidi" w:hAnsiTheme="majorBidi" w:cstheme="majorBidi"/>
        </w:rPr>
      </w:pPr>
      <w:r w:rsidRPr="008261BD">
        <w:rPr>
          <w:rFonts w:asciiTheme="majorBidi" w:hAnsiTheme="majorBidi" w:cstheme="majorBidi"/>
        </w:rPr>
        <w:tab/>
      </w:r>
      <w:r w:rsidRPr="008261BD">
        <w:rPr>
          <w:rFonts w:asciiTheme="majorBidi" w:hAnsiTheme="majorBidi" w:cstheme="majorBidi"/>
          <w:sz w:val="22"/>
          <w:szCs w:val="22"/>
        </w:rPr>
        <w:tab/>
      </w:r>
      <w:r w:rsidRPr="008261BD">
        <w:rPr>
          <w:rFonts w:asciiTheme="majorBidi" w:hAnsiTheme="majorBidi" w:cstheme="majorBidi"/>
        </w:rPr>
        <w:t xml:space="preserve">Draft elements as a basis for a decision on marine plastic litter, to be considered at the </w:t>
      </w:r>
      <w:r w:rsidRPr="008261BD">
        <w:rPr>
          <w:rFonts w:asciiTheme="majorBidi" w:hAnsiTheme="majorBidi" w:cstheme="majorBidi"/>
          <w:iCs/>
          <w:color w:val="000000"/>
        </w:rPr>
        <w:t>fourteenth meeting of the Conference of the Parties</w:t>
      </w:r>
      <w:r w:rsidRPr="008261BD">
        <w:rPr>
          <w:rFonts w:asciiTheme="majorBidi" w:hAnsiTheme="majorBidi" w:cstheme="majorBidi"/>
        </w:rPr>
        <w:t>, on which Parties and others are invited to comment</w:t>
      </w:r>
    </w:p>
    <w:p w14:paraId="666EBE68" w14:textId="77777777" w:rsidR="008261BD" w:rsidRPr="008261BD" w:rsidRDefault="008261BD" w:rsidP="008261BD">
      <w:pPr>
        <w:keepNext/>
        <w:keepLines/>
        <w:tabs>
          <w:tab w:val="left" w:pos="624"/>
          <w:tab w:val="left" w:pos="1260"/>
          <w:tab w:val="left" w:pos="1871"/>
          <w:tab w:val="left" w:pos="2495"/>
        </w:tabs>
        <w:spacing w:after="240"/>
        <w:rPr>
          <w:rFonts w:asciiTheme="majorBidi" w:hAnsiTheme="majorBidi" w:cstheme="majorBidi"/>
          <w:bCs/>
          <w:i/>
          <w:sz w:val="20"/>
          <w:szCs w:val="20"/>
          <w:lang w:val="en-US"/>
        </w:rPr>
      </w:pPr>
      <w:r>
        <w:rPr>
          <w:rFonts w:asciiTheme="majorBidi" w:hAnsiTheme="majorBidi" w:cstheme="majorBidi"/>
          <w:b/>
          <w:bCs/>
          <w:i/>
          <w:lang w:val="en-US"/>
        </w:rPr>
        <w:tab/>
      </w:r>
      <w:r>
        <w:rPr>
          <w:rFonts w:asciiTheme="majorBidi" w:hAnsiTheme="majorBidi" w:cstheme="majorBidi"/>
          <w:b/>
          <w:bCs/>
          <w:i/>
          <w:lang w:val="en-US"/>
        </w:rPr>
        <w:tab/>
      </w:r>
      <w:r w:rsidRPr="008261BD">
        <w:rPr>
          <w:rFonts w:asciiTheme="majorBidi" w:hAnsiTheme="majorBidi" w:cstheme="majorBidi"/>
          <w:b/>
          <w:bCs/>
          <w:i/>
          <w:sz w:val="20"/>
          <w:szCs w:val="20"/>
          <w:lang w:val="en-US"/>
        </w:rPr>
        <w:t>Note:</w:t>
      </w:r>
      <w:r w:rsidRPr="008261BD">
        <w:rPr>
          <w:rFonts w:asciiTheme="majorBidi" w:hAnsiTheme="majorBidi" w:cstheme="majorBidi"/>
          <w:bCs/>
          <w:i/>
          <w:sz w:val="20"/>
          <w:szCs w:val="20"/>
          <w:lang w:val="en-US"/>
        </w:rPr>
        <w:t xml:space="preserve"> Some of the elements may be in preambular paragraphs.</w:t>
      </w:r>
    </w:p>
    <w:p w14:paraId="418B92EB" w14:textId="77777777" w:rsidR="008261BD" w:rsidRPr="008261BD" w:rsidRDefault="008261BD" w:rsidP="008261BD">
      <w:pPr>
        <w:pStyle w:val="CH3"/>
        <w:tabs>
          <w:tab w:val="left" w:pos="624"/>
        </w:tabs>
        <w:rPr>
          <w:rFonts w:asciiTheme="majorBidi" w:hAnsiTheme="majorBidi" w:cstheme="majorBidi"/>
        </w:rPr>
      </w:pPr>
      <w:r w:rsidRPr="008261BD">
        <w:rPr>
          <w:rFonts w:asciiTheme="majorBidi" w:hAnsiTheme="majorBidi" w:cstheme="majorBidi"/>
        </w:rPr>
        <w:tab/>
        <w:t>1.</w:t>
      </w:r>
      <w:r w:rsidRPr="008261BD">
        <w:rPr>
          <w:rFonts w:asciiTheme="majorBidi" w:hAnsiTheme="majorBidi" w:cstheme="majorBidi"/>
        </w:rPr>
        <w:tab/>
      </w:r>
      <w:r w:rsidRPr="008261BD">
        <w:rPr>
          <w:rFonts w:asciiTheme="majorBidi" w:hAnsiTheme="majorBidi" w:cstheme="majorBidi"/>
        </w:rPr>
        <w:tab/>
        <w:t>General</w:t>
      </w:r>
    </w:p>
    <w:p w14:paraId="229013DF" w14:textId="77777777" w:rsidR="008261BD" w:rsidRPr="008261BD" w:rsidRDefault="008261BD" w:rsidP="001420AE">
      <w:pPr>
        <w:pStyle w:val="Normalpool"/>
        <w:tabs>
          <w:tab w:val="left" w:pos="624"/>
        </w:tabs>
        <w:spacing w:after="120"/>
        <w:ind w:left="1247" w:firstLine="624"/>
        <w:rPr>
          <w:rFonts w:asciiTheme="majorBidi" w:hAnsiTheme="majorBidi" w:cstheme="majorBidi"/>
          <w:lang w:val="en-GB"/>
        </w:rPr>
      </w:pPr>
      <w:r w:rsidRPr="008261BD">
        <w:rPr>
          <w:rFonts w:asciiTheme="majorBidi" w:hAnsiTheme="majorBidi" w:cstheme="majorBidi"/>
          <w:lang w:val="en-GB"/>
        </w:rPr>
        <w:t xml:space="preserve">(a) </w:t>
      </w:r>
      <w:r w:rsidRPr="008261BD">
        <w:rPr>
          <w:rFonts w:asciiTheme="majorBidi" w:hAnsiTheme="majorBidi" w:cstheme="majorBidi"/>
          <w:lang w:val="en-GB"/>
        </w:rPr>
        <w:tab/>
        <w:t>Reconfirm that marine plastic litter and microplastics are an issue of serious global concern;</w:t>
      </w:r>
    </w:p>
    <w:p w14:paraId="0C5704F7" w14:textId="77777777" w:rsidR="008261BD" w:rsidRPr="008261BD" w:rsidRDefault="008261BD" w:rsidP="008261BD">
      <w:pPr>
        <w:pStyle w:val="Normalpool"/>
        <w:tabs>
          <w:tab w:val="left" w:pos="624"/>
        </w:tabs>
        <w:spacing w:after="120"/>
        <w:ind w:left="1247" w:firstLine="624"/>
        <w:rPr>
          <w:rFonts w:asciiTheme="majorBidi" w:hAnsiTheme="majorBidi" w:cstheme="majorBidi"/>
          <w:iCs/>
          <w:lang w:val="en-GB"/>
        </w:rPr>
      </w:pPr>
      <w:r w:rsidRPr="008261BD">
        <w:rPr>
          <w:rFonts w:asciiTheme="majorBidi" w:hAnsiTheme="majorBidi" w:cstheme="majorBidi"/>
          <w:iCs/>
          <w:lang w:val="en-GB"/>
        </w:rPr>
        <w:t xml:space="preserve">(b) </w:t>
      </w:r>
      <w:r w:rsidRPr="008261BD">
        <w:rPr>
          <w:rFonts w:asciiTheme="majorBidi" w:hAnsiTheme="majorBidi" w:cstheme="majorBidi"/>
          <w:iCs/>
          <w:lang w:val="en-GB"/>
        </w:rPr>
        <w:tab/>
        <w:t>Emphasize that work under the Basel Convention on the Control of Transboundary Movements of Hazardous Wastes and Their Disposal can and will play an important role in addressing this problem;</w:t>
      </w:r>
    </w:p>
    <w:p w14:paraId="01663EFE" w14:textId="77777777" w:rsidR="008261BD" w:rsidRPr="008261BD" w:rsidRDefault="008261BD" w:rsidP="008261BD">
      <w:pPr>
        <w:pStyle w:val="CH3"/>
        <w:tabs>
          <w:tab w:val="left" w:pos="624"/>
        </w:tabs>
        <w:rPr>
          <w:rFonts w:asciiTheme="majorBidi" w:hAnsiTheme="majorBidi" w:cstheme="majorBidi"/>
        </w:rPr>
      </w:pPr>
      <w:r w:rsidRPr="008261BD">
        <w:rPr>
          <w:rFonts w:asciiTheme="majorBidi" w:hAnsiTheme="majorBidi" w:cstheme="majorBidi"/>
        </w:rPr>
        <w:tab/>
        <w:t>2.</w:t>
      </w:r>
      <w:r w:rsidRPr="008261BD">
        <w:rPr>
          <w:rFonts w:asciiTheme="majorBidi" w:hAnsiTheme="majorBidi" w:cstheme="majorBidi"/>
        </w:rPr>
        <w:tab/>
      </w:r>
      <w:r w:rsidRPr="008261BD">
        <w:rPr>
          <w:rFonts w:asciiTheme="majorBidi" w:hAnsiTheme="majorBidi" w:cstheme="majorBidi"/>
        </w:rPr>
        <w:tab/>
        <w:t>Preventing and minimizing the generation of plastic wastes</w:t>
      </w:r>
    </w:p>
    <w:p w14:paraId="4A8B3FC9" w14:textId="77777777" w:rsidR="008261BD" w:rsidRPr="008261BD" w:rsidRDefault="008261BD" w:rsidP="008261BD">
      <w:pPr>
        <w:pStyle w:val="Normalpool"/>
        <w:tabs>
          <w:tab w:val="left" w:pos="624"/>
        </w:tabs>
        <w:spacing w:after="120"/>
        <w:ind w:left="1247" w:firstLine="624"/>
        <w:rPr>
          <w:rFonts w:asciiTheme="majorBidi" w:hAnsiTheme="majorBidi" w:cstheme="majorBidi"/>
          <w:lang w:val="en-GB"/>
        </w:rPr>
      </w:pPr>
      <w:r w:rsidRPr="008261BD">
        <w:rPr>
          <w:rFonts w:asciiTheme="majorBidi" w:hAnsiTheme="majorBidi" w:cstheme="majorBidi"/>
          <w:lang w:val="en-GB"/>
        </w:rPr>
        <w:t xml:space="preserve">(a) </w:t>
      </w:r>
      <w:r w:rsidRPr="008261BD">
        <w:rPr>
          <w:rFonts w:asciiTheme="majorBidi" w:hAnsiTheme="majorBidi" w:cstheme="majorBidi"/>
          <w:lang w:val="en-GB"/>
        </w:rPr>
        <w:tab/>
        <w:t xml:space="preserve">Recognize the relevance of the Cartagena Declaration on the Prevention, Minimization and Recovery of Hazardous Wastes and Other Wastes (decision BC-12/2) and the importance of the activities identified in the road map for action on its implementation in addressing plastic wastes, including challenges related to marine plastic litter; </w:t>
      </w:r>
    </w:p>
    <w:p w14:paraId="5B1ACD9F" w14:textId="77777777" w:rsidR="008261BD" w:rsidRPr="008261BD" w:rsidRDefault="008261BD" w:rsidP="008261BD">
      <w:pPr>
        <w:pStyle w:val="Normalpool"/>
        <w:tabs>
          <w:tab w:val="left" w:pos="624"/>
        </w:tabs>
        <w:spacing w:after="120"/>
        <w:ind w:left="1247" w:firstLine="624"/>
        <w:rPr>
          <w:rFonts w:asciiTheme="majorBidi" w:hAnsiTheme="majorBidi" w:cstheme="majorBidi"/>
          <w:lang w:val="en-GB"/>
        </w:rPr>
      </w:pPr>
      <w:r w:rsidRPr="008261BD">
        <w:rPr>
          <w:rFonts w:asciiTheme="majorBidi" w:hAnsiTheme="majorBidi" w:cstheme="majorBidi"/>
          <w:lang w:val="en-GB"/>
        </w:rPr>
        <w:t xml:space="preserve">(b) </w:t>
      </w:r>
      <w:r w:rsidRPr="008261BD">
        <w:rPr>
          <w:rFonts w:asciiTheme="majorBidi" w:hAnsiTheme="majorBidi" w:cstheme="majorBidi"/>
          <w:lang w:val="en-GB"/>
        </w:rPr>
        <w:tab/>
        <w:t xml:space="preserve">Emphasize the need to adopt a lifecycle approach and the importance of the waste management hierarchy; </w:t>
      </w:r>
    </w:p>
    <w:p w14:paraId="2E4F3CA2" w14:textId="77777777" w:rsidR="008261BD" w:rsidRPr="008261BD" w:rsidRDefault="008261BD" w:rsidP="008261BD">
      <w:pPr>
        <w:pStyle w:val="Normalpool"/>
        <w:tabs>
          <w:tab w:val="left" w:pos="624"/>
        </w:tabs>
        <w:spacing w:after="120"/>
        <w:ind w:left="1247" w:firstLine="624"/>
        <w:rPr>
          <w:rFonts w:asciiTheme="majorBidi" w:hAnsiTheme="majorBidi" w:cstheme="majorBidi"/>
          <w:lang w:val="en-GB"/>
        </w:rPr>
      </w:pPr>
      <w:r w:rsidRPr="008261BD">
        <w:rPr>
          <w:rFonts w:asciiTheme="majorBidi" w:hAnsiTheme="majorBidi" w:cstheme="majorBidi"/>
          <w:lang w:val="en-GB"/>
        </w:rPr>
        <w:t xml:space="preserve">(c) </w:t>
      </w:r>
      <w:r w:rsidRPr="008261BD">
        <w:rPr>
          <w:rFonts w:asciiTheme="majorBidi" w:hAnsiTheme="majorBidi" w:cstheme="majorBidi"/>
          <w:lang w:val="en-GB"/>
        </w:rPr>
        <w:tab/>
        <w:t xml:space="preserve">Encourage Governments, industry and consumers to make efforts to prevent and minimize the generation of plastic wastes (e.g. relation to single-use plastics) and improve the environmentally sound management of plastic wastes, in particular </w:t>
      </w:r>
      <w:proofErr w:type="gramStart"/>
      <w:r w:rsidRPr="008261BD">
        <w:rPr>
          <w:rFonts w:asciiTheme="majorBidi" w:hAnsiTheme="majorBidi" w:cstheme="majorBidi"/>
          <w:lang w:val="en-GB"/>
        </w:rPr>
        <w:t>in order to</w:t>
      </w:r>
      <w:proofErr w:type="gramEnd"/>
      <w:r w:rsidRPr="008261BD">
        <w:rPr>
          <w:rFonts w:asciiTheme="majorBidi" w:hAnsiTheme="majorBidi" w:cstheme="majorBidi"/>
          <w:lang w:val="en-GB"/>
        </w:rPr>
        <w:t xml:space="preserve"> prevent plastics from entering the marine environment from land-based sources; </w:t>
      </w:r>
    </w:p>
    <w:p w14:paraId="30D5CD99" w14:textId="77777777" w:rsidR="008261BD" w:rsidRPr="008261BD" w:rsidRDefault="008261BD" w:rsidP="008261BD">
      <w:pPr>
        <w:pStyle w:val="Normalpool"/>
        <w:tabs>
          <w:tab w:val="left" w:pos="624"/>
        </w:tabs>
        <w:spacing w:after="120"/>
        <w:ind w:left="1247" w:firstLine="624"/>
        <w:rPr>
          <w:rFonts w:asciiTheme="majorBidi" w:hAnsiTheme="majorBidi" w:cstheme="majorBidi"/>
          <w:iCs/>
          <w:lang w:val="en-GB"/>
        </w:rPr>
      </w:pPr>
      <w:r w:rsidRPr="008261BD">
        <w:rPr>
          <w:rFonts w:asciiTheme="majorBidi" w:hAnsiTheme="majorBidi" w:cstheme="majorBidi"/>
          <w:lang w:val="en-GB"/>
        </w:rPr>
        <w:t xml:space="preserve">(d) </w:t>
      </w:r>
      <w:r w:rsidRPr="008261BD">
        <w:rPr>
          <w:rFonts w:asciiTheme="majorBidi" w:hAnsiTheme="majorBidi" w:cstheme="majorBidi"/>
          <w:lang w:val="en-GB"/>
        </w:rPr>
        <w:tab/>
        <w:t>Welcome the many initiatives that countries, industry, regional centres and civil society have taken in response to the challenge of marine</w:t>
      </w:r>
      <w:r w:rsidRPr="008261BD">
        <w:rPr>
          <w:rFonts w:asciiTheme="majorBidi" w:hAnsiTheme="majorBidi" w:cstheme="majorBidi"/>
          <w:iCs/>
          <w:lang w:val="en-GB"/>
        </w:rPr>
        <w:t xml:space="preserve"> plastic litter and microplastics, including regulatory action, financial and other incentives, extended producer responsibility, public awareness and voluntary action, and encourage further efforts;</w:t>
      </w:r>
    </w:p>
    <w:p w14:paraId="153D29A5" w14:textId="77777777" w:rsidR="008261BD" w:rsidRPr="008261BD" w:rsidRDefault="008261BD" w:rsidP="008261BD">
      <w:pPr>
        <w:pStyle w:val="CH3"/>
        <w:tabs>
          <w:tab w:val="left" w:pos="624"/>
        </w:tabs>
        <w:rPr>
          <w:rFonts w:asciiTheme="majorBidi" w:hAnsiTheme="majorBidi" w:cstheme="majorBidi"/>
        </w:rPr>
      </w:pPr>
      <w:r w:rsidRPr="008261BD">
        <w:rPr>
          <w:rFonts w:asciiTheme="majorBidi" w:hAnsiTheme="majorBidi" w:cstheme="majorBidi"/>
        </w:rPr>
        <w:tab/>
        <w:t>3.</w:t>
      </w:r>
      <w:r w:rsidRPr="008261BD">
        <w:rPr>
          <w:rFonts w:asciiTheme="majorBidi" w:hAnsiTheme="majorBidi" w:cstheme="majorBidi"/>
        </w:rPr>
        <w:tab/>
      </w:r>
      <w:r w:rsidRPr="008261BD">
        <w:rPr>
          <w:rFonts w:asciiTheme="majorBidi" w:hAnsiTheme="majorBidi" w:cstheme="majorBidi"/>
        </w:rPr>
        <w:tab/>
        <w:t>Removing hazardous constituents from plastic wastes</w:t>
      </w:r>
    </w:p>
    <w:p w14:paraId="66736838" w14:textId="77777777" w:rsidR="008261BD" w:rsidRPr="008261BD" w:rsidRDefault="008261BD" w:rsidP="008261BD">
      <w:pPr>
        <w:pStyle w:val="Normalpool"/>
        <w:tabs>
          <w:tab w:val="left" w:pos="624"/>
        </w:tabs>
        <w:spacing w:after="120"/>
        <w:ind w:left="1247" w:firstLine="624"/>
        <w:rPr>
          <w:rFonts w:asciiTheme="majorBidi" w:hAnsiTheme="majorBidi" w:cstheme="majorBidi"/>
          <w:lang w:val="en-GB"/>
        </w:rPr>
      </w:pPr>
      <w:r w:rsidRPr="008261BD">
        <w:rPr>
          <w:rFonts w:asciiTheme="majorBidi" w:hAnsiTheme="majorBidi" w:cstheme="majorBidi"/>
          <w:iCs/>
          <w:lang w:val="en-GB"/>
        </w:rPr>
        <w:t xml:space="preserve">(a) </w:t>
      </w:r>
      <w:r w:rsidRPr="008261BD">
        <w:rPr>
          <w:rFonts w:asciiTheme="majorBidi" w:hAnsiTheme="majorBidi" w:cstheme="majorBidi"/>
          <w:iCs/>
          <w:lang w:val="en-GB"/>
        </w:rPr>
        <w:tab/>
      </w:r>
      <w:r w:rsidRPr="008261BD">
        <w:rPr>
          <w:rFonts w:asciiTheme="majorBidi" w:hAnsiTheme="majorBidi" w:cstheme="majorBidi"/>
          <w:lang w:val="en-GB"/>
        </w:rPr>
        <w:t>Note that plastics may contain potentially hazardous substances, including additives such as plasticizers and flame retardants, or may be contaminated by hazardous substances, and as such may pose a risk to human health and marine ecosystems as marine plastic litter and microplastics;</w:t>
      </w:r>
    </w:p>
    <w:p w14:paraId="74721EE8" w14:textId="77777777" w:rsidR="008261BD" w:rsidRPr="008261BD" w:rsidRDefault="008261BD" w:rsidP="008261BD">
      <w:pPr>
        <w:pStyle w:val="Normalpool"/>
        <w:tabs>
          <w:tab w:val="left" w:pos="624"/>
        </w:tabs>
        <w:spacing w:after="120"/>
        <w:ind w:left="1247" w:firstLine="624"/>
        <w:rPr>
          <w:rFonts w:asciiTheme="majorBidi" w:hAnsiTheme="majorBidi" w:cstheme="majorBidi"/>
          <w:lang w:val="en-GB"/>
        </w:rPr>
      </w:pPr>
      <w:r w:rsidRPr="008261BD">
        <w:rPr>
          <w:rFonts w:asciiTheme="majorBidi" w:hAnsiTheme="majorBidi" w:cstheme="majorBidi"/>
          <w:lang w:val="en-GB"/>
        </w:rPr>
        <w:t>(b)</w:t>
      </w:r>
      <w:r w:rsidRPr="008261BD">
        <w:rPr>
          <w:rFonts w:asciiTheme="majorBidi" w:hAnsiTheme="majorBidi" w:cstheme="majorBidi"/>
          <w:lang w:val="en-GB"/>
        </w:rPr>
        <w:tab/>
        <w:t>Welcome the work of the Stockholm Convention on Persistent Organic Pollutants to eliminate or control the production or use of persistent organic pollutants that may reduce the risk associated with marine plastic litter and microplastics at the global level;</w:t>
      </w:r>
    </w:p>
    <w:p w14:paraId="5918A011" w14:textId="77777777" w:rsidR="008261BD" w:rsidRPr="008261BD" w:rsidRDefault="008261BD" w:rsidP="008261BD">
      <w:pPr>
        <w:pStyle w:val="Normalpool"/>
        <w:tabs>
          <w:tab w:val="left" w:pos="624"/>
        </w:tabs>
        <w:spacing w:after="120"/>
        <w:ind w:left="1247" w:firstLine="624"/>
        <w:rPr>
          <w:rFonts w:asciiTheme="majorBidi" w:hAnsiTheme="majorBidi" w:cstheme="majorBidi"/>
          <w:iCs/>
          <w:lang w:val="en-GB"/>
        </w:rPr>
      </w:pPr>
      <w:r w:rsidRPr="008261BD">
        <w:rPr>
          <w:rFonts w:asciiTheme="majorBidi" w:hAnsiTheme="majorBidi" w:cstheme="majorBidi"/>
          <w:lang w:val="en-GB"/>
        </w:rPr>
        <w:t>(c)</w:t>
      </w:r>
      <w:r w:rsidRPr="008261BD">
        <w:rPr>
          <w:rFonts w:asciiTheme="majorBidi" w:hAnsiTheme="majorBidi" w:cstheme="majorBidi"/>
          <w:lang w:val="en-GB"/>
        </w:rPr>
        <w:tab/>
        <w:t>Welcome the work</w:t>
      </w:r>
      <w:r w:rsidRPr="008261BD">
        <w:rPr>
          <w:rFonts w:asciiTheme="majorBidi" w:hAnsiTheme="majorBidi" w:cstheme="majorBidi"/>
          <w:iCs/>
          <w:lang w:val="en-GB"/>
        </w:rPr>
        <w:t xml:space="preserve"> of the Strategic Approach to International Chemicals Management, </w:t>
      </w:r>
      <w:proofErr w:type="gramStart"/>
      <w:r w:rsidRPr="008261BD">
        <w:rPr>
          <w:rFonts w:asciiTheme="majorBidi" w:hAnsiTheme="majorBidi" w:cstheme="majorBidi"/>
          <w:iCs/>
          <w:lang w:val="en-GB"/>
        </w:rPr>
        <w:t>in particular in</w:t>
      </w:r>
      <w:proofErr w:type="gramEnd"/>
      <w:r w:rsidRPr="008261BD">
        <w:rPr>
          <w:rFonts w:asciiTheme="majorBidi" w:hAnsiTheme="majorBidi" w:cstheme="majorBidi"/>
          <w:iCs/>
          <w:lang w:val="en-GB"/>
        </w:rPr>
        <w:t xml:space="preserve"> relation to nanomaterials and to chemicals in products that may reduce the risk associated with marine plastic litter and microplastics at the global level;</w:t>
      </w:r>
    </w:p>
    <w:p w14:paraId="20C19AB2" w14:textId="77777777" w:rsidR="008261BD" w:rsidRPr="008261BD" w:rsidRDefault="008261BD" w:rsidP="008261BD">
      <w:pPr>
        <w:pStyle w:val="CH3"/>
        <w:tabs>
          <w:tab w:val="left" w:pos="624"/>
        </w:tabs>
        <w:rPr>
          <w:rFonts w:asciiTheme="majorBidi" w:hAnsiTheme="majorBidi" w:cstheme="majorBidi"/>
        </w:rPr>
      </w:pPr>
      <w:r w:rsidRPr="008261BD">
        <w:rPr>
          <w:rFonts w:asciiTheme="majorBidi" w:hAnsiTheme="majorBidi" w:cstheme="majorBidi"/>
        </w:rPr>
        <w:tab/>
        <w:t>4.</w:t>
      </w:r>
      <w:r w:rsidRPr="008261BD">
        <w:rPr>
          <w:rFonts w:asciiTheme="majorBidi" w:hAnsiTheme="majorBidi" w:cstheme="majorBidi"/>
        </w:rPr>
        <w:tab/>
      </w:r>
      <w:r w:rsidRPr="008261BD">
        <w:rPr>
          <w:rFonts w:asciiTheme="majorBidi" w:hAnsiTheme="majorBidi" w:cstheme="majorBidi"/>
        </w:rPr>
        <w:tab/>
        <w:t>Scope of the Basel Convention: definition of wastes covered</w:t>
      </w:r>
    </w:p>
    <w:p w14:paraId="3E58756E" w14:textId="77777777" w:rsidR="008261BD" w:rsidRPr="008261BD" w:rsidRDefault="008261BD" w:rsidP="008261BD">
      <w:pPr>
        <w:pStyle w:val="Normalpool"/>
        <w:tabs>
          <w:tab w:val="left" w:pos="624"/>
        </w:tabs>
        <w:spacing w:after="120"/>
        <w:ind w:left="1247" w:firstLine="624"/>
        <w:rPr>
          <w:rFonts w:asciiTheme="majorBidi" w:hAnsiTheme="majorBidi" w:cstheme="majorBidi"/>
          <w:iCs/>
          <w:lang w:val="en-GB"/>
        </w:rPr>
      </w:pPr>
      <w:r w:rsidRPr="008261BD">
        <w:rPr>
          <w:rFonts w:asciiTheme="majorBidi" w:hAnsiTheme="majorBidi" w:cstheme="majorBidi"/>
          <w:iCs/>
          <w:lang w:val="en-GB"/>
        </w:rPr>
        <w:t xml:space="preserve">Consider </w:t>
      </w:r>
      <w:r w:rsidRPr="008261BD">
        <w:rPr>
          <w:rFonts w:asciiTheme="majorBidi" w:hAnsiTheme="majorBidi" w:cstheme="majorBidi"/>
          <w:lang w:val="en-GB"/>
        </w:rPr>
        <w:t>whether</w:t>
      </w:r>
      <w:r w:rsidRPr="008261BD">
        <w:rPr>
          <w:rFonts w:asciiTheme="majorBidi" w:hAnsiTheme="majorBidi" w:cstheme="majorBidi"/>
          <w:iCs/>
          <w:lang w:val="en-GB"/>
        </w:rPr>
        <w:t xml:space="preserve"> any additional constituents or characteristics should be added to Annex I or Annex III, respectively, to the Convention through the ongoing work by the expert working group on review of annexes;</w:t>
      </w:r>
    </w:p>
    <w:p w14:paraId="629DE3D6" w14:textId="77777777" w:rsidR="008261BD" w:rsidRPr="008261BD" w:rsidRDefault="008261BD" w:rsidP="008261BD">
      <w:pPr>
        <w:pStyle w:val="CH3"/>
        <w:tabs>
          <w:tab w:val="left" w:pos="624"/>
        </w:tabs>
        <w:rPr>
          <w:rFonts w:asciiTheme="majorBidi" w:hAnsiTheme="majorBidi" w:cstheme="majorBidi"/>
        </w:rPr>
      </w:pPr>
      <w:r w:rsidRPr="008261BD">
        <w:rPr>
          <w:rFonts w:asciiTheme="majorBidi" w:hAnsiTheme="majorBidi" w:cstheme="majorBidi"/>
        </w:rPr>
        <w:tab/>
        <w:t>5.</w:t>
      </w:r>
      <w:r w:rsidRPr="008261BD">
        <w:rPr>
          <w:rFonts w:asciiTheme="majorBidi" w:hAnsiTheme="majorBidi" w:cstheme="majorBidi"/>
        </w:rPr>
        <w:tab/>
      </w:r>
      <w:r w:rsidRPr="008261BD">
        <w:rPr>
          <w:rFonts w:asciiTheme="majorBidi" w:hAnsiTheme="majorBidi" w:cstheme="majorBidi"/>
        </w:rPr>
        <w:tab/>
        <w:t>Technical and policy guidance</w:t>
      </w:r>
    </w:p>
    <w:p w14:paraId="5E3A71A4" w14:textId="77777777" w:rsidR="008261BD" w:rsidRPr="008261BD" w:rsidRDefault="008261BD" w:rsidP="008261BD">
      <w:pPr>
        <w:pStyle w:val="Normalpool"/>
        <w:tabs>
          <w:tab w:val="left" w:pos="624"/>
        </w:tabs>
        <w:spacing w:after="120"/>
        <w:ind w:left="1247" w:firstLine="624"/>
        <w:rPr>
          <w:rFonts w:asciiTheme="majorBidi" w:hAnsiTheme="majorBidi" w:cstheme="majorBidi"/>
          <w:iCs/>
          <w:lang w:val="en-GB"/>
        </w:rPr>
      </w:pPr>
      <w:r w:rsidRPr="008261BD">
        <w:rPr>
          <w:rFonts w:asciiTheme="majorBidi" w:hAnsiTheme="majorBidi" w:cstheme="majorBidi"/>
          <w:iCs/>
          <w:lang w:val="en-GB"/>
        </w:rPr>
        <w:t xml:space="preserve">(a) </w:t>
      </w:r>
      <w:r w:rsidRPr="008261BD">
        <w:rPr>
          <w:rFonts w:asciiTheme="majorBidi" w:hAnsiTheme="majorBidi" w:cstheme="majorBidi"/>
          <w:iCs/>
          <w:lang w:val="en-GB"/>
        </w:rPr>
        <w:tab/>
        <w:t xml:space="preserve">Decide to update the technical guidelines for the identification and environmentally sound management of plastic </w:t>
      </w:r>
      <w:r w:rsidRPr="008261BD">
        <w:rPr>
          <w:rFonts w:asciiTheme="majorBidi" w:hAnsiTheme="majorBidi" w:cstheme="majorBidi"/>
          <w:lang w:val="en-GB"/>
        </w:rPr>
        <w:t>wastes</w:t>
      </w:r>
      <w:r w:rsidRPr="008261BD">
        <w:rPr>
          <w:rFonts w:asciiTheme="majorBidi" w:hAnsiTheme="majorBidi" w:cstheme="majorBidi"/>
          <w:iCs/>
          <w:lang w:val="en-GB"/>
        </w:rPr>
        <w:t xml:space="preserve"> and for their disposal adopted in 2002, inter alia to address the challenge of marine plastic litter and microplastics and establish a group for this purpose; invite Parties to indicate their interest in leading the group; and request the Secretariat to support the group;</w:t>
      </w:r>
    </w:p>
    <w:p w14:paraId="032685CF" w14:textId="77777777" w:rsidR="008261BD" w:rsidRPr="008261BD" w:rsidRDefault="008261BD" w:rsidP="008261BD">
      <w:pPr>
        <w:pStyle w:val="Normalpool"/>
        <w:tabs>
          <w:tab w:val="left" w:pos="624"/>
        </w:tabs>
        <w:spacing w:after="120"/>
        <w:ind w:left="1247" w:firstLine="624"/>
        <w:rPr>
          <w:rFonts w:asciiTheme="majorBidi" w:hAnsiTheme="majorBidi" w:cstheme="majorBidi"/>
          <w:iCs/>
          <w:lang w:val="en-GB"/>
        </w:rPr>
      </w:pPr>
      <w:r w:rsidRPr="008261BD">
        <w:rPr>
          <w:rFonts w:asciiTheme="majorBidi" w:hAnsiTheme="majorBidi" w:cstheme="majorBidi"/>
          <w:iCs/>
          <w:lang w:val="en-GB"/>
        </w:rPr>
        <w:t xml:space="preserve">(b) </w:t>
      </w:r>
      <w:r w:rsidRPr="008261BD">
        <w:rPr>
          <w:rFonts w:asciiTheme="majorBidi" w:hAnsiTheme="majorBidi" w:cstheme="majorBidi"/>
          <w:iCs/>
          <w:lang w:val="en-GB"/>
        </w:rPr>
        <w:tab/>
        <w:t xml:space="preserve">Invite </w:t>
      </w:r>
      <w:r w:rsidRPr="008261BD">
        <w:rPr>
          <w:rFonts w:asciiTheme="majorBidi" w:hAnsiTheme="majorBidi" w:cstheme="majorBidi"/>
          <w:lang w:val="en-GB"/>
        </w:rPr>
        <w:t>Parties</w:t>
      </w:r>
      <w:r w:rsidRPr="008261BD">
        <w:rPr>
          <w:rFonts w:asciiTheme="majorBidi" w:hAnsiTheme="majorBidi" w:cstheme="majorBidi"/>
          <w:iCs/>
          <w:lang w:val="en-GB"/>
        </w:rPr>
        <w:t xml:space="preserve"> to provide information on their experiences in using the technical guidelines on plastic wastes;</w:t>
      </w:r>
    </w:p>
    <w:p w14:paraId="77E818E2" w14:textId="77777777" w:rsidR="008261BD" w:rsidRPr="008261BD" w:rsidRDefault="008261BD" w:rsidP="008261BD">
      <w:pPr>
        <w:pStyle w:val="CH3"/>
        <w:tabs>
          <w:tab w:val="left" w:pos="624"/>
        </w:tabs>
        <w:rPr>
          <w:rFonts w:asciiTheme="majorBidi" w:hAnsiTheme="majorBidi" w:cstheme="majorBidi"/>
        </w:rPr>
      </w:pPr>
      <w:r w:rsidRPr="008261BD">
        <w:rPr>
          <w:rFonts w:asciiTheme="majorBidi" w:hAnsiTheme="majorBidi" w:cstheme="majorBidi"/>
        </w:rPr>
        <w:lastRenderedPageBreak/>
        <w:tab/>
        <w:t>6.</w:t>
      </w:r>
      <w:r w:rsidRPr="008261BD">
        <w:rPr>
          <w:rFonts w:asciiTheme="majorBidi" w:hAnsiTheme="majorBidi" w:cstheme="majorBidi"/>
        </w:rPr>
        <w:tab/>
      </w:r>
      <w:r w:rsidRPr="008261BD">
        <w:rPr>
          <w:rFonts w:asciiTheme="majorBidi" w:hAnsiTheme="majorBidi" w:cstheme="majorBidi"/>
        </w:rPr>
        <w:tab/>
        <w:t>Household Waste Partnership</w:t>
      </w:r>
    </w:p>
    <w:p w14:paraId="1E0F8945" w14:textId="77777777" w:rsidR="008261BD" w:rsidRPr="008261BD" w:rsidRDefault="008261BD" w:rsidP="008261BD">
      <w:pPr>
        <w:pStyle w:val="Normalpool"/>
        <w:tabs>
          <w:tab w:val="left" w:pos="624"/>
        </w:tabs>
        <w:spacing w:after="120"/>
        <w:ind w:left="1247" w:firstLine="624"/>
        <w:rPr>
          <w:rFonts w:asciiTheme="majorBidi" w:hAnsiTheme="majorBidi" w:cstheme="majorBidi"/>
          <w:iCs/>
          <w:lang w:val="en-GB"/>
        </w:rPr>
      </w:pPr>
      <w:r w:rsidRPr="008261BD">
        <w:rPr>
          <w:rFonts w:asciiTheme="majorBidi" w:hAnsiTheme="majorBidi" w:cstheme="majorBidi"/>
          <w:iCs/>
          <w:lang w:val="en-GB"/>
        </w:rPr>
        <w:t xml:space="preserve">Request the </w:t>
      </w:r>
      <w:r w:rsidRPr="008261BD">
        <w:rPr>
          <w:rFonts w:asciiTheme="majorBidi" w:hAnsiTheme="majorBidi" w:cstheme="majorBidi"/>
          <w:lang w:val="en-GB"/>
        </w:rPr>
        <w:t>Household</w:t>
      </w:r>
      <w:r w:rsidRPr="008261BD">
        <w:rPr>
          <w:rFonts w:asciiTheme="majorBidi" w:hAnsiTheme="majorBidi" w:cstheme="majorBidi"/>
          <w:iCs/>
          <w:lang w:val="en-GB"/>
        </w:rPr>
        <w:t xml:space="preserve"> Waste Partnership to coordinate closely with the new partnership on plastic wastes to be established;</w:t>
      </w:r>
    </w:p>
    <w:p w14:paraId="5511ED83" w14:textId="77777777" w:rsidR="008261BD" w:rsidRPr="008261BD" w:rsidRDefault="008261BD" w:rsidP="008261BD">
      <w:pPr>
        <w:pStyle w:val="CH3"/>
        <w:tabs>
          <w:tab w:val="left" w:pos="624"/>
        </w:tabs>
        <w:rPr>
          <w:rFonts w:asciiTheme="majorBidi" w:hAnsiTheme="majorBidi" w:cstheme="majorBidi"/>
        </w:rPr>
      </w:pPr>
      <w:r w:rsidRPr="008261BD">
        <w:rPr>
          <w:rFonts w:asciiTheme="majorBidi" w:hAnsiTheme="majorBidi" w:cstheme="majorBidi"/>
        </w:rPr>
        <w:tab/>
        <w:t>7.</w:t>
      </w:r>
      <w:r w:rsidRPr="008261BD">
        <w:rPr>
          <w:rFonts w:asciiTheme="majorBidi" w:hAnsiTheme="majorBidi" w:cstheme="majorBidi"/>
        </w:rPr>
        <w:tab/>
      </w:r>
      <w:r w:rsidRPr="008261BD">
        <w:rPr>
          <w:rFonts w:asciiTheme="majorBidi" w:hAnsiTheme="majorBidi" w:cstheme="majorBidi"/>
        </w:rPr>
        <w:tab/>
        <w:t>Capacity-building, regional centres and the clearing house mechanism</w:t>
      </w:r>
      <w:r w:rsidRPr="008261BD">
        <w:rPr>
          <w:rStyle w:val="FootnoteReference"/>
          <w:rFonts w:asciiTheme="majorBidi" w:hAnsiTheme="majorBidi" w:cstheme="majorBidi"/>
        </w:rPr>
        <w:footnoteReference w:id="48"/>
      </w:r>
    </w:p>
    <w:p w14:paraId="2BD1A570" w14:textId="77777777" w:rsidR="008261BD" w:rsidRPr="008261BD" w:rsidRDefault="008261BD" w:rsidP="008261BD">
      <w:pPr>
        <w:pStyle w:val="Normalpool"/>
        <w:tabs>
          <w:tab w:val="left" w:pos="624"/>
        </w:tabs>
        <w:spacing w:after="120"/>
        <w:ind w:left="1247" w:firstLine="624"/>
        <w:rPr>
          <w:rFonts w:asciiTheme="majorBidi" w:hAnsiTheme="majorBidi" w:cstheme="majorBidi"/>
          <w:iCs/>
          <w:lang w:val="en-GB"/>
        </w:rPr>
      </w:pPr>
      <w:r w:rsidRPr="008261BD">
        <w:rPr>
          <w:rFonts w:asciiTheme="majorBidi" w:hAnsiTheme="majorBidi" w:cstheme="majorBidi"/>
          <w:iCs/>
          <w:lang w:val="en-GB"/>
        </w:rPr>
        <w:t xml:space="preserve">(a) </w:t>
      </w:r>
      <w:r w:rsidRPr="008261BD">
        <w:rPr>
          <w:rFonts w:asciiTheme="majorBidi" w:hAnsiTheme="majorBidi" w:cstheme="majorBidi"/>
          <w:iCs/>
          <w:lang w:val="en-GB"/>
        </w:rPr>
        <w:tab/>
        <w:t>Note that the technical assistance plan for the implementation of the Basel Convention, the Rotterdam Convention on the Prior Informed Consent Procedure for Certain Hazardous Chemicals and Pesticides in International Trade and the Stockholm Convention on Persistent Organic Pollutants provides opportunities for capacity</w:t>
      </w:r>
      <w:r w:rsidRPr="008261BD">
        <w:rPr>
          <w:rFonts w:asciiTheme="majorBidi" w:hAnsiTheme="majorBidi" w:cstheme="majorBidi"/>
          <w:iCs/>
          <w:lang w:val="en-GB"/>
        </w:rPr>
        <w:noBreakHyphen/>
        <w:t xml:space="preserve">building by Parties; </w:t>
      </w:r>
    </w:p>
    <w:p w14:paraId="24C49447" w14:textId="77777777" w:rsidR="008261BD" w:rsidRPr="008261BD" w:rsidRDefault="008261BD" w:rsidP="008261BD">
      <w:pPr>
        <w:pStyle w:val="Normalpool"/>
        <w:tabs>
          <w:tab w:val="left" w:pos="624"/>
        </w:tabs>
        <w:spacing w:after="120"/>
        <w:ind w:left="1247" w:firstLine="624"/>
        <w:rPr>
          <w:rFonts w:asciiTheme="majorBidi" w:hAnsiTheme="majorBidi" w:cstheme="majorBidi"/>
          <w:iCs/>
          <w:lang w:val="en-GB"/>
        </w:rPr>
      </w:pPr>
      <w:r w:rsidRPr="008261BD">
        <w:rPr>
          <w:rFonts w:asciiTheme="majorBidi" w:hAnsiTheme="majorBidi" w:cstheme="majorBidi"/>
          <w:iCs/>
          <w:lang w:val="en-GB"/>
        </w:rPr>
        <w:t xml:space="preserve">(b) </w:t>
      </w:r>
      <w:r w:rsidRPr="008261BD">
        <w:rPr>
          <w:rFonts w:asciiTheme="majorBidi" w:hAnsiTheme="majorBidi" w:cstheme="majorBidi"/>
          <w:iCs/>
          <w:lang w:val="en-GB"/>
        </w:rPr>
        <w:tab/>
        <w:t xml:space="preserve">Welcome the extensive work that the regional centres of the Basel and Stockholm conventions have already done, and </w:t>
      </w:r>
      <w:r w:rsidRPr="008261BD">
        <w:rPr>
          <w:rFonts w:asciiTheme="majorBidi" w:hAnsiTheme="majorBidi" w:cstheme="majorBidi"/>
          <w:lang w:val="en-GB"/>
        </w:rPr>
        <w:t>invite</w:t>
      </w:r>
      <w:r w:rsidRPr="008261BD">
        <w:rPr>
          <w:rFonts w:asciiTheme="majorBidi" w:hAnsiTheme="majorBidi" w:cstheme="majorBidi"/>
          <w:iCs/>
          <w:lang w:val="en-GB"/>
        </w:rPr>
        <w:t xml:space="preserve"> them to continue their activities;</w:t>
      </w:r>
      <w:r w:rsidRPr="008261BD">
        <w:rPr>
          <w:rStyle w:val="FootnoteReference"/>
          <w:rFonts w:asciiTheme="majorBidi" w:hAnsiTheme="majorBidi" w:cstheme="majorBidi"/>
          <w:iCs/>
          <w:lang w:val="en-GB"/>
        </w:rPr>
        <w:footnoteReference w:id="49"/>
      </w:r>
    </w:p>
    <w:p w14:paraId="2479326C" w14:textId="628B9636" w:rsidR="008261BD" w:rsidRPr="008261BD" w:rsidRDefault="008261BD" w:rsidP="008261BD">
      <w:pPr>
        <w:pStyle w:val="Normalpool"/>
        <w:tabs>
          <w:tab w:val="left" w:pos="624"/>
        </w:tabs>
        <w:spacing w:after="120"/>
        <w:ind w:left="1247" w:firstLine="624"/>
        <w:rPr>
          <w:rFonts w:asciiTheme="majorBidi" w:hAnsiTheme="majorBidi" w:cstheme="majorBidi"/>
          <w:iCs/>
          <w:lang w:val="en-GB"/>
        </w:rPr>
      </w:pPr>
      <w:r w:rsidRPr="008261BD">
        <w:rPr>
          <w:rFonts w:asciiTheme="majorBidi" w:hAnsiTheme="majorBidi" w:cstheme="majorBidi"/>
          <w:iCs/>
          <w:lang w:val="en-GB"/>
        </w:rPr>
        <w:t>(</w:t>
      </w:r>
      <w:r w:rsidR="007E0F69">
        <w:rPr>
          <w:rFonts w:asciiTheme="majorBidi" w:hAnsiTheme="majorBidi" w:cstheme="majorBidi"/>
          <w:iCs/>
          <w:lang w:val="en-GB"/>
        </w:rPr>
        <w:t>c</w:t>
      </w:r>
      <w:r w:rsidRPr="008261BD">
        <w:rPr>
          <w:rFonts w:asciiTheme="majorBidi" w:hAnsiTheme="majorBidi" w:cstheme="majorBidi"/>
          <w:iCs/>
          <w:lang w:val="en-GB"/>
        </w:rPr>
        <w:t xml:space="preserve">) </w:t>
      </w:r>
      <w:r w:rsidRPr="008261BD">
        <w:rPr>
          <w:rFonts w:asciiTheme="majorBidi" w:hAnsiTheme="majorBidi" w:cstheme="majorBidi"/>
          <w:iCs/>
          <w:lang w:val="en-GB"/>
        </w:rPr>
        <w:tab/>
        <w:t xml:space="preserve">Request the Secretariat to utilize the clearing house mechanism to gather information about regional and national initiatives, including those on marine plastic litter and microplastics, </w:t>
      </w:r>
      <w:proofErr w:type="gramStart"/>
      <w:r w:rsidRPr="008261BD">
        <w:rPr>
          <w:rFonts w:asciiTheme="majorBidi" w:hAnsiTheme="majorBidi" w:cstheme="majorBidi"/>
          <w:iCs/>
          <w:lang w:val="en-GB"/>
        </w:rPr>
        <w:t>taking into account</w:t>
      </w:r>
      <w:proofErr w:type="gramEnd"/>
      <w:r w:rsidRPr="008261BD">
        <w:rPr>
          <w:rFonts w:asciiTheme="majorBidi" w:hAnsiTheme="majorBidi" w:cstheme="majorBidi"/>
          <w:iCs/>
          <w:lang w:val="en-GB"/>
        </w:rPr>
        <w:t xml:space="preserve"> and in cooperation with other initiatives, and to make such information readily available;</w:t>
      </w:r>
    </w:p>
    <w:p w14:paraId="58902FC6" w14:textId="77777777" w:rsidR="008261BD" w:rsidRPr="008261BD" w:rsidRDefault="008261BD" w:rsidP="008261BD">
      <w:pPr>
        <w:pStyle w:val="CH3"/>
        <w:tabs>
          <w:tab w:val="left" w:pos="624"/>
        </w:tabs>
        <w:rPr>
          <w:rFonts w:asciiTheme="majorBidi" w:hAnsiTheme="majorBidi" w:cstheme="majorBidi"/>
        </w:rPr>
      </w:pPr>
      <w:r w:rsidRPr="008261BD">
        <w:rPr>
          <w:rFonts w:asciiTheme="majorBidi" w:hAnsiTheme="majorBidi" w:cstheme="majorBidi"/>
        </w:rPr>
        <w:tab/>
        <w:t>8.</w:t>
      </w:r>
      <w:r w:rsidRPr="008261BD">
        <w:rPr>
          <w:rFonts w:asciiTheme="majorBidi" w:hAnsiTheme="majorBidi" w:cstheme="majorBidi"/>
        </w:rPr>
        <w:tab/>
      </w:r>
      <w:r w:rsidRPr="008261BD">
        <w:rPr>
          <w:rFonts w:asciiTheme="majorBidi" w:hAnsiTheme="majorBidi" w:cstheme="majorBidi"/>
        </w:rPr>
        <w:tab/>
        <w:t>Financial support</w:t>
      </w:r>
      <w:r w:rsidRPr="008261BD">
        <w:rPr>
          <w:rStyle w:val="FootnoteReference"/>
          <w:rFonts w:asciiTheme="majorBidi" w:hAnsiTheme="majorBidi" w:cstheme="majorBidi"/>
        </w:rPr>
        <w:footnoteReference w:id="50"/>
      </w:r>
    </w:p>
    <w:p w14:paraId="2E85B744" w14:textId="77777777" w:rsidR="008261BD" w:rsidRPr="008261BD" w:rsidRDefault="008261BD" w:rsidP="008261BD">
      <w:pPr>
        <w:pStyle w:val="Normalpool"/>
        <w:tabs>
          <w:tab w:val="left" w:pos="624"/>
        </w:tabs>
        <w:spacing w:after="120"/>
        <w:ind w:left="1247" w:firstLine="624"/>
        <w:rPr>
          <w:rFonts w:asciiTheme="majorBidi" w:hAnsiTheme="majorBidi" w:cstheme="majorBidi"/>
          <w:iCs/>
          <w:lang w:val="en-GB"/>
        </w:rPr>
      </w:pPr>
      <w:r w:rsidRPr="008261BD">
        <w:rPr>
          <w:rFonts w:asciiTheme="majorBidi" w:hAnsiTheme="majorBidi" w:cstheme="majorBidi"/>
          <w:iCs/>
          <w:lang w:val="en-GB"/>
        </w:rPr>
        <w:t xml:space="preserve">(a) </w:t>
      </w:r>
      <w:r w:rsidRPr="008261BD">
        <w:rPr>
          <w:rFonts w:asciiTheme="majorBidi" w:hAnsiTheme="majorBidi" w:cstheme="majorBidi"/>
          <w:iCs/>
          <w:lang w:val="en-GB"/>
        </w:rPr>
        <w:tab/>
        <w:t>Welcome the voluntary contributions by Governments and the support that the Global Environment Facility and the United Nations Environment Programme special programme on institutional strengthening</w:t>
      </w:r>
      <w:r w:rsidRPr="008261BD">
        <w:rPr>
          <w:rStyle w:val="FootnoteReference"/>
          <w:rFonts w:asciiTheme="majorBidi" w:hAnsiTheme="majorBidi" w:cstheme="majorBidi"/>
          <w:iCs/>
          <w:lang w:val="en-GB"/>
        </w:rPr>
        <w:footnoteReference w:id="51"/>
      </w:r>
      <w:r w:rsidRPr="008261BD">
        <w:rPr>
          <w:rFonts w:asciiTheme="majorBidi" w:hAnsiTheme="majorBidi" w:cstheme="majorBidi"/>
          <w:iCs/>
          <w:lang w:val="en-GB"/>
        </w:rPr>
        <w:t xml:space="preserve"> have provided; </w:t>
      </w:r>
    </w:p>
    <w:p w14:paraId="5AD47A9A" w14:textId="77777777" w:rsidR="008261BD" w:rsidRPr="008261BD" w:rsidRDefault="008261BD" w:rsidP="008261BD">
      <w:pPr>
        <w:pStyle w:val="Normalpool"/>
        <w:tabs>
          <w:tab w:val="left" w:pos="624"/>
        </w:tabs>
        <w:spacing w:after="120"/>
        <w:ind w:left="1247" w:firstLine="624"/>
        <w:rPr>
          <w:rFonts w:asciiTheme="majorBidi" w:hAnsiTheme="majorBidi" w:cstheme="majorBidi"/>
          <w:iCs/>
          <w:lang w:val="en-GB"/>
        </w:rPr>
      </w:pPr>
      <w:r w:rsidRPr="008261BD">
        <w:rPr>
          <w:rFonts w:asciiTheme="majorBidi" w:hAnsiTheme="majorBidi" w:cstheme="majorBidi"/>
          <w:iCs/>
          <w:lang w:val="en-GB"/>
        </w:rPr>
        <w:t xml:space="preserve">(b) </w:t>
      </w:r>
      <w:r w:rsidRPr="008261BD">
        <w:rPr>
          <w:rFonts w:asciiTheme="majorBidi" w:hAnsiTheme="majorBidi" w:cstheme="majorBidi"/>
          <w:iCs/>
          <w:lang w:val="en-GB"/>
        </w:rPr>
        <w:tab/>
        <w:t xml:space="preserve">Encourage them, according to their mandates and the priorities that have been established, to continue to support </w:t>
      </w:r>
      <w:proofErr w:type="gramStart"/>
      <w:r w:rsidRPr="008261BD">
        <w:rPr>
          <w:rFonts w:asciiTheme="majorBidi" w:hAnsiTheme="majorBidi" w:cstheme="majorBidi"/>
          <w:iCs/>
          <w:lang w:val="en-GB"/>
        </w:rPr>
        <w:t>in particular projects</w:t>
      </w:r>
      <w:proofErr w:type="gramEnd"/>
      <w:r w:rsidRPr="008261BD">
        <w:rPr>
          <w:rFonts w:asciiTheme="majorBidi" w:hAnsiTheme="majorBidi" w:cstheme="majorBidi"/>
          <w:iCs/>
          <w:lang w:val="en-GB"/>
        </w:rPr>
        <w:t xml:space="preserve"> that will help to address the problem of plastic wastes, including marine plastic litter and </w:t>
      </w:r>
      <w:r w:rsidRPr="008261BD">
        <w:rPr>
          <w:rFonts w:asciiTheme="majorBidi" w:hAnsiTheme="majorBidi" w:cstheme="majorBidi"/>
          <w:lang w:val="en-GB"/>
        </w:rPr>
        <w:t>microplastics</w:t>
      </w:r>
      <w:r w:rsidRPr="008261BD">
        <w:rPr>
          <w:rFonts w:asciiTheme="majorBidi" w:hAnsiTheme="majorBidi" w:cstheme="majorBidi"/>
          <w:iCs/>
          <w:lang w:val="en-GB"/>
        </w:rPr>
        <w:t xml:space="preserve">; </w:t>
      </w:r>
    </w:p>
    <w:p w14:paraId="24704A0D" w14:textId="77777777" w:rsidR="008261BD" w:rsidRPr="008261BD" w:rsidRDefault="008261BD" w:rsidP="008261BD">
      <w:pPr>
        <w:pStyle w:val="Normalpool"/>
        <w:tabs>
          <w:tab w:val="left" w:pos="624"/>
        </w:tabs>
        <w:spacing w:after="120"/>
        <w:ind w:left="1247" w:firstLine="624"/>
        <w:rPr>
          <w:rFonts w:asciiTheme="majorBidi" w:hAnsiTheme="majorBidi" w:cstheme="majorBidi"/>
          <w:iCs/>
          <w:lang w:val="en-GB"/>
        </w:rPr>
      </w:pPr>
      <w:r w:rsidRPr="008261BD">
        <w:rPr>
          <w:rFonts w:asciiTheme="majorBidi" w:hAnsiTheme="majorBidi" w:cstheme="majorBidi"/>
          <w:iCs/>
          <w:lang w:val="en-GB"/>
        </w:rPr>
        <w:t xml:space="preserve">(c) </w:t>
      </w:r>
      <w:r w:rsidRPr="008261BD">
        <w:rPr>
          <w:rFonts w:asciiTheme="majorBidi" w:hAnsiTheme="majorBidi" w:cstheme="majorBidi"/>
          <w:iCs/>
          <w:lang w:val="en-GB"/>
        </w:rPr>
        <w:tab/>
      </w:r>
      <w:r w:rsidRPr="008261BD">
        <w:rPr>
          <w:rFonts w:asciiTheme="majorBidi" w:hAnsiTheme="majorBidi" w:cstheme="majorBidi"/>
          <w:lang w:val="en-GB"/>
        </w:rPr>
        <w:t>Encourage</w:t>
      </w:r>
      <w:r w:rsidRPr="008261BD">
        <w:rPr>
          <w:rFonts w:asciiTheme="majorBidi" w:hAnsiTheme="majorBidi" w:cstheme="majorBidi"/>
          <w:iCs/>
          <w:lang w:val="en-GB"/>
        </w:rPr>
        <w:t xml:space="preserve"> further voluntary contributions to support work on those issues;</w:t>
      </w:r>
    </w:p>
    <w:p w14:paraId="02D5A1FA" w14:textId="77777777" w:rsidR="008261BD" w:rsidRPr="008261BD" w:rsidRDefault="008261BD" w:rsidP="008261BD">
      <w:pPr>
        <w:pStyle w:val="CH3"/>
        <w:tabs>
          <w:tab w:val="left" w:pos="624"/>
        </w:tabs>
        <w:rPr>
          <w:rFonts w:asciiTheme="majorBidi" w:hAnsiTheme="majorBidi" w:cstheme="majorBidi"/>
        </w:rPr>
      </w:pPr>
      <w:r w:rsidRPr="008261BD">
        <w:rPr>
          <w:rFonts w:asciiTheme="majorBidi" w:hAnsiTheme="majorBidi" w:cstheme="majorBidi"/>
        </w:rPr>
        <w:tab/>
        <w:t>9.</w:t>
      </w:r>
      <w:r w:rsidRPr="008261BD">
        <w:rPr>
          <w:rFonts w:asciiTheme="majorBidi" w:hAnsiTheme="majorBidi" w:cstheme="majorBidi"/>
        </w:rPr>
        <w:tab/>
      </w:r>
      <w:r w:rsidRPr="008261BD">
        <w:rPr>
          <w:rFonts w:asciiTheme="majorBidi" w:hAnsiTheme="majorBidi" w:cstheme="majorBidi"/>
        </w:rPr>
        <w:tab/>
        <w:t>Cooperation with other international organizations and initiatives</w:t>
      </w:r>
      <w:r w:rsidRPr="008261BD">
        <w:rPr>
          <w:rStyle w:val="FootnoteReference"/>
          <w:rFonts w:asciiTheme="majorBidi" w:hAnsiTheme="majorBidi" w:cstheme="majorBidi"/>
        </w:rPr>
        <w:footnoteReference w:id="52"/>
      </w:r>
    </w:p>
    <w:p w14:paraId="58B3B1B6" w14:textId="77777777" w:rsidR="008261BD" w:rsidRPr="008261BD" w:rsidRDefault="008261BD" w:rsidP="008261BD">
      <w:pPr>
        <w:pStyle w:val="Normalpool"/>
        <w:tabs>
          <w:tab w:val="left" w:pos="624"/>
        </w:tabs>
        <w:spacing w:after="120"/>
        <w:ind w:left="1247" w:firstLine="624"/>
        <w:rPr>
          <w:rFonts w:asciiTheme="majorBidi" w:hAnsiTheme="majorBidi" w:cstheme="majorBidi"/>
          <w:iCs/>
          <w:lang w:val="en-GB"/>
        </w:rPr>
      </w:pPr>
      <w:r w:rsidRPr="008261BD">
        <w:rPr>
          <w:rFonts w:asciiTheme="majorBidi" w:hAnsiTheme="majorBidi" w:cstheme="majorBidi"/>
          <w:iCs/>
          <w:lang w:val="en-GB"/>
        </w:rPr>
        <w:t>Welcome the engagement of the Secretariat with other international organizations and encourage the Secretariat to continue to work closely with such organizations;</w:t>
      </w:r>
    </w:p>
    <w:p w14:paraId="00B56E50" w14:textId="77777777" w:rsidR="008261BD" w:rsidRPr="008261BD" w:rsidRDefault="008261BD" w:rsidP="008261BD">
      <w:pPr>
        <w:pStyle w:val="CH3"/>
        <w:tabs>
          <w:tab w:val="left" w:pos="624"/>
        </w:tabs>
        <w:rPr>
          <w:rFonts w:asciiTheme="majorBidi" w:hAnsiTheme="majorBidi" w:cstheme="majorBidi"/>
        </w:rPr>
      </w:pPr>
      <w:r w:rsidRPr="008261BD">
        <w:rPr>
          <w:rFonts w:asciiTheme="majorBidi" w:hAnsiTheme="majorBidi" w:cstheme="majorBidi"/>
        </w:rPr>
        <w:tab/>
        <w:t>10.</w:t>
      </w:r>
      <w:r w:rsidRPr="008261BD">
        <w:rPr>
          <w:rFonts w:asciiTheme="majorBidi" w:hAnsiTheme="majorBidi" w:cstheme="majorBidi"/>
        </w:rPr>
        <w:tab/>
        <w:t>Public awareness, education and information exchange</w:t>
      </w:r>
    </w:p>
    <w:p w14:paraId="4B55995A" w14:textId="77777777" w:rsidR="008261BD" w:rsidRPr="008261BD" w:rsidRDefault="008261BD" w:rsidP="008261BD">
      <w:pPr>
        <w:pStyle w:val="Normalpool"/>
        <w:tabs>
          <w:tab w:val="left" w:pos="624"/>
        </w:tabs>
        <w:spacing w:after="120"/>
        <w:ind w:left="1247" w:firstLine="624"/>
        <w:rPr>
          <w:rFonts w:asciiTheme="majorBidi" w:hAnsiTheme="majorBidi" w:cstheme="majorBidi"/>
          <w:iCs/>
          <w:lang w:val="en-GB"/>
        </w:rPr>
      </w:pPr>
      <w:r w:rsidRPr="008261BD">
        <w:rPr>
          <w:rFonts w:asciiTheme="majorBidi" w:hAnsiTheme="majorBidi" w:cstheme="majorBidi"/>
          <w:iCs/>
          <w:lang w:val="en-GB"/>
        </w:rPr>
        <w:t xml:space="preserve">Consider how the Parties to the Convention can most effectively make relevant technical, social and economic information and expertise available by building on existing work, </w:t>
      </w:r>
      <w:proofErr w:type="gramStart"/>
      <w:r w:rsidRPr="008261BD">
        <w:rPr>
          <w:rFonts w:asciiTheme="majorBidi" w:hAnsiTheme="majorBidi" w:cstheme="majorBidi"/>
          <w:iCs/>
          <w:lang w:val="en-GB"/>
        </w:rPr>
        <w:t>taking into account</w:t>
      </w:r>
      <w:proofErr w:type="gramEnd"/>
      <w:r w:rsidRPr="008261BD">
        <w:rPr>
          <w:rFonts w:asciiTheme="majorBidi" w:hAnsiTheme="majorBidi" w:cstheme="majorBidi"/>
          <w:iCs/>
          <w:lang w:val="en-GB"/>
        </w:rPr>
        <w:t xml:space="preserve"> the scope of the new partnership on plastic wastes, and the </w:t>
      </w:r>
      <w:r w:rsidRPr="008261BD">
        <w:rPr>
          <w:rFonts w:asciiTheme="majorBidi" w:hAnsiTheme="majorBidi" w:cstheme="majorBidi"/>
          <w:lang w:val="en-GB"/>
        </w:rPr>
        <w:t>work</w:t>
      </w:r>
      <w:r w:rsidRPr="008261BD">
        <w:rPr>
          <w:rFonts w:asciiTheme="majorBidi" w:hAnsiTheme="majorBidi" w:cstheme="majorBidi"/>
          <w:iCs/>
          <w:lang w:val="en-GB"/>
        </w:rPr>
        <w:t xml:space="preserve"> of the United Nations Environment Programme and other agencies in order to achieve maximum impact and avoid duplication;</w:t>
      </w:r>
    </w:p>
    <w:p w14:paraId="2DE8E492" w14:textId="77777777" w:rsidR="008261BD" w:rsidRPr="008261BD" w:rsidRDefault="008261BD" w:rsidP="008261BD">
      <w:pPr>
        <w:pStyle w:val="CH3"/>
        <w:tabs>
          <w:tab w:val="left" w:pos="624"/>
        </w:tabs>
        <w:rPr>
          <w:rFonts w:asciiTheme="majorBidi" w:hAnsiTheme="majorBidi" w:cstheme="majorBidi"/>
        </w:rPr>
      </w:pPr>
      <w:r w:rsidRPr="008261BD">
        <w:rPr>
          <w:rFonts w:asciiTheme="majorBidi" w:hAnsiTheme="majorBidi" w:cstheme="majorBidi"/>
        </w:rPr>
        <w:tab/>
        <w:t>11.</w:t>
      </w:r>
      <w:r w:rsidRPr="008261BD">
        <w:rPr>
          <w:rFonts w:asciiTheme="majorBidi" w:hAnsiTheme="majorBidi" w:cstheme="majorBidi"/>
        </w:rPr>
        <w:tab/>
        <w:t>Data collection and progress assessment</w:t>
      </w:r>
    </w:p>
    <w:p w14:paraId="5A956FEE" w14:textId="77777777" w:rsidR="008261BD" w:rsidRPr="008261BD" w:rsidRDefault="008261BD" w:rsidP="008261BD">
      <w:pPr>
        <w:pStyle w:val="Normalpool"/>
        <w:tabs>
          <w:tab w:val="left" w:pos="624"/>
        </w:tabs>
        <w:spacing w:after="120"/>
        <w:ind w:left="1247" w:firstLine="624"/>
        <w:rPr>
          <w:rFonts w:asciiTheme="majorBidi" w:hAnsiTheme="majorBidi" w:cstheme="majorBidi"/>
          <w:bCs/>
          <w:iCs/>
          <w:lang w:val="en-GB"/>
        </w:rPr>
      </w:pPr>
      <w:r w:rsidRPr="008261BD">
        <w:rPr>
          <w:rFonts w:asciiTheme="majorBidi" w:hAnsiTheme="majorBidi" w:cstheme="majorBidi"/>
          <w:bCs/>
          <w:iCs/>
          <w:lang w:val="en-GB"/>
        </w:rPr>
        <w:t xml:space="preserve">(a) </w:t>
      </w:r>
      <w:r w:rsidRPr="008261BD">
        <w:rPr>
          <w:rFonts w:asciiTheme="majorBidi" w:hAnsiTheme="majorBidi" w:cstheme="majorBidi"/>
          <w:bCs/>
          <w:iCs/>
          <w:lang w:val="en-GB"/>
        </w:rPr>
        <w:tab/>
        <w:t xml:space="preserve">Consider what data should be gathered, and by whom, related to the generation, disposal of, and transboundary movement of </w:t>
      </w:r>
      <w:r w:rsidRPr="008261BD">
        <w:rPr>
          <w:rFonts w:asciiTheme="majorBidi" w:hAnsiTheme="majorBidi" w:cstheme="majorBidi"/>
          <w:lang w:val="en-GB"/>
        </w:rPr>
        <w:t>plastic</w:t>
      </w:r>
      <w:r w:rsidRPr="008261BD">
        <w:rPr>
          <w:rFonts w:asciiTheme="majorBidi" w:hAnsiTheme="majorBidi" w:cstheme="majorBidi"/>
          <w:bCs/>
          <w:iCs/>
          <w:lang w:val="en-GB"/>
        </w:rPr>
        <w:t xml:space="preserve"> wastes in different waste streams; the environmental, economic and social impact of plastic wastes; and national policies and progress towards the environmentally sound management of plastic wastes; </w:t>
      </w:r>
    </w:p>
    <w:p w14:paraId="31F3F4D3" w14:textId="77777777" w:rsidR="008261BD" w:rsidRPr="008261BD" w:rsidRDefault="008261BD" w:rsidP="008261BD">
      <w:pPr>
        <w:pStyle w:val="Normalpool"/>
        <w:tabs>
          <w:tab w:val="left" w:pos="624"/>
        </w:tabs>
        <w:spacing w:after="120"/>
        <w:ind w:left="1247" w:firstLine="624"/>
        <w:rPr>
          <w:rFonts w:asciiTheme="majorBidi" w:hAnsiTheme="majorBidi" w:cstheme="majorBidi"/>
          <w:bCs/>
          <w:iCs/>
          <w:lang w:val="en-GB"/>
        </w:rPr>
      </w:pPr>
      <w:r w:rsidRPr="008261BD">
        <w:rPr>
          <w:rFonts w:asciiTheme="majorBidi" w:hAnsiTheme="majorBidi" w:cstheme="majorBidi"/>
          <w:bCs/>
          <w:iCs/>
          <w:lang w:val="en-GB"/>
        </w:rPr>
        <w:t>(b)</w:t>
      </w:r>
      <w:r w:rsidRPr="008261BD">
        <w:rPr>
          <w:rFonts w:asciiTheme="majorBidi" w:hAnsiTheme="majorBidi" w:cstheme="majorBidi"/>
          <w:bCs/>
          <w:iCs/>
          <w:lang w:val="en-GB"/>
        </w:rPr>
        <w:tab/>
        <w:t>Consider whether, how and when the Conference of the Parties should assess the effectiveness of the measures taken under the Convention to address plastic wastes contributing to marine plastic litter and microplastics.</w:t>
      </w:r>
    </w:p>
    <w:p w14:paraId="770403B0" w14:textId="77777777" w:rsidR="008261BD" w:rsidRPr="008261BD" w:rsidRDefault="008261BD" w:rsidP="008261BD">
      <w:pPr>
        <w:spacing w:after="0"/>
        <w:rPr>
          <w:rFonts w:asciiTheme="majorBidi" w:hAnsiTheme="majorBidi" w:cstheme="majorBidi"/>
          <w:bCs/>
          <w:iCs/>
          <w:szCs w:val="20"/>
          <w:lang w:val="en-US"/>
        </w:rPr>
      </w:pPr>
      <w:r w:rsidRPr="008261BD">
        <w:rPr>
          <w:rFonts w:asciiTheme="majorBidi" w:hAnsiTheme="majorBidi" w:cstheme="majorBidi"/>
          <w:bCs/>
          <w:iCs/>
          <w:lang w:val="en-US"/>
        </w:rPr>
        <w:br w:type="page"/>
      </w:r>
    </w:p>
    <w:p w14:paraId="700E6A40" w14:textId="577D2BDD" w:rsidR="008261BD" w:rsidRPr="008261BD" w:rsidRDefault="008261BD" w:rsidP="008261BD">
      <w:pPr>
        <w:pStyle w:val="CH1"/>
        <w:tabs>
          <w:tab w:val="clear" w:pos="851"/>
          <w:tab w:val="clear" w:pos="1247"/>
          <w:tab w:val="clear" w:pos="1814"/>
          <w:tab w:val="clear" w:pos="2381"/>
          <w:tab w:val="clear" w:pos="2948"/>
          <w:tab w:val="clear" w:pos="3515"/>
        </w:tabs>
        <w:ind w:left="1260" w:hanging="13"/>
        <w:rPr>
          <w:rFonts w:asciiTheme="majorBidi" w:hAnsiTheme="majorBidi" w:cstheme="majorBidi"/>
        </w:rPr>
      </w:pPr>
      <w:r w:rsidRPr="008261BD">
        <w:rPr>
          <w:rFonts w:asciiTheme="majorBidi" w:hAnsiTheme="majorBidi" w:cstheme="majorBidi"/>
        </w:rPr>
        <w:lastRenderedPageBreak/>
        <w:t>OEWG-11/7:</w:t>
      </w:r>
      <w:r w:rsidR="00682F8D">
        <w:rPr>
          <w:rFonts w:asciiTheme="majorBidi" w:hAnsiTheme="majorBidi" w:cstheme="majorBidi"/>
        </w:rPr>
        <w:t xml:space="preserve"> </w:t>
      </w:r>
      <w:r w:rsidRPr="008261BD">
        <w:rPr>
          <w:rFonts w:asciiTheme="majorBidi" w:hAnsiTheme="majorBidi" w:cstheme="majorBidi"/>
        </w:rPr>
        <w:t xml:space="preserve">Amendment to Annex IX to the Basel Convention </w:t>
      </w:r>
    </w:p>
    <w:p w14:paraId="740F0811" w14:textId="77777777" w:rsidR="008261BD" w:rsidRPr="008261BD" w:rsidRDefault="008261BD" w:rsidP="008261BD">
      <w:pPr>
        <w:pStyle w:val="Normalpool"/>
        <w:tabs>
          <w:tab w:val="left" w:pos="624"/>
        </w:tabs>
        <w:spacing w:after="120"/>
        <w:ind w:left="1247" w:firstLine="624"/>
        <w:rPr>
          <w:rFonts w:asciiTheme="majorBidi" w:hAnsiTheme="majorBidi" w:cstheme="majorBidi"/>
          <w:i/>
          <w:lang w:val="en-GB"/>
        </w:rPr>
      </w:pPr>
      <w:r w:rsidRPr="008261BD">
        <w:rPr>
          <w:rFonts w:asciiTheme="majorBidi" w:hAnsiTheme="majorBidi" w:cstheme="majorBidi"/>
          <w:i/>
          <w:lang w:val="en-GB"/>
        </w:rPr>
        <w:t>The Open-ended Working Group</w:t>
      </w:r>
    </w:p>
    <w:p w14:paraId="7FB566E3" w14:textId="77777777" w:rsidR="008261BD" w:rsidRPr="008261BD" w:rsidRDefault="008261BD" w:rsidP="00D63870">
      <w:pPr>
        <w:pStyle w:val="Normalpool"/>
        <w:numPr>
          <w:ilvl w:val="0"/>
          <w:numId w:val="10"/>
        </w:numPr>
        <w:tabs>
          <w:tab w:val="left" w:pos="624"/>
        </w:tabs>
        <w:spacing w:after="120"/>
        <w:ind w:left="1253" w:firstLine="619"/>
        <w:rPr>
          <w:rFonts w:asciiTheme="majorBidi" w:hAnsiTheme="majorBidi" w:cstheme="majorBidi"/>
          <w:lang w:val="en-GB"/>
        </w:rPr>
      </w:pPr>
      <w:r w:rsidRPr="008261BD">
        <w:rPr>
          <w:rFonts w:asciiTheme="majorBidi" w:hAnsiTheme="majorBidi" w:cstheme="majorBidi"/>
          <w:i/>
          <w:lang w:val="en-GB"/>
        </w:rPr>
        <w:t xml:space="preserve">Takes note </w:t>
      </w:r>
      <w:r w:rsidRPr="008261BD">
        <w:rPr>
          <w:rFonts w:asciiTheme="majorBidi" w:hAnsiTheme="majorBidi" w:cstheme="majorBidi"/>
          <w:lang w:val="en-GB"/>
        </w:rPr>
        <w:t>of the proposed amendment to Annex IX to the Basel Convention on the Control of Transboundary Movements of Hazardous Wastes and Their Disposal submitted by the Government of Norway for consideration by the Conference of the Parties at its fourteenth meeting;</w:t>
      </w:r>
      <w:r w:rsidRPr="008261BD">
        <w:rPr>
          <w:rStyle w:val="FootnoteReference"/>
          <w:rFonts w:asciiTheme="majorBidi" w:hAnsiTheme="majorBidi" w:cstheme="majorBidi"/>
          <w:lang w:val="en-GB"/>
        </w:rPr>
        <w:footnoteReference w:id="53"/>
      </w:r>
      <w:r w:rsidRPr="008261BD">
        <w:rPr>
          <w:rFonts w:asciiTheme="majorBidi" w:hAnsiTheme="majorBidi" w:cstheme="majorBidi"/>
          <w:lang w:val="en-GB"/>
        </w:rPr>
        <w:t xml:space="preserve"> </w:t>
      </w:r>
    </w:p>
    <w:p w14:paraId="6D391643" w14:textId="77777777" w:rsidR="008261BD" w:rsidRPr="008261BD" w:rsidRDefault="008261BD" w:rsidP="00D63870">
      <w:pPr>
        <w:pStyle w:val="Normalpool"/>
        <w:numPr>
          <w:ilvl w:val="0"/>
          <w:numId w:val="10"/>
        </w:numPr>
        <w:tabs>
          <w:tab w:val="left" w:pos="624"/>
        </w:tabs>
        <w:spacing w:after="120"/>
        <w:ind w:left="1253" w:firstLine="619"/>
        <w:rPr>
          <w:rFonts w:asciiTheme="majorBidi" w:hAnsiTheme="majorBidi" w:cstheme="majorBidi"/>
          <w:lang w:val="en-GB"/>
        </w:rPr>
      </w:pPr>
      <w:r w:rsidRPr="008261BD">
        <w:rPr>
          <w:rFonts w:asciiTheme="majorBidi" w:hAnsiTheme="majorBidi" w:cstheme="majorBidi"/>
          <w:i/>
          <w:iCs/>
          <w:color w:val="000000"/>
          <w:lang w:val="en-GB"/>
        </w:rPr>
        <w:t xml:space="preserve">Recommends </w:t>
      </w:r>
      <w:r w:rsidRPr="008261BD">
        <w:rPr>
          <w:rFonts w:asciiTheme="majorBidi" w:hAnsiTheme="majorBidi" w:cstheme="majorBidi"/>
          <w:color w:val="000000"/>
          <w:lang w:val="en-GB"/>
        </w:rPr>
        <w:t>that</w:t>
      </w:r>
      <w:r w:rsidRPr="008261BD">
        <w:rPr>
          <w:rFonts w:asciiTheme="majorBidi" w:hAnsiTheme="majorBidi" w:cstheme="majorBidi"/>
          <w:iCs/>
          <w:color w:val="000000"/>
          <w:lang w:val="en-GB"/>
        </w:rPr>
        <w:t xml:space="preserve"> the Conference of the Parties consider at its fourteenth meeting whether to amend entry B3010 on solid plastic waste in Annex IX to the Convention and, if so, in what form</w:t>
      </w:r>
      <w:r w:rsidRPr="008261BD">
        <w:rPr>
          <w:rFonts w:asciiTheme="majorBidi" w:hAnsiTheme="majorBidi" w:cstheme="majorBidi"/>
          <w:lang w:val="en-GB"/>
        </w:rPr>
        <w:t>;</w:t>
      </w:r>
    </w:p>
    <w:p w14:paraId="671B205B" w14:textId="77777777" w:rsidR="005F69D7" w:rsidRDefault="008261BD" w:rsidP="005F69D7">
      <w:pPr>
        <w:pStyle w:val="Normalpool"/>
        <w:numPr>
          <w:ilvl w:val="0"/>
          <w:numId w:val="10"/>
        </w:numPr>
        <w:tabs>
          <w:tab w:val="left" w:pos="624"/>
        </w:tabs>
        <w:spacing w:after="120"/>
        <w:ind w:left="1247" w:firstLine="624"/>
        <w:rPr>
          <w:rFonts w:asciiTheme="majorBidi" w:hAnsiTheme="majorBidi" w:cstheme="majorBidi"/>
          <w:lang w:val="en-GB"/>
        </w:rPr>
      </w:pPr>
      <w:r w:rsidRPr="008261BD">
        <w:rPr>
          <w:rFonts w:asciiTheme="majorBidi" w:hAnsiTheme="majorBidi" w:cstheme="majorBidi"/>
          <w:i/>
          <w:iCs/>
          <w:color w:val="000000"/>
          <w:lang w:val="en-GB"/>
        </w:rPr>
        <w:t xml:space="preserve">Takes note </w:t>
      </w:r>
      <w:r w:rsidRPr="008261BD">
        <w:rPr>
          <w:rFonts w:asciiTheme="majorBidi" w:hAnsiTheme="majorBidi" w:cstheme="majorBidi"/>
          <w:iCs/>
          <w:color w:val="000000"/>
          <w:lang w:val="en-GB"/>
        </w:rPr>
        <w:t xml:space="preserve">of </w:t>
      </w:r>
      <w:r w:rsidRPr="008261BD">
        <w:rPr>
          <w:rFonts w:asciiTheme="majorBidi" w:hAnsiTheme="majorBidi" w:cstheme="majorBidi"/>
          <w:color w:val="000000"/>
          <w:lang w:val="en-GB"/>
        </w:rPr>
        <w:t>the</w:t>
      </w:r>
      <w:r w:rsidRPr="008261BD">
        <w:rPr>
          <w:rFonts w:asciiTheme="majorBidi" w:hAnsiTheme="majorBidi" w:cstheme="majorBidi"/>
          <w:i/>
          <w:iCs/>
          <w:color w:val="000000"/>
          <w:lang w:val="en-GB"/>
        </w:rPr>
        <w:t xml:space="preserve"> </w:t>
      </w:r>
      <w:r w:rsidRPr="008261BD">
        <w:rPr>
          <w:rFonts w:asciiTheme="majorBidi" w:hAnsiTheme="majorBidi" w:cstheme="majorBidi"/>
          <w:lang w:val="en-GB"/>
        </w:rPr>
        <w:t>intention of the Government of Norway to submit a proposal to amend Annex II to the Convention for consideration by the Conference of the Parties at its fourteenth meeting</w:t>
      </w:r>
    </w:p>
    <w:p w14:paraId="5FC47BF7" w14:textId="1B3F8E00" w:rsidR="00F1680C" w:rsidRPr="00F1680C" w:rsidRDefault="00F1680C" w:rsidP="005F69D7">
      <w:pPr>
        <w:autoSpaceDE w:val="0"/>
        <w:autoSpaceDN w:val="0"/>
        <w:adjustRightInd w:val="0"/>
        <w:spacing w:after="0" w:line="240" w:lineRule="auto"/>
        <w:rPr>
          <w:rFonts w:asciiTheme="majorBidi" w:hAnsiTheme="majorBidi" w:cstheme="majorBidi"/>
          <w:sz w:val="20"/>
          <w:szCs w:val="20"/>
          <w:lang w:val="nb-NO"/>
        </w:rPr>
      </w:pPr>
    </w:p>
    <w:tbl>
      <w:tblPr>
        <w:tblW w:w="0" w:type="auto"/>
        <w:jc w:val="right"/>
        <w:tblCellMar>
          <w:top w:w="28" w:type="dxa"/>
          <w:left w:w="17" w:type="dxa"/>
          <w:bottom w:w="28" w:type="dxa"/>
          <w:right w:w="17" w:type="dxa"/>
        </w:tblCellMar>
        <w:tblLook w:val="04A0" w:firstRow="1" w:lastRow="0" w:firstColumn="1" w:lastColumn="0" w:noHBand="0" w:noVBand="1"/>
      </w:tblPr>
      <w:tblGrid>
        <w:gridCol w:w="1496"/>
        <w:gridCol w:w="1480"/>
        <w:gridCol w:w="1494"/>
        <w:gridCol w:w="1495"/>
        <w:gridCol w:w="1496"/>
        <w:gridCol w:w="1496"/>
      </w:tblGrid>
      <w:tr w:rsidR="004A7404" w:rsidRPr="003D09EA" w14:paraId="3107ECD3" w14:textId="77777777" w:rsidTr="004A7404">
        <w:trPr>
          <w:jc w:val="right"/>
        </w:trPr>
        <w:tc>
          <w:tcPr>
            <w:tcW w:w="1496" w:type="dxa"/>
            <w:shd w:val="clear" w:color="auto" w:fill="auto"/>
            <w:tcMar>
              <w:left w:w="57" w:type="dxa"/>
              <w:right w:w="57" w:type="dxa"/>
            </w:tcMar>
          </w:tcPr>
          <w:p w14:paraId="1D3B8466" w14:textId="77777777" w:rsidR="004A7404" w:rsidRPr="008261BD" w:rsidRDefault="004A7404" w:rsidP="00121712">
            <w:pPr>
              <w:tabs>
                <w:tab w:val="left" w:pos="1247"/>
                <w:tab w:val="left" w:pos="1814"/>
                <w:tab w:val="left" w:pos="2381"/>
                <w:tab w:val="left" w:pos="2948"/>
                <w:tab w:val="left" w:pos="3515"/>
                <w:tab w:val="left" w:pos="4082"/>
              </w:tabs>
              <w:spacing w:before="520" w:line="240" w:lineRule="auto"/>
              <w:rPr>
                <w:rFonts w:asciiTheme="majorBidi" w:eastAsia="Times New Roman" w:hAnsiTheme="majorBidi" w:cstheme="majorBidi"/>
                <w:sz w:val="18"/>
                <w:szCs w:val="18"/>
                <w:lang w:val="en-GB"/>
              </w:rPr>
            </w:pPr>
          </w:p>
        </w:tc>
        <w:tc>
          <w:tcPr>
            <w:tcW w:w="1480" w:type="dxa"/>
          </w:tcPr>
          <w:p w14:paraId="6D6A7A3F" w14:textId="77777777" w:rsidR="004A7404" w:rsidRPr="008261BD" w:rsidRDefault="004A7404" w:rsidP="00121712">
            <w:pPr>
              <w:tabs>
                <w:tab w:val="left" w:pos="1247"/>
                <w:tab w:val="left" w:pos="1814"/>
                <w:tab w:val="left" w:pos="2381"/>
                <w:tab w:val="left" w:pos="2948"/>
                <w:tab w:val="left" w:pos="3515"/>
                <w:tab w:val="left" w:pos="4082"/>
              </w:tabs>
              <w:spacing w:before="520" w:line="240" w:lineRule="auto"/>
              <w:rPr>
                <w:rFonts w:asciiTheme="majorBidi" w:eastAsia="Times New Roman" w:hAnsiTheme="majorBidi" w:cstheme="majorBidi"/>
                <w:sz w:val="18"/>
                <w:szCs w:val="18"/>
                <w:lang w:val="en-GB"/>
              </w:rPr>
            </w:pPr>
          </w:p>
        </w:tc>
        <w:tc>
          <w:tcPr>
            <w:tcW w:w="1494" w:type="dxa"/>
            <w:shd w:val="clear" w:color="auto" w:fill="auto"/>
            <w:tcMar>
              <w:left w:w="57" w:type="dxa"/>
              <w:right w:w="57" w:type="dxa"/>
            </w:tcMar>
          </w:tcPr>
          <w:p w14:paraId="0F5303A4" w14:textId="439CB221" w:rsidR="004A7404" w:rsidRPr="008261BD" w:rsidRDefault="004A7404" w:rsidP="00121712">
            <w:pPr>
              <w:tabs>
                <w:tab w:val="left" w:pos="1247"/>
                <w:tab w:val="left" w:pos="1814"/>
                <w:tab w:val="left" w:pos="2381"/>
                <w:tab w:val="left" w:pos="2948"/>
                <w:tab w:val="left" w:pos="3515"/>
                <w:tab w:val="left" w:pos="4082"/>
              </w:tabs>
              <w:spacing w:before="520" w:line="240" w:lineRule="auto"/>
              <w:rPr>
                <w:rFonts w:asciiTheme="majorBidi" w:eastAsia="Times New Roman" w:hAnsiTheme="majorBidi" w:cstheme="majorBidi"/>
                <w:sz w:val="18"/>
                <w:szCs w:val="18"/>
                <w:lang w:val="en-GB"/>
              </w:rPr>
            </w:pPr>
          </w:p>
        </w:tc>
        <w:tc>
          <w:tcPr>
            <w:tcW w:w="1495" w:type="dxa"/>
            <w:tcBorders>
              <w:bottom w:val="single" w:sz="4" w:space="0" w:color="auto"/>
            </w:tcBorders>
            <w:shd w:val="clear" w:color="auto" w:fill="auto"/>
            <w:tcMar>
              <w:left w:w="57" w:type="dxa"/>
              <w:right w:w="57" w:type="dxa"/>
            </w:tcMar>
          </w:tcPr>
          <w:p w14:paraId="7EBF6219" w14:textId="77777777" w:rsidR="004A7404" w:rsidRPr="008261BD" w:rsidRDefault="004A7404" w:rsidP="00121712">
            <w:pPr>
              <w:tabs>
                <w:tab w:val="left" w:pos="1247"/>
                <w:tab w:val="left" w:pos="1814"/>
                <w:tab w:val="left" w:pos="2381"/>
                <w:tab w:val="left" w:pos="2948"/>
                <w:tab w:val="left" w:pos="3515"/>
                <w:tab w:val="left" w:pos="4082"/>
              </w:tabs>
              <w:spacing w:before="520" w:line="240" w:lineRule="auto"/>
              <w:rPr>
                <w:rFonts w:asciiTheme="majorBidi" w:eastAsia="Times New Roman" w:hAnsiTheme="majorBidi" w:cstheme="majorBidi"/>
                <w:sz w:val="18"/>
                <w:szCs w:val="18"/>
                <w:lang w:val="en-GB"/>
              </w:rPr>
            </w:pPr>
          </w:p>
        </w:tc>
        <w:tc>
          <w:tcPr>
            <w:tcW w:w="1496" w:type="dxa"/>
            <w:shd w:val="clear" w:color="auto" w:fill="auto"/>
            <w:tcMar>
              <w:left w:w="57" w:type="dxa"/>
              <w:right w:w="57" w:type="dxa"/>
            </w:tcMar>
          </w:tcPr>
          <w:p w14:paraId="0F2349C7" w14:textId="77777777" w:rsidR="004A7404" w:rsidRPr="008261BD" w:rsidRDefault="004A7404" w:rsidP="00121712">
            <w:pPr>
              <w:tabs>
                <w:tab w:val="left" w:pos="1247"/>
                <w:tab w:val="left" w:pos="1814"/>
                <w:tab w:val="left" w:pos="2381"/>
                <w:tab w:val="left" w:pos="2948"/>
                <w:tab w:val="left" w:pos="3515"/>
                <w:tab w:val="left" w:pos="4082"/>
              </w:tabs>
              <w:spacing w:before="520" w:line="240" w:lineRule="auto"/>
              <w:rPr>
                <w:rFonts w:asciiTheme="majorBidi" w:eastAsia="Times New Roman" w:hAnsiTheme="majorBidi" w:cstheme="majorBidi"/>
                <w:sz w:val="18"/>
                <w:szCs w:val="18"/>
                <w:lang w:val="en-GB"/>
              </w:rPr>
            </w:pPr>
          </w:p>
        </w:tc>
        <w:tc>
          <w:tcPr>
            <w:tcW w:w="1496" w:type="dxa"/>
            <w:shd w:val="clear" w:color="auto" w:fill="auto"/>
            <w:tcMar>
              <w:left w:w="57" w:type="dxa"/>
              <w:right w:w="57" w:type="dxa"/>
            </w:tcMar>
          </w:tcPr>
          <w:p w14:paraId="57D211F6" w14:textId="77777777" w:rsidR="004A7404" w:rsidRPr="008261BD" w:rsidRDefault="004A7404" w:rsidP="00121712">
            <w:pPr>
              <w:tabs>
                <w:tab w:val="left" w:pos="1247"/>
                <w:tab w:val="left" w:pos="1814"/>
                <w:tab w:val="left" w:pos="2381"/>
                <w:tab w:val="left" w:pos="2948"/>
                <w:tab w:val="left" w:pos="3515"/>
                <w:tab w:val="left" w:pos="4082"/>
              </w:tabs>
              <w:spacing w:before="520" w:line="240" w:lineRule="auto"/>
              <w:rPr>
                <w:rFonts w:asciiTheme="majorBidi" w:eastAsia="Times New Roman" w:hAnsiTheme="majorBidi" w:cstheme="majorBidi"/>
                <w:sz w:val="18"/>
                <w:szCs w:val="18"/>
                <w:lang w:val="en-GB"/>
              </w:rPr>
            </w:pPr>
          </w:p>
        </w:tc>
      </w:tr>
    </w:tbl>
    <w:p w14:paraId="1815280E" w14:textId="77777777" w:rsidR="004108C0" w:rsidRPr="008261BD" w:rsidRDefault="004108C0" w:rsidP="00121712">
      <w:pPr>
        <w:spacing w:line="240" w:lineRule="auto"/>
        <w:rPr>
          <w:rFonts w:asciiTheme="majorBidi" w:hAnsiTheme="majorBidi" w:cstheme="majorBidi"/>
          <w:sz w:val="2"/>
          <w:szCs w:val="2"/>
          <w:lang w:val="en-GB"/>
        </w:rPr>
      </w:pPr>
    </w:p>
    <w:sectPr w:rsidR="004108C0" w:rsidRPr="008261BD" w:rsidSect="00D83F87">
      <w:headerReference w:type="even" r:id="rId13"/>
      <w:headerReference w:type="default" r:id="rId14"/>
      <w:footerReference w:type="even" r:id="rId15"/>
      <w:footerReference w:type="default" r:id="rId16"/>
      <w:headerReference w:type="first" r:id="rId17"/>
      <w:pgSz w:w="11906" w:h="16838"/>
      <w:pgMar w:top="1418" w:right="1418" w:bottom="1418" w:left="1418" w:header="709" w:footer="709" w:gutter="11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755E31" w14:textId="77777777" w:rsidR="001F66F0" w:rsidRDefault="001F66F0" w:rsidP="009C56A7">
      <w:pPr>
        <w:spacing w:after="0" w:line="240" w:lineRule="auto"/>
      </w:pPr>
      <w:r>
        <w:separator/>
      </w:r>
    </w:p>
  </w:endnote>
  <w:endnote w:type="continuationSeparator" w:id="0">
    <w:p w14:paraId="7D092EDC" w14:textId="77777777" w:rsidR="001F66F0" w:rsidRDefault="001F66F0" w:rsidP="009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inherit">
    <w:altName w:val="Calibri"/>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panose1 w:val="020B0603020202030204"/>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43" w:usb2="00000009" w:usb3="00000000" w:csb0="000001F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DejaVu Sans">
    <w:charset w:val="00"/>
    <w:family w:val="swiss"/>
    <w:pitch w:val="variable"/>
    <w:sig w:usb0="E7002EFF" w:usb1="D200FDFF" w:usb2="0A24602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2975754"/>
      <w:docPartObj>
        <w:docPartGallery w:val="Page Numbers (Bottom of Page)"/>
        <w:docPartUnique/>
      </w:docPartObj>
    </w:sdtPr>
    <w:sdtEndPr>
      <w:rPr>
        <w:rFonts w:ascii="Times New Roman" w:hAnsi="Times New Roman"/>
        <w:b/>
        <w:noProof/>
        <w:sz w:val="18"/>
        <w:szCs w:val="18"/>
      </w:rPr>
    </w:sdtEndPr>
    <w:sdtContent>
      <w:p w14:paraId="2090F2C8" w14:textId="75921325" w:rsidR="008261BD" w:rsidRDefault="008261BD" w:rsidP="000011A6">
        <w:pPr>
          <w:pStyle w:val="Footer"/>
          <w:jc w:val="right"/>
        </w:pPr>
        <w:r w:rsidRPr="003F275B">
          <w:rPr>
            <w:rFonts w:ascii="Times New Roman" w:hAnsi="Times New Roman"/>
            <w:b/>
            <w:sz w:val="18"/>
            <w:szCs w:val="18"/>
          </w:rPr>
          <w:fldChar w:fldCharType="begin"/>
        </w:r>
        <w:r w:rsidRPr="003F275B">
          <w:rPr>
            <w:rFonts w:ascii="Times New Roman" w:hAnsi="Times New Roman"/>
            <w:b/>
            <w:sz w:val="18"/>
            <w:szCs w:val="18"/>
          </w:rPr>
          <w:instrText xml:space="preserve"> PAGE   \* MERGEFORMAT </w:instrText>
        </w:r>
        <w:r w:rsidRPr="003F275B">
          <w:rPr>
            <w:rFonts w:ascii="Times New Roman" w:hAnsi="Times New Roman"/>
            <w:b/>
            <w:sz w:val="18"/>
            <w:szCs w:val="18"/>
          </w:rPr>
          <w:fldChar w:fldCharType="separate"/>
        </w:r>
        <w:r w:rsidR="009F771E">
          <w:rPr>
            <w:rFonts w:ascii="Times New Roman" w:hAnsi="Times New Roman"/>
            <w:b/>
            <w:noProof/>
            <w:sz w:val="18"/>
            <w:szCs w:val="18"/>
          </w:rPr>
          <w:t>14</w:t>
        </w:r>
        <w:r w:rsidRPr="003F275B">
          <w:rPr>
            <w:rFonts w:ascii="Times New Roman" w:hAnsi="Times New Roman"/>
            <w:b/>
            <w:noProof/>
            <w:sz w:val="18"/>
            <w:szCs w:val="18"/>
          </w:rPr>
          <w:fldChar w:fldCharType="end"/>
        </w:r>
      </w:p>
    </w:sdtContent>
  </w:sdt>
  <w:p w14:paraId="144B6DD6" w14:textId="77777777" w:rsidR="007229F9" w:rsidRDefault="007229F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8053726"/>
      <w:docPartObj>
        <w:docPartGallery w:val="Page Numbers (Bottom of Page)"/>
        <w:docPartUnique/>
      </w:docPartObj>
    </w:sdtPr>
    <w:sdtEndPr>
      <w:rPr>
        <w:rFonts w:ascii="Times New Roman" w:hAnsi="Times New Roman"/>
        <w:b/>
        <w:noProof/>
        <w:sz w:val="18"/>
        <w:szCs w:val="18"/>
      </w:rPr>
    </w:sdtEndPr>
    <w:sdtContent>
      <w:p w14:paraId="719827C3" w14:textId="278022F7" w:rsidR="008261BD" w:rsidRDefault="008261BD">
        <w:pPr>
          <w:pStyle w:val="Footer"/>
        </w:pPr>
        <w:r w:rsidRPr="00640607">
          <w:rPr>
            <w:rFonts w:ascii="Times New Roman" w:hAnsi="Times New Roman"/>
            <w:b/>
            <w:sz w:val="18"/>
            <w:szCs w:val="18"/>
          </w:rPr>
          <w:fldChar w:fldCharType="begin"/>
        </w:r>
        <w:r w:rsidRPr="00640607">
          <w:rPr>
            <w:rFonts w:ascii="Times New Roman" w:hAnsi="Times New Roman"/>
            <w:b/>
            <w:sz w:val="18"/>
            <w:szCs w:val="18"/>
          </w:rPr>
          <w:instrText xml:space="preserve"> PAGE   \* MERGEFORMAT </w:instrText>
        </w:r>
        <w:r w:rsidRPr="00640607">
          <w:rPr>
            <w:rFonts w:ascii="Times New Roman" w:hAnsi="Times New Roman"/>
            <w:b/>
            <w:sz w:val="18"/>
            <w:szCs w:val="18"/>
          </w:rPr>
          <w:fldChar w:fldCharType="separate"/>
        </w:r>
        <w:r w:rsidR="009F771E">
          <w:rPr>
            <w:rFonts w:ascii="Times New Roman" w:hAnsi="Times New Roman"/>
            <w:b/>
            <w:noProof/>
            <w:sz w:val="18"/>
            <w:szCs w:val="18"/>
          </w:rPr>
          <w:t>13</w:t>
        </w:r>
        <w:r w:rsidRPr="00640607">
          <w:rPr>
            <w:rFonts w:ascii="Times New Roman" w:hAnsi="Times New Roman"/>
            <w:b/>
            <w:noProof/>
            <w:sz w:val="18"/>
            <w:szCs w:val="18"/>
          </w:rPr>
          <w:fldChar w:fldCharType="end"/>
        </w:r>
      </w:p>
    </w:sdtContent>
  </w:sdt>
  <w:p w14:paraId="52E7DED6" w14:textId="77777777" w:rsidR="007229F9" w:rsidRDefault="007229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FD0AC3" w14:textId="77777777" w:rsidR="001F66F0" w:rsidRDefault="001F66F0" w:rsidP="009C56A7">
      <w:pPr>
        <w:spacing w:after="0" w:line="240" w:lineRule="auto"/>
      </w:pPr>
      <w:r>
        <w:separator/>
      </w:r>
    </w:p>
  </w:footnote>
  <w:footnote w:type="continuationSeparator" w:id="0">
    <w:p w14:paraId="7334EED0" w14:textId="77777777" w:rsidR="001F66F0" w:rsidRDefault="001F66F0" w:rsidP="009C56A7">
      <w:pPr>
        <w:spacing w:after="0" w:line="240" w:lineRule="auto"/>
      </w:pPr>
      <w:r>
        <w:continuationSeparator/>
      </w:r>
    </w:p>
  </w:footnote>
  <w:footnote w:id="1">
    <w:p w14:paraId="0C1A7B43" w14:textId="749F1464" w:rsidR="00887706" w:rsidRPr="004A7404" w:rsidRDefault="00887706"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See decisions BC-13/16, RC-8/10, and SC-</w:t>
      </w:r>
      <w:r w:rsidR="00F33AEE" w:rsidRPr="004A7404">
        <w:rPr>
          <w:rFonts w:asciiTheme="majorBidi" w:hAnsiTheme="majorBidi" w:cstheme="majorBidi"/>
          <w:sz w:val="18"/>
          <w:szCs w:val="18"/>
          <w:lang w:val="en-US"/>
        </w:rPr>
        <w:t>8/20.</w:t>
      </w:r>
    </w:p>
  </w:footnote>
  <w:footnote w:id="2">
    <w:p w14:paraId="3DB5053C" w14:textId="77777777" w:rsidR="00CE1F2F" w:rsidRPr="004A7404" w:rsidRDefault="00CE1F2F"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See documents </w:t>
      </w:r>
      <w:r w:rsidRPr="004A7404">
        <w:rPr>
          <w:rFonts w:asciiTheme="majorBidi" w:hAnsiTheme="majorBidi" w:cstheme="majorBidi"/>
          <w:sz w:val="18"/>
          <w:szCs w:val="18"/>
          <w:lang w:val="en-GB"/>
        </w:rPr>
        <w:t xml:space="preserve">UNEP/CHW.14/26, </w:t>
      </w:r>
      <w:r w:rsidRPr="004A7404">
        <w:rPr>
          <w:rFonts w:asciiTheme="majorBidi" w:hAnsiTheme="majorBidi" w:cstheme="majorBidi"/>
          <w:sz w:val="18"/>
          <w:szCs w:val="18"/>
          <w:lang w:val="en-US"/>
        </w:rPr>
        <w:t xml:space="preserve">UNEP/FAO/RC/COP.9/22 </w:t>
      </w:r>
      <w:r w:rsidRPr="004A7404">
        <w:rPr>
          <w:rFonts w:asciiTheme="majorBidi" w:hAnsiTheme="majorBidi" w:cstheme="majorBidi"/>
          <w:sz w:val="18"/>
          <w:szCs w:val="18"/>
          <w:lang w:val="en-GB"/>
        </w:rPr>
        <w:t>and UNEP/POPS/COP.9/30</w:t>
      </w:r>
    </w:p>
  </w:footnote>
  <w:footnote w:id="3">
    <w:p w14:paraId="71E764F8" w14:textId="77777777" w:rsidR="00F33AEE" w:rsidRPr="004A7404" w:rsidRDefault="00F33AEE"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UNEP/CHW.14/14 and document UNEP/CHW.14/INF/23</w:t>
      </w:r>
    </w:p>
  </w:footnote>
  <w:footnote w:id="4">
    <w:p w14:paraId="52D18BF8" w14:textId="77777777" w:rsidR="008261BD" w:rsidRPr="004A7404" w:rsidRDefault="008261BD"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The proposals are set out in annex I to document UNEP/CHW.14/27. An explanatory note from Norway is set out in document UNEP/CHW.14/INF/18.</w:t>
      </w:r>
    </w:p>
  </w:footnote>
  <w:footnote w:id="5">
    <w:p w14:paraId="4BF37D9D" w14:textId="77777777" w:rsidR="008261BD" w:rsidRPr="004A7404" w:rsidRDefault="008261BD"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UNEP/FAO/RC/COP.9/6 and UNEP/FAO/RC/COP.9/6/Add.1.</w:t>
      </w:r>
    </w:p>
  </w:footnote>
  <w:footnote w:id="6">
    <w:p w14:paraId="5726C5AD" w14:textId="77777777" w:rsidR="008261BD" w:rsidRPr="004A7404" w:rsidRDefault="008261BD"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UNEP/FAO/RC/COP.9/7 and UNEP/FAO/RC/COP.9/7/Add.1.</w:t>
      </w:r>
    </w:p>
  </w:footnote>
  <w:footnote w:id="7">
    <w:p w14:paraId="057A6F4B" w14:textId="77777777" w:rsidR="008261BD" w:rsidRPr="004A7404" w:rsidRDefault="008261BD"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UNEP/FAO/RC/COP.9/8 and UNEP/FAO/RC/COP.9/8/Add.1.</w:t>
      </w:r>
    </w:p>
  </w:footnote>
  <w:footnote w:id="8">
    <w:p w14:paraId="450C43DF" w14:textId="77777777" w:rsidR="008261BD" w:rsidRPr="004A7404" w:rsidRDefault="008261BD"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UNEP/FAO/RC/COP.9/9 and UNEP/FAO/RC/COP.9/9/Add.1.</w:t>
      </w:r>
    </w:p>
  </w:footnote>
  <w:footnote w:id="9">
    <w:p w14:paraId="0294A1A0" w14:textId="77777777" w:rsidR="008261BD" w:rsidRPr="00BC1A6A" w:rsidRDefault="008261BD"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UNEP/FAO/RC/COP.9/10 and </w:t>
      </w:r>
      <w:r w:rsidRPr="00BC1A6A">
        <w:rPr>
          <w:rFonts w:asciiTheme="majorBidi" w:hAnsiTheme="majorBidi" w:cstheme="majorBidi"/>
          <w:sz w:val="18"/>
          <w:szCs w:val="18"/>
          <w:lang w:val="en-US"/>
        </w:rPr>
        <w:t>UNEP/FAO/RC/COP.9/10/Add.1.</w:t>
      </w:r>
    </w:p>
  </w:footnote>
  <w:footnote w:id="10">
    <w:p w14:paraId="1B0921E9" w14:textId="77777777" w:rsidR="008261BD" w:rsidRPr="00BC1A6A" w:rsidRDefault="008261BD" w:rsidP="004A7404">
      <w:pPr>
        <w:pStyle w:val="FootnoteText"/>
        <w:ind w:left="1253"/>
        <w:rPr>
          <w:rFonts w:asciiTheme="majorBidi" w:hAnsiTheme="majorBidi" w:cstheme="majorBidi"/>
          <w:sz w:val="18"/>
          <w:szCs w:val="18"/>
          <w:lang w:val="en-US"/>
        </w:rPr>
      </w:pPr>
      <w:r w:rsidRPr="00BC1A6A">
        <w:rPr>
          <w:rStyle w:val="FootnoteReference"/>
          <w:rFonts w:asciiTheme="majorBidi" w:hAnsiTheme="majorBidi" w:cstheme="majorBidi"/>
          <w:sz w:val="18"/>
        </w:rPr>
        <w:footnoteRef/>
      </w:r>
      <w:r w:rsidRPr="00BC1A6A">
        <w:rPr>
          <w:rFonts w:asciiTheme="majorBidi" w:hAnsiTheme="majorBidi" w:cstheme="majorBidi"/>
          <w:sz w:val="18"/>
          <w:szCs w:val="18"/>
          <w:lang w:val="en-US"/>
        </w:rPr>
        <w:t xml:space="preserve"> UNEP/FAO/RC/COP.9/11 and UNEP/FAO/RC/COP.9/11/Add.1.</w:t>
      </w:r>
    </w:p>
  </w:footnote>
  <w:footnote w:id="11">
    <w:p w14:paraId="4866B69F" w14:textId="77777777" w:rsidR="008261BD" w:rsidRPr="00BC1A6A" w:rsidRDefault="008261BD" w:rsidP="00BC1A6A">
      <w:pPr>
        <w:pStyle w:val="FootnoteText"/>
        <w:ind w:left="1253"/>
        <w:rPr>
          <w:rFonts w:asciiTheme="majorBidi" w:hAnsiTheme="majorBidi" w:cstheme="majorBidi"/>
          <w:sz w:val="18"/>
          <w:szCs w:val="18"/>
          <w:lang w:val="en-US"/>
        </w:rPr>
      </w:pPr>
      <w:r w:rsidRPr="00BC1A6A">
        <w:rPr>
          <w:rStyle w:val="FootnoteReference"/>
          <w:rFonts w:asciiTheme="majorBidi" w:hAnsiTheme="majorBidi" w:cstheme="majorBidi"/>
          <w:sz w:val="18"/>
        </w:rPr>
        <w:footnoteRef/>
      </w:r>
      <w:r w:rsidRPr="00BC1A6A">
        <w:rPr>
          <w:rFonts w:asciiTheme="majorBidi" w:hAnsiTheme="majorBidi" w:cstheme="majorBidi"/>
          <w:sz w:val="18"/>
          <w:szCs w:val="18"/>
          <w:lang w:val="en-US"/>
        </w:rPr>
        <w:t xml:space="preserve"> UNEP/FAO/RC/COP.9/12 and UNEP/FAO/RC/COP.9/12/Add.1.</w:t>
      </w:r>
    </w:p>
  </w:footnote>
  <w:footnote w:id="12">
    <w:p w14:paraId="11F17205" w14:textId="76AFF112" w:rsidR="00A120F6" w:rsidRPr="004906C8" w:rsidRDefault="00A120F6" w:rsidP="004906C8">
      <w:pPr>
        <w:pStyle w:val="FootnoteText"/>
        <w:ind w:left="1253"/>
        <w:rPr>
          <w:rFonts w:asciiTheme="majorBidi" w:hAnsiTheme="majorBidi" w:cstheme="majorBidi"/>
          <w:sz w:val="18"/>
          <w:szCs w:val="18"/>
          <w:lang w:val="en-US"/>
        </w:rPr>
      </w:pPr>
      <w:r w:rsidRPr="004906C8">
        <w:rPr>
          <w:rStyle w:val="FootnoteReference"/>
          <w:rFonts w:asciiTheme="majorBidi" w:hAnsiTheme="majorBidi" w:cstheme="majorBidi"/>
          <w:sz w:val="18"/>
        </w:rPr>
        <w:footnoteRef/>
      </w:r>
      <w:r w:rsidRPr="004906C8">
        <w:rPr>
          <w:rFonts w:asciiTheme="majorBidi" w:hAnsiTheme="majorBidi" w:cstheme="majorBidi"/>
          <w:sz w:val="18"/>
          <w:szCs w:val="18"/>
          <w:lang w:val="en-US"/>
        </w:rPr>
        <w:t xml:space="preserve"> </w:t>
      </w:r>
      <w:r w:rsidR="00BC1A6A" w:rsidRPr="004906C8">
        <w:rPr>
          <w:rFonts w:asciiTheme="majorBidi" w:hAnsiTheme="majorBidi" w:cstheme="majorBidi"/>
          <w:color w:val="4D4D4D"/>
          <w:sz w:val="18"/>
          <w:szCs w:val="18"/>
          <w:lang w:val="en-US"/>
        </w:rPr>
        <w:t>UNEP/FAO/RC/COP.9/13</w:t>
      </w:r>
    </w:p>
  </w:footnote>
  <w:footnote w:id="13">
    <w:p w14:paraId="564C5AD4" w14:textId="0462D134" w:rsidR="00A120F6" w:rsidRPr="004906C8" w:rsidRDefault="008261BD" w:rsidP="00BC1A6A">
      <w:pPr>
        <w:pStyle w:val="FootnoteText"/>
        <w:ind w:left="1253"/>
        <w:rPr>
          <w:rFonts w:asciiTheme="majorBidi" w:hAnsiTheme="majorBidi" w:cstheme="majorBidi"/>
          <w:sz w:val="18"/>
          <w:szCs w:val="18"/>
          <w:lang w:val="en-US"/>
        </w:rPr>
      </w:pPr>
      <w:r w:rsidRPr="00BC1A6A">
        <w:rPr>
          <w:rStyle w:val="FootnoteReference"/>
          <w:rFonts w:asciiTheme="majorBidi" w:hAnsiTheme="majorBidi" w:cstheme="majorBidi"/>
          <w:sz w:val="18"/>
        </w:rPr>
        <w:footnoteRef/>
      </w:r>
      <w:r w:rsidRPr="00B818AA">
        <w:rPr>
          <w:rFonts w:asciiTheme="majorBidi" w:hAnsiTheme="majorBidi" w:cstheme="majorBidi"/>
          <w:sz w:val="18"/>
          <w:szCs w:val="18"/>
          <w:lang w:val="en-US"/>
        </w:rPr>
        <w:t xml:space="preserve"> UNEP/FAO/RC/COP.8/27, para. 124.</w:t>
      </w:r>
    </w:p>
  </w:footnote>
  <w:footnote w:id="14">
    <w:p w14:paraId="1B9D80CC" w14:textId="3F3DA76C" w:rsidR="00A120F6" w:rsidRPr="004906C8" w:rsidRDefault="008261BD" w:rsidP="004906C8">
      <w:pPr>
        <w:pStyle w:val="FootnoteText"/>
        <w:ind w:left="1253"/>
        <w:rPr>
          <w:rFonts w:asciiTheme="majorBidi" w:hAnsiTheme="majorBidi" w:cstheme="majorBidi"/>
          <w:sz w:val="18"/>
          <w:szCs w:val="18"/>
          <w:lang w:val="en-US"/>
        </w:rPr>
      </w:pPr>
      <w:r w:rsidRPr="00BC1A6A">
        <w:rPr>
          <w:rStyle w:val="FootnoteReference"/>
          <w:rFonts w:asciiTheme="majorBidi" w:hAnsiTheme="majorBidi" w:cstheme="majorBidi"/>
          <w:sz w:val="18"/>
        </w:rPr>
        <w:footnoteRef/>
      </w:r>
      <w:r w:rsidRPr="00BC1A6A">
        <w:rPr>
          <w:rFonts w:asciiTheme="majorBidi" w:hAnsiTheme="majorBidi" w:cstheme="majorBidi"/>
          <w:sz w:val="18"/>
          <w:szCs w:val="18"/>
          <w:lang w:val="en-US"/>
        </w:rPr>
        <w:t xml:space="preserve"> The proposals are set out in annex I to document UNEP/F</w:t>
      </w:r>
      <w:r w:rsidR="00BC1A6A">
        <w:rPr>
          <w:rFonts w:asciiTheme="majorBidi" w:hAnsiTheme="majorBidi" w:cstheme="majorBidi"/>
          <w:sz w:val="18"/>
          <w:szCs w:val="18"/>
          <w:lang w:val="en-US"/>
        </w:rPr>
        <w:t>AO</w:t>
      </w:r>
      <w:r w:rsidRPr="00BC1A6A">
        <w:rPr>
          <w:rFonts w:asciiTheme="majorBidi" w:hAnsiTheme="majorBidi" w:cstheme="majorBidi"/>
          <w:sz w:val="18"/>
          <w:szCs w:val="18"/>
          <w:lang w:val="en-US"/>
        </w:rPr>
        <w:t>/COP.9/13/Add.1. An explanatory note from the Parties proposing the amendments may be found in document UNEP/FAO/RC/COP.8/INF/40.</w:t>
      </w:r>
    </w:p>
  </w:footnote>
  <w:footnote w:id="15">
    <w:p w14:paraId="27D6F59B" w14:textId="77777777" w:rsidR="00A120F6" w:rsidRPr="004906C8" w:rsidRDefault="008261BD" w:rsidP="004906C8">
      <w:pPr>
        <w:pStyle w:val="FootnoteText"/>
        <w:ind w:left="1253"/>
        <w:rPr>
          <w:rFonts w:asciiTheme="majorBidi" w:hAnsiTheme="majorBidi" w:cstheme="majorBidi"/>
          <w:sz w:val="18"/>
          <w:szCs w:val="18"/>
          <w:lang w:val="en-US"/>
        </w:rPr>
      </w:pPr>
      <w:r w:rsidRPr="00BC1A6A">
        <w:rPr>
          <w:rStyle w:val="FootnoteReference"/>
          <w:rFonts w:asciiTheme="majorBidi" w:hAnsiTheme="majorBidi" w:cstheme="majorBidi"/>
          <w:sz w:val="18"/>
        </w:rPr>
        <w:footnoteRef/>
      </w:r>
      <w:r w:rsidRPr="00BC1A6A">
        <w:rPr>
          <w:rFonts w:asciiTheme="majorBidi" w:hAnsiTheme="majorBidi" w:cstheme="majorBidi"/>
          <w:sz w:val="18"/>
          <w:szCs w:val="18"/>
          <w:lang w:val="en-US"/>
        </w:rPr>
        <w:t xml:space="preserve"> The proposal is set out in annex I to document UNEP/FAO/RC/COP.9/14/Add.1. An explanatory note by the Parties proposing the new annex VII is reproduced in document UNEP/FAO/RC/COP.9/INF/41.</w:t>
      </w:r>
    </w:p>
  </w:footnote>
  <w:footnote w:id="16">
    <w:p w14:paraId="49D285A6" w14:textId="77777777" w:rsidR="008261BD" w:rsidRPr="00BC1A6A" w:rsidRDefault="008261BD" w:rsidP="004A7404">
      <w:pPr>
        <w:pStyle w:val="FootnoteText"/>
        <w:ind w:left="1253"/>
        <w:rPr>
          <w:rFonts w:asciiTheme="majorBidi" w:hAnsiTheme="majorBidi" w:cstheme="majorBidi"/>
          <w:sz w:val="18"/>
          <w:szCs w:val="18"/>
          <w:lang w:val="en-US"/>
        </w:rPr>
      </w:pPr>
      <w:r w:rsidRPr="00BC1A6A">
        <w:rPr>
          <w:rStyle w:val="FootnoteReference"/>
          <w:rFonts w:asciiTheme="majorBidi" w:hAnsiTheme="majorBidi" w:cstheme="majorBidi"/>
          <w:sz w:val="18"/>
        </w:rPr>
        <w:footnoteRef/>
      </w:r>
      <w:r w:rsidRPr="00BC1A6A">
        <w:rPr>
          <w:rFonts w:asciiTheme="majorBidi" w:hAnsiTheme="majorBidi" w:cstheme="majorBidi"/>
          <w:sz w:val="18"/>
          <w:szCs w:val="18"/>
          <w:lang w:val="en-US"/>
        </w:rPr>
        <w:t xml:space="preserve"> UNEP/POPS/COP.9/13.</w:t>
      </w:r>
    </w:p>
  </w:footnote>
  <w:footnote w:id="17">
    <w:p w14:paraId="2C5E133D" w14:textId="77777777" w:rsidR="008261BD" w:rsidRPr="004A7404" w:rsidRDefault="008261BD"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UNEP/POPS/COP.9/14.</w:t>
      </w:r>
    </w:p>
  </w:footnote>
  <w:footnote w:id="18">
    <w:p w14:paraId="3014CE26" w14:textId="77777777" w:rsidR="008261BD" w:rsidRPr="004A7404" w:rsidRDefault="008261BD"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UNEP/POPS/COP.9/20.</w:t>
      </w:r>
    </w:p>
  </w:footnote>
  <w:footnote w:id="19">
    <w:p w14:paraId="36F3AD68" w14:textId="3CEA504B" w:rsidR="00E1394F" w:rsidRPr="004A7404" w:rsidRDefault="00E1394F"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The proposal is set out in annex I to document UNEP/POPS/COP.9/15. An explanatory note by the Parties proposing the new annex VII is reproduced in document UNEP/POPS/COP.9/INF/9.</w:t>
      </w:r>
    </w:p>
  </w:footnote>
  <w:footnote w:id="20">
    <w:p w14:paraId="139A8D81" w14:textId="77777777" w:rsidR="00053838" w:rsidRPr="004A7404" w:rsidRDefault="00053838"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UNEP/CHW.14/7/Add.1.</w:t>
      </w:r>
    </w:p>
  </w:footnote>
  <w:footnote w:id="21">
    <w:p w14:paraId="2B334EAE" w14:textId="77777777" w:rsidR="00053838" w:rsidRPr="004A7404" w:rsidRDefault="00053838"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UNEP/CHW.14/7/Add.2.</w:t>
      </w:r>
    </w:p>
  </w:footnote>
  <w:footnote w:id="22">
    <w:p w14:paraId="6A5E2141" w14:textId="77777777" w:rsidR="00053838" w:rsidRPr="004A7404" w:rsidRDefault="00053838"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UNEP/CHW.14/7/Add.3.</w:t>
      </w:r>
    </w:p>
  </w:footnote>
  <w:footnote w:id="23">
    <w:p w14:paraId="382EB5B9" w14:textId="77777777" w:rsidR="00053838" w:rsidRPr="004A7404" w:rsidRDefault="00053838"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UNEP/CHW.14/7/Add.4.</w:t>
      </w:r>
    </w:p>
  </w:footnote>
  <w:footnote w:id="24">
    <w:p w14:paraId="72FE3E64" w14:textId="77777777" w:rsidR="00053838" w:rsidRPr="004A7404" w:rsidRDefault="00053838"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UNEP/CHW.14/7/Add.5.</w:t>
      </w:r>
    </w:p>
  </w:footnote>
  <w:footnote w:id="25">
    <w:p w14:paraId="2A93452F" w14:textId="77777777" w:rsidR="00053838" w:rsidRPr="004A7404" w:rsidRDefault="00053838"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UNEP/CHW.14/7/Add.6.</w:t>
      </w:r>
    </w:p>
  </w:footnote>
  <w:footnote w:id="26">
    <w:p w14:paraId="6ED1F8E8" w14:textId="77777777" w:rsidR="00053838" w:rsidRPr="004A7404" w:rsidRDefault="00053838"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UNEP/CHW.14/7/INF/11.</w:t>
      </w:r>
    </w:p>
  </w:footnote>
  <w:footnote w:id="27">
    <w:p w14:paraId="0846DE83" w14:textId="77777777" w:rsidR="00053838" w:rsidRPr="004A7404" w:rsidRDefault="00053838"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UNEP/CHW.14/7/INF/12.</w:t>
      </w:r>
    </w:p>
  </w:footnote>
  <w:footnote w:id="28">
    <w:p w14:paraId="21D2EF61" w14:textId="77777777" w:rsidR="00053838" w:rsidRPr="004A7404" w:rsidRDefault="00053838"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UNEP/POPS/COP.9/INF/36.</w:t>
      </w:r>
    </w:p>
  </w:footnote>
  <w:footnote w:id="29">
    <w:p w14:paraId="34362106" w14:textId="77777777" w:rsidR="00053838" w:rsidRPr="004A7404" w:rsidRDefault="00053838"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UNEP/POPS/COP.9/INF/16.</w:t>
      </w:r>
    </w:p>
  </w:footnote>
  <w:footnote w:id="30">
    <w:p w14:paraId="12447783" w14:textId="48BDD6AE" w:rsidR="008261BD" w:rsidRPr="004A7404" w:rsidRDefault="008261BD"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See </w:t>
      </w:r>
      <w:r w:rsidR="00AC3078" w:rsidRPr="004A7404">
        <w:rPr>
          <w:rFonts w:asciiTheme="majorBidi" w:hAnsiTheme="majorBidi" w:cstheme="majorBidi"/>
          <w:sz w:val="18"/>
          <w:szCs w:val="18"/>
          <w:lang w:val="en-US"/>
        </w:rPr>
        <w:t>d</w:t>
      </w:r>
      <w:r w:rsidRPr="004A7404">
        <w:rPr>
          <w:rFonts w:asciiTheme="majorBidi" w:hAnsiTheme="majorBidi" w:cstheme="majorBidi"/>
          <w:sz w:val="18"/>
          <w:szCs w:val="18"/>
          <w:lang w:val="en-US"/>
        </w:rPr>
        <w:t>ecision OEWG-11/8, para 7, recommending to the Conference of the Parties at its fourteenth meeting the establishment of a partnership under the Basel Convention on plastic wastes that also addresses marine plastic litter and microplastics.</w:t>
      </w:r>
    </w:p>
  </w:footnote>
  <w:footnote w:id="31">
    <w:p w14:paraId="67A9875F" w14:textId="35E1A1E9" w:rsidR="008261BD" w:rsidRPr="004A7404" w:rsidRDefault="008261BD"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See decision OEWG-11/8</w:t>
      </w:r>
      <w:r w:rsidR="00AC3078" w:rsidRPr="004A7404">
        <w:rPr>
          <w:rFonts w:asciiTheme="majorBidi" w:hAnsiTheme="majorBidi" w:cstheme="majorBidi"/>
          <w:sz w:val="18"/>
          <w:szCs w:val="18"/>
          <w:lang w:val="en-US"/>
        </w:rPr>
        <w:t>, annex</w:t>
      </w:r>
      <w:r w:rsidRPr="004A7404">
        <w:rPr>
          <w:rFonts w:asciiTheme="majorBidi" w:hAnsiTheme="majorBidi" w:cstheme="majorBidi"/>
          <w:sz w:val="18"/>
          <w:szCs w:val="18"/>
          <w:lang w:val="en-US"/>
        </w:rPr>
        <w:t>.</w:t>
      </w:r>
    </w:p>
  </w:footnote>
  <w:footnote w:id="32">
    <w:p w14:paraId="6DBB3CD9" w14:textId="77777777" w:rsidR="008261BD" w:rsidRPr="004A7404" w:rsidRDefault="008261BD"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The proposals are set out in annex I to document UNEP/CHW.14/27. An explanatory note from Norway is set out in document UNEP/CHW.14/INF/18.</w:t>
      </w:r>
    </w:p>
  </w:footnote>
  <w:footnote w:id="33">
    <w:p w14:paraId="431A3BE8" w14:textId="77777777" w:rsidR="008261BD" w:rsidRPr="004A7404" w:rsidRDefault="008261BD"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A draft decision is set out in para 49 of document UNEP/CHW.14/7.</w:t>
      </w:r>
    </w:p>
  </w:footnote>
  <w:footnote w:id="34">
    <w:p w14:paraId="6078FC7C" w14:textId="77777777" w:rsidR="008261BD" w:rsidRPr="004A7404" w:rsidRDefault="008261BD"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w:t>
      </w:r>
      <w:hyperlink r:id="rId1" w:history="1">
        <w:r w:rsidRPr="004A7404">
          <w:rPr>
            <w:rStyle w:val="Hyperlink"/>
            <w:rFonts w:asciiTheme="majorBidi" w:hAnsiTheme="majorBidi" w:cstheme="majorBidi"/>
            <w:sz w:val="18"/>
            <w:szCs w:val="18"/>
            <w:lang w:val="en-US"/>
          </w:rPr>
          <w:t>http://www.basel.int/tabid/6258/Default.aspx</w:t>
        </w:r>
      </w:hyperlink>
      <w:r w:rsidRPr="004A7404">
        <w:rPr>
          <w:rFonts w:asciiTheme="majorBidi" w:hAnsiTheme="majorBidi" w:cstheme="majorBidi"/>
          <w:sz w:val="18"/>
          <w:szCs w:val="18"/>
          <w:lang w:val="en-US"/>
        </w:rPr>
        <w:t xml:space="preserve">. </w:t>
      </w:r>
    </w:p>
  </w:footnote>
  <w:footnote w:id="35">
    <w:p w14:paraId="169FDE3F" w14:textId="6BD30597" w:rsidR="007E0F69" w:rsidRPr="005F69D7" w:rsidRDefault="007E0F69" w:rsidP="005F69D7">
      <w:pPr>
        <w:pStyle w:val="FootnoteText"/>
        <w:spacing w:before="20" w:after="40"/>
        <w:ind w:left="1253"/>
        <w:rPr>
          <w:rFonts w:ascii="Times New Roman" w:hAnsi="Times New Roman"/>
          <w:sz w:val="18"/>
          <w:szCs w:val="18"/>
          <w:lang w:val="en-US"/>
        </w:rPr>
      </w:pPr>
      <w:r w:rsidRPr="005F69D7">
        <w:rPr>
          <w:rStyle w:val="FootnoteReference"/>
          <w:sz w:val="18"/>
        </w:rPr>
        <w:footnoteRef/>
      </w:r>
      <w:r w:rsidRPr="005F69D7">
        <w:rPr>
          <w:rFonts w:ascii="Times New Roman" w:hAnsi="Times New Roman"/>
          <w:sz w:val="18"/>
          <w:szCs w:val="18"/>
          <w:lang w:val="en-US"/>
        </w:rPr>
        <w:t xml:space="preserve"> </w:t>
      </w:r>
      <w:hyperlink r:id="rId2" w:history="1">
        <w:r w:rsidRPr="005F69D7">
          <w:rPr>
            <w:rStyle w:val="Hyperlink"/>
            <w:sz w:val="18"/>
            <w:szCs w:val="18"/>
            <w:lang w:val="en-US"/>
          </w:rPr>
          <w:t>http://www.basel.int/tabid/7520/Default.aspx</w:t>
        </w:r>
      </w:hyperlink>
      <w:r w:rsidRPr="005F69D7">
        <w:rPr>
          <w:rStyle w:val="Hyperlink"/>
          <w:sz w:val="18"/>
          <w:szCs w:val="18"/>
          <w:lang w:val="en-US"/>
        </w:rPr>
        <w:t>.</w:t>
      </w:r>
    </w:p>
  </w:footnote>
  <w:footnote w:id="36">
    <w:p w14:paraId="6C2A3F18" w14:textId="45C6CC87" w:rsidR="007E0F69" w:rsidRPr="005F69D7" w:rsidRDefault="007E0F69" w:rsidP="005F69D7">
      <w:pPr>
        <w:pStyle w:val="FootnoteText"/>
        <w:spacing w:before="20" w:after="40"/>
        <w:ind w:left="1253"/>
        <w:rPr>
          <w:lang w:val="en-US"/>
        </w:rPr>
      </w:pPr>
      <w:r w:rsidRPr="005F69D7">
        <w:rPr>
          <w:rStyle w:val="FootnoteReference"/>
          <w:sz w:val="18"/>
        </w:rPr>
        <w:footnoteRef/>
      </w:r>
      <w:r w:rsidRPr="005F69D7">
        <w:rPr>
          <w:rFonts w:ascii="Times New Roman" w:hAnsi="Times New Roman"/>
          <w:sz w:val="18"/>
          <w:szCs w:val="18"/>
          <w:lang w:val="en-US"/>
        </w:rPr>
        <w:t xml:space="preserve"> Ibid.</w:t>
      </w:r>
    </w:p>
  </w:footnote>
  <w:footnote w:id="37">
    <w:p w14:paraId="1C7B0CA5" w14:textId="77777777" w:rsidR="008261BD" w:rsidRPr="005F69D7" w:rsidRDefault="008261BD" w:rsidP="005F69D7">
      <w:pPr>
        <w:pStyle w:val="FootnoteText"/>
        <w:spacing w:before="20" w:after="40"/>
        <w:ind w:left="1253"/>
        <w:rPr>
          <w:rFonts w:ascii="Times New Roman" w:hAnsi="Times New Roman"/>
          <w:sz w:val="18"/>
          <w:szCs w:val="18"/>
          <w:lang w:val="en-US"/>
        </w:rPr>
      </w:pPr>
      <w:r w:rsidRPr="005F69D7">
        <w:rPr>
          <w:rStyle w:val="FootnoteReference"/>
          <w:sz w:val="18"/>
        </w:rPr>
        <w:footnoteRef/>
      </w:r>
      <w:r w:rsidRPr="005F69D7">
        <w:rPr>
          <w:rFonts w:ascii="Times New Roman" w:hAnsi="Times New Roman"/>
          <w:sz w:val="18"/>
          <w:szCs w:val="18"/>
          <w:lang w:val="en-US"/>
        </w:rPr>
        <w:t xml:space="preserve"> Entry B3010 of Annex IX to the Basel Convention.</w:t>
      </w:r>
    </w:p>
  </w:footnote>
  <w:footnote w:id="38">
    <w:p w14:paraId="32DC5D3D" w14:textId="77777777" w:rsidR="001357AB" w:rsidRPr="005F69D7" w:rsidRDefault="001357AB" w:rsidP="005F69D7">
      <w:pPr>
        <w:pStyle w:val="FootnoteText"/>
        <w:spacing w:before="20" w:after="40"/>
        <w:ind w:left="1253"/>
        <w:rPr>
          <w:rFonts w:ascii="Times New Roman" w:hAnsi="Times New Roman"/>
          <w:sz w:val="18"/>
          <w:szCs w:val="18"/>
          <w:lang w:val="en-GB"/>
        </w:rPr>
      </w:pPr>
      <w:r w:rsidRPr="005F69D7">
        <w:rPr>
          <w:rStyle w:val="FootnoteReference"/>
          <w:sz w:val="18"/>
        </w:rPr>
        <w:footnoteRef/>
      </w:r>
      <w:r w:rsidRPr="005F69D7">
        <w:rPr>
          <w:rFonts w:ascii="Times New Roman" w:hAnsi="Times New Roman"/>
          <w:sz w:val="18"/>
          <w:szCs w:val="18"/>
          <w:lang w:val="en-US"/>
        </w:rPr>
        <w:t xml:space="preserve"> Clean, sorted batches of plastic waste, which are suitable for recycling, would not be regarded as hazardous wastes and would neither fall under the new entry for plastics in Annex II.</w:t>
      </w:r>
    </w:p>
  </w:footnote>
  <w:footnote w:id="39">
    <w:p w14:paraId="332A2831" w14:textId="77777777" w:rsidR="008261BD" w:rsidRPr="005F69D7" w:rsidRDefault="008261BD" w:rsidP="005F69D7">
      <w:pPr>
        <w:pStyle w:val="FootnoteText"/>
        <w:spacing w:before="20" w:after="40"/>
        <w:ind w:left="1253"/>
        <w:rPr>
          <w:rFonts w:ascii="Times New Roman" w:hAnsi="Times New Roman"/>
          <w:sz w:val="18"/>
          <w:szCs w:val="18"/>
          <w:lang w:val="en-GB"/>
        </w:rPr>
      </w:pPr>
      <w:r w:rsidRPr="005F69D7">
        <w:rPr>
          <w:rStyle w:val="FootnoteReference"/>
          <w:sz w:val="18"/>
        </w:rPr>
        <w:footnoteRef/>
      </w:r>
      <w:r w:rsidRPr="005F69D7">
        <w:rPr>
          <w:rFonts w:ascii="Times New Roman" w:hAnsi="Times New Roman"/>
          <w:sz w:val="18"/>
          <w:szCs w:val="18"/>
          <w:lang w:val="en-GB"/>
        </w:rPr>
        <w:t xml:space="preserve"> </w:t>
      </w:r>
      <w:hyperlink r:id="rId3" w:history="1">
        <w:r w:rsidRPr="005F69D7">
          <w:rPr>
            <w:rStyle w:val="Hyperlink"/>
            <w:sz w:val="18"/>
            <w:szCs w:val="18"/>
            <w:lang w:val="en-GB"/>
          </w:rPr>
          <w:t>http://www.basel.int/tabid/7906/Default.aspx</w:t>
        </w:r>
      </w:hyperlink>
      <w:r w:rsidRPr="005F69D7">
        <w:rPr>
          <w:rFonts w:ascii="Times New Roman" w:hAnsi="Times New Roman"/>
          <w:sz w:val="18"/>
          <w:szCs w:val="18"/>
          <w:lang w:val="en-GB"/>
        </w:rPr>
        <w:t xml:space="preserve">. </w:t>
      </w:r>
    </w:p>
  </w:footnote>
  <w:footnote w:id="40">
    <w:p w14:paraId="6D214861" w14:textId="0F67A8AF" w:rsidR="007E0F69" w:rsidRPr="005F69D7" w:rsidRDefault="007E0F69" w:rsidP="005F69D7">
      <w:pPr>
        <w:pStyle w:val="FootnoteText"/>
        <w:spacing w:before="20" w:after="40"/>
        <w:ind w:left="1253"/>
        <w:rPr>
          <w:rFonts w:ascii="Times New Roman" w:hAnsi="Times New Roman"/>
          <w:sz w:val="18"/>
          <w:szCs w:val="18"/>
          <w:lang w:val="en-US"/>
        </w:rPr>
      </w:pPr>
      <w:r w:rsidRPr="005F69D7">
        <w:rPr>
          <w:rStyle w:val="FootnoteReference"/>
          <w:sz w:val="18"/>
        </w:rPr>
        <w:footnoteRef/>
      </w:r>
      <w:r w:rsidRPr="005F69D7">
        <w:rPr>
          <w:rFonts w:ascii="Times New Roman" w:hAnsi="Times New Roman"/>
          <w:sz w:val="18"/>
          <w:szCs w:val="18"/>
          <w:lang w:val="en-US"/>
        </w:rPr>
        <w:t xml:space="preserve"> </w:t>
      </w:r>
      <w:hyperlink r:id="rId4" w:history="1">
        <w:r w:rsidRPr="005F69D7">
          <w:rPr>
            <w:rStyle w:val="Hyperlink"/>
            <w:sz w:val="18"/>
            <w:szCs w:val="18"/>
            <w:lang w:val="en-US"/>
          </w:rPr>
          <w:t>http://www.basel.int/tabid/7520/Default.aspx</w:t>
        </w:r>
      </w:hyperlink>
      <w:r w:rsidRPr="005F69D7">
        <w:rPr>
          <w:rStyle w:val="Hyperlink"/>
          <w:sz w:val="18"/>
          <w:szCs w:val="18"/>
          <w:lang w:val="en-US"/>
        </w:rPr>
        <w:t>.</w:t>
      </w:r>
    </w:p>
  </w:footnote>
  <w:footnote w:id="41">
    <w:p w14:paraId="7354BA16" w14:textId="77777777" w:rsidR="008261BD" w:rsidRPr="005F69D7" w:rsidRDefault="008261BD" w:rsidP="007E0F69">
      <w:pPr>
        <w:pStyle w:val="NoSpacing"/>
        <w:snapToGrid w:val="0"/>
        <w:spacing w:before="20" w:after="40"/>
        <w:ind w:left="1253"/>
        <w:contextualSpacing w:val="0"/>
        <w:rPr>
          <w:rFonts w:ascii="Times New Roman" w:hAnsi="Times New Roman"/>
          <w:sz w:val="18"/>
          <w:szCs w:val="18"/>
        </w:rPr>
      </w:pPr>
      <w:r w:rsidRPr="005F69D7">
        <w:rPr>
          <w:rStyle w:val="FootnoteReference"/>
          <w:sz w:val="18"/>
        </w:rPr>
        <w:footnoteRef/>
      </w:r>
      <w:r w:rsidRPr="005F69D7">
        <w:rPr>
          <w:rFonts w:ascii="Times New Roman" w:hAnsi="Times New Roman"/>
          <w:sz w:val="18"/>
          <w:szCs w:val="18"/>
        </w:rPr>
        <w:t xml:space="preserve"> Decision VI/21 and document UNEP/CHW.6/21. </w:t>
      </w:r>
    </w:p>
  </w:footnote>
  <w:footnote w:id="42">
    <w:p w14:paraId="1473D97A" w14:textId="77777777" w:rsidR="008261BD" w:rsidRPr="005F69D7" w:rsidRDefault="008261BD" w:rsidP="007E0F69">
      <w:pPr>
        <w:pStyle w:val="FootnoteText"/>
        <w:spacing w:before="20" w:after="40"/>
        <w:ind w:left="1253"/>
        <w:rPr>
          <w:rFonts w:ascii="Times New Roman" w:hAnsi="Times New Roman"/>
          <w:sz w:val="18"/>
          <w:szCs w:val="18"/>
          <w:lang w:val="en-US"/>
        </w:rPr>
      </w:pPr>
      <w:r w:rsidRPr="005F69D7">
        <w:rPr>
          <w:rStyle w:val="FootnoteReference"/>
          <w:sz w:val="18"/>
        </w:rPr>
        <w:footnoteRef/>
      </w:r>
      <w:r w:rsidRPr="005F69D7">
        <w:rPr>
          <w:rFonts w:ascii="Times New Roman" w:hAnsi="Times New Roman"/>
          <w:sz w:val="18"/>
          <w:szCs w:val="18"/>
          <w:lang w:val="en-US"/>
        </w:rPr>
        <w:t xml:space="preserve"> The </w:t>
      </w:r>
      <w:r w:rsidRPr="005F69D7">
        <w:rPr>
          <w:rFonts w:ascii="Times New Roman" w:hAnsi="Times New Roman"/>
          <w:iCs/>
          <w:sz w:val="18"/>
          <w:szCs w:val="18"/>
          <w:lang w:val="en-US"/>
        </w:rPr>
        <w:t xml:space="preserve">Rotterdam Convention on the Prior Informed Consent Procedure for Certain Hazardous Chemicals and Pesticides in International Trade. </w:t>
      </w:r>
    </w:p>
  </w:footnote>
  <w:footnote w:id="43">
    <w:p w14:paraId="3B6ADDFC" w14:textId="77777777" w:rsidR="008261BD" w:rsidRPr="005F69D7" w:rsidRDefault="008261BD" w:rsidP="007E0F69">
      <w:pPr>
        <w:pStyle w:val="FootnoteText"/>
        <w:spacing w:before="20" w:after="40"/>
        <w:ind w:left="1253"/>
        <w:rPr>
          <w:rFonts w:ascii="Times New Roman" w:hAnsi="Times New Roman"/>
          <w:sz w:val="18"/>
          <w:szCs w:val="18"/>
          <w:lang w:val="en-US"/>
        </w:rPr>
      </w:pPr>
      <w:r w:rsidRPr="005F69D7">
        <w:rPr>
          <w:rStyle w:val="FootnoteReference"/>
          <w:sz w:val="18"/>
        </w:rPr>
        <w:footnoteRef/>
      </w:r>
      <w:r w:rsidRPr="005F69D7">
        <w:rPr>
          <w:rFonts w:ascii="Times New Roman" w:hAnsi="Times New Roman"/>
          <w:sz w:val="18"/>
          <w:szCs w:val="18"/>
          <w:lang w:val="en-US"/>
        </w:rPr>
        <w:t xml:space="preserve"> </w:t>
      </w:r>
      <w:r w:rsidRPr="005F69D7">
        <w:rPr>
          <w:rFonts w:ascii="Times New Roman" w:hAnsi="Times New Roman"/>
          <w:iCs/>
          <w:sz w:val="18"/>
          <w:szCs w:val="18"/>
          <w:lang w:val="en-US"/>
        </w:rPr>
        <w:t>The Stockholm Convention on Persistent Organic Pollutants.</w:t>
      </w:r>
    </w:p>
  </w:footnote>
  <w:footnote w:id="44">
    <w:p w14:paraId="0DD2DD06" w14:textId="77777777" w:rsidR="008261BD" w:rsidRPr="004A7404" w:rsidRDefault="008261BD" w:rsidP="004A7404">
      <w:pPr>
        <w:pStyle w:val="FootnoteText"/>
        <w:spacing w:before="20" w:after="40"/>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UNEP/CHW/OEWG.11/INF/23.</w:t>
      </w:r>
    </w:p>
  </w:footnote>
  <w:footnote w:id="45">
    <w:p w14:paraId="6D75E5CD" w14:textId="77777777" w:rsidR="008261BD" w:rsidRPr="004A7404" w:rsidRDefault="008261BD"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w:t>
      </w:r>
      <w:hyperlink r:id="rId5" w:history="1">
        <w:r w:rsidRPr="004A7404">
          <w:rPr>
            <w:rStyle w:val="Hyperlink"/>
            <w:rFonts w:asciiTheme="majorBidi" w:hAnsiTheme="majorBidi" w:cstheme="majorBidi"/>
            <w:sz w:val="18"/>
            <w:szCs w:val="18"/>
            <w:lang w:val="en-US"/>
          </w:rPr>
          <w:t>http://www.basel.int/tabid/7520/Default.aspx</w:t>
        </w:r>
      </w:hyperlink>
      <w:r w:rsidRPr="004A7404">
        <w:rPr>
          <w:rFonts w:asciiTheme="majorBidi" w:hAnsiTheme="majorBidi" w:cstheme="majorBidi"/>
          <w:sz w:val="18"/>
          <w:szCs w:val="18"/>
          <w:lang w:val="en-US"/>
        </w:rPr>
        <w:t xml:space="preserve">. </w:t>
      </w:r>
    </w:p>
  </w:footnote>
  <w:footnote w:id="46">
    <w:p w14:paraId="5EFDD345" w14:textId="77777777" w:rsidR="008261BD" w:rsidRPr="004A7404" w:rsidRDefault="008261BD" w:rsidP="004A7404">
      <w:pPr>
        <w:pStyle w:val="NormalNonumber"/>
        <w:tabs>
          <w:tab w:val="left" w:pos="624"/>
        </w:tabs>
        <w:spacing w:before="20" w:after="40"/>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UNEP/CHW/OEWG.11/INF/22.</w:t>
      </w:r>
    </w:p>
  </w:footnote>
  <w:footnote w:id="47">
    <w:p w14:paraId="4A9EEA30" w14:textId="77777777" w:rsidR="008261BD" w:rsidRPr="004A7404" w:rsidRDefault="008261BD" w:rsidP="004A7404">
      <w:pPr>
        <w:pStyle w:val="NormalNonumber"/>
        <w:tabs>
          <w:tab w:val="left" w:pos="624"/>
        </w:tabs>
        <w:spacing w:before="20" w:after="40"/>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UNEP/CHW/OEWG.11/INF/22/Add.1.</w:t>
      </w:r>
    </w:p>
  </w:footnote>
  <w:footnote w:id="48">
    <w:p w14:paraId="4D8B1166" w14:textId="77777777" w:rsidR="008261BD" w:rsidRPr="004A7404" w:rsidRDefault="008261BD"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To be considered under the agenda item on technical assistance of the </w:t>
      </w:r>
      <w:r w:rsidRPr="004A7404">
        <w:rPr>
          <w:rFonts w:asciiTheme="majorBidi" w:hAnsiTheme="majorBidi" w:cstheme="majorBidi"/>
          <w:iCs/>
          <w:color w:val="000000"/>
          <w:sz w:val="18"/>
          <w:szCs w:val="18"/>
          <w:lang w:val="en-US"/>
        </w:rPr>
        <w:t>fourteenth meeting of the Conference of the Parties to the Basel Convention</w:t>
      </w:r>
      <w:r w:rsidRPr="004A7404">
        <w:rPr>
          <w:rFonts w:asciiTheme="majorBidi" w:hAnsiTheme="majorBidi" w:cstheme="majorBidi"/>
          <w:sz w:val="18"/>
          <w:szCs w:val="18"/>
          <w:lang w:val="en-US"/>
        </w:rPr>
        <w:t xml:space="preserve">. </w:t>
      </w:r>
    </w:p>
  </w:footnote>
  <w:footnote w:id="49">
    <w:p w14:paraId="6B274759" w14:textId="77777777" w:rsidR="008261BD" w:rsidRPr="004A7404" w:rsidRDefault="008261BD"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UNEP/CHW/OEWG.11/INF/23.</w:t>
      </w:r>
    </w:p>
  </w:footnote>
  <w:footnote w:id="50">
    <w:p w14:paraId="5CE9249B" w14:textId="77777777" w:rsidR="008261BD" w:rsidRPr="004A7404" w:rsidRDefault="008261BD"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To be considered under the agenda item on financial resources of the </w:t>
      </w:r>
      <w:r w:rsidRPr="004A7404">
        <w:rPr>
          <w:rFonts w:asciiTheme="majorBidi" w:hAnsiTheme="majorBidi" w:cstheme="majorBidi"/>
          <w:iCs/>
          <w:color w:val="000000"/>
          <w:sz w:val="18"/>
          <w:szCs w:val="18"/>
          <w:lang w:val="en-US"/>
        </w:rPr>
        <w:t>fourteenth meeting of the Conference of the Parties to the Basel Convention</w:t>
      </w:r>
      <w:r w:rsidRPr="004A7404">
        <w:rPr>
          <w:rFonts w:asciiTheme="majorBidi" w:hAnsiTheme="majorBidi" w:cstheme="majorBidi"/>
          <w:sz w:val="18"/>
          <w:szCs w:val="18"/>
          <w:lang w:val="en-US"/>
        </w:rPr>
        <w:t>.</w:t>
      </w:r>
    </w:p>
  </w:footnote>
  <w:footnote w:id="51">
    <w:p w14:paraId="772E3123" w14:textId="77777777" w:rsidR="008261BD" w:rsidRPr="004A7404" w:rsidRDefault="008261BD"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Special programme to support institutional strengthening at the national level for implementation of the Basel, Rotterdam and Stockholm conventions, the Minamata Convention on Mercury and the Strategic Approach to International Chemicals Management.</w:t>
      </w:r>
    </w:p>
  </w:footnote>
  <w:footnote w:id="52">
    <w:p w14:paraId="421FFBF5" w14:textId="77777777" w:rsidR="008261BD" w:rsidRPr="004A7404" w:rsidRDefault="008261BD"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4A7404">
        <w:rPr>
          <w:rFonts w:asciiTheme="majorBidi" w:hAnsiTheme="majorBidi" w:cstheme="majorBidi"/>
          <w:sz w:val="18"/>
          <w:szCs w:val="18"/>
          <w:lang w:val="en-US"/>
        </w:rPr>
        <w:t xml:space="preserve"> To be considered under the agenda item on international cooperation and coordination of the </w:t>
      </w:r>
      <w:r w:rsidRPr="004A7404">
        <w:rPr>
          <w:rFonts w:asciiTheme="majorBidi" w:hAnsiTheme="majorBidi" w:cstheme="majorBidi"/>
          <w:iCs/>
          <w:color w:val="000000"/>
          <w:sz w:val="18"/>
          <w:szCs w:val="18"/>
          <w:lang w:val="en-US"/>
        </w:rPr>
        <w:t>fourteenth meeting of the Conference of the Parties to the Basel Convention</w:t>
      </w:r>
      <w:r w:rsidRPr="004A7404">
        <w:rPr>
          <w:rFonts w:asciiTheme="majorBidi" w:hAnsiTheme="majorBidi" w:cstheme="majorBidi"/>
          <w:sz w:val="18"/>
          <w:szCs w:val="18"/>
          <w:lang w:val="en-US"/>
        </w:rPr>
        <w:t>.</w:t>
      </w:r>
    </w:p>
  </w:footnote>
  <w:footnote w:id="53">
    <w:p w14:paraId="6011C3BD" w14:textId="77777777" w:rsidR="008261BD" w:rsidRPr="004A7404" w:rsidRDefault="008261BD" w:rsidP="004A7404">
      <w:pPr>
        <w:pStyle w:val="FootnoteText"/>
        <w:ind w:left="1253"/>
        <w:rPr>
          <w:rFonts w:asciiTheme="majorBidi" w:hAnsiTheme="majorBidi" w:cstheme="majorBidi"/>
          <w:sz w:val="18"/>
          <w:szCs w:val="18"/>
          <w:lang w:val="en-US"/>
        </w:rPr>
      </w:pPr>
      <w:r w:rsidRPr="004A7404">
        <w:rPr>
          <w:rStyle w:val="FootnoteReference"/>
          <w:rFonts w:asciiTheme="majorBidi" w:hAnsiTheme="majorBidi" w:cstheme="majorBidi"/>
          <w:sz w:val="18"/>
        </w:rPr>
        <w:footnoteRef/>
      </w:r>
      <w:r w:rsidRPr="00CF44DC">
        <w:rPr>
          <w:rFonts w:asciiTheme="majorBidi" w:hAnsiTheme="majorBidi" w:cstheme="majorBidi"/>
          <w:sz w:val="18"/>
          <w:szCs w:val="18"/>
          <w:lang w:val="en-US"/>
        </w:rPr>
        <w:t xml:space="preserve"> UNEP/CHW/OEWG.11/INF/36.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923B71" w14:textId="60201EB0" w:rsidR="00142F12" w:rsidRPr="00142F12" w:rsidRDefault="00142F12" w:rsidP="00142F12">
    <w:pPr>
      <w:pBdr>
        <w:bottom w:val="single" w:sz="4" w:space="1" w:color="auto"/>
      </w:pBdr>
      <w:tabs>
        <w:tab w:val="center" w:pos="4536"/>
        <w:tab w:val="right" w:pos="9072"/>
      </w:tabs>
      <w:spacing w:after="120"/>
      <w:rPr>
        <w:rFonts w:ascii="Times New Roman" w:hAnsi="Times New Roman"/>
        <w:b/>
        <w:sz w:val="18"/>
        <w:szCs w:val="18"/>
        <w:lang w:val="en-US"/>
      </w:rPr>
    </w:pPr>
    <w:r w:rsidRPr="00142F12">
      <w:rPr>
        <w:rFonts w:ascii="Times New Roman" w:eastAsia="Times New Roman" w:hAnsi="Times New Roman"/>
        <w:b/>
        <w:bCs/>
        <w:sz w:val="18"/>
        <w:szCs w:val="18"/>
        <w:lang w:val="en-GB"/>
      </w:rPr>
      <w:t>UNEP</w:t>
    </w:r>
    <w:r w:rsidRPr="00142F12">
      <w:rPr>
        <w:rFonts w:ascii="Times New Roman" w:eastAsia="Times New Roman" w:hAnsi="Times New Roman"/>
        <w:b/>
        <w:noProof/>
        <w:sz w:val="18"/>
        <w:szCs w:val="18"/>
        <w:lang w:val="en-GB"/>
      </w:rPr>
      <w:t>/EA.4/INF.</w:t>
    </w:r>
    <w:r>
      <w:rPr>
        <w:rFonts w:ascii="Times New Roman" w:eastAsia="Times New Roman" w:hAnsi="Times New Roman"/>
        <w:b/>
        <w:noProof/>
        <w:sz w:val="18"/>
        <w:szCs w:val="18"/>
        <w:lang w:val="en-GB"/>
      </w:rPr>
      <w:t xml:space="preserve"> </w:t>
    </w:r>
    <w:r w:rsidR="004127E3">
      <w:rPr>
        <w:rFonts w:ascii="Times New Roman" w:eastAsia="Times New Roman" w:hAnsi="Times New Roman"/>
        <w:b/>
        <w:noProof/>
        <w:sz w:val="18"/>
        <w:szCs w:val="18"/>
        <w:lang w:val="en-GB"/>
      </w:rPr>
      <w:t>X</w:t>
    </w:r>
  </w:p>
  <w:p w14:paraId="7E71A0D6" w14:textId="77777777" w:rsidR="00142F12" w:rsidRDefault="00142F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312D57" w14:textId="01574BE2" w:rsidR="004127E3" w:rsidRPr="004127E3" w:rsidRDefault="004127E3" w:rsidP="004127E3">
    <w:pPr>
      <w:pBdr>
        <w:bottom w:val="single" w:sz="4" w:space="1" w:color="auto"/>
      </w:pBdr>
      <w:tabs>
        <w:tab w:val="center" w:pos="4536"/>
        <w:tab w:val="right" w:pos="9072"/>
      </w:tabs>
      <w:spacing w:after="120"/>
      <w:rPr>
        <w:rFonts w:ascii="Times New Roman" w:hAnsi="Times New Roman"/>
        <w:b/>
        <w:sz w:val="18"/>
        <w:szCs w:val="18"/>
        <w:lang w:val="en-US"/>
      </w:rPr>
    </w:pPr>
    <w:r w:rsidRPr="004127E3">
      <w:rPr>
        <w:rFonts w:ascii="Times New Roman" w:eastAsia="Times New Roman" w:hAnsi="Times New Roman"/>
        <w:b/>
        <w:bCs/>
        <w:sz w:val="18"/>
        <w:szCs w:val="18"/>
        <w:lang w:val="en-GB"/>
      </w:rPr>
      <w:t>UNEP</w:t>
    </w:r>
    <w:r w:rsidRPr="004127E3">
      <w:rPr>
        <w:rFonts w:ascii="Times New Roman" w:eastAsia="Times New Roman" w:hAnsi="Times New Roman"/>
        <w:b/>
        <w:noProof/>
        <w:sz w:val="18"/>
        <w:szCs w:val="18"/>
        <w:lang w:val="en-GB"/>
      </w:rPr>
      <w:t>/EA.4/INF.</w:t>
    </w:r>
    <w:r w:rsidR="008001D0">
      <w:rPr>
        <w:rFonts w:ascii="Times New Roman" w:eastAsia="Times New Roman" w:hAnsi="Times New Roman"/>
        <w:b/>
        <w:noProof/>
        <w:sz w:val="18"/>
        <w:szCs w:val="18"/>
        <w:lang w:val="en-GB"/>
      </w:rPr>
      <w:t>19</w:t>
    </w:r>
  </w:p>
  <w:p w14:paraId="1BE4FA6D" w14:textId="77777777" w:rsidR="004127E3" w:rsidRDefault="004127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2C8FC3" w14:textId="411EA878" w:rsidR="00682F8D" w:rsidRDefault="00682F8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73319" w14:textId="5031C7C7" w:rsidR="00682F8D" w:rsidRDefault="00682F8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4FA08" w14:textId="636F550C" w:rsidR="00682F8D" w:rsidRDefault="00682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1113A7"/>
    <w:multiLevelType w:val="multilevel"/>
    <w:tmpl w:val="6C32478A"/>
    <w:styleLink w:val="Normallist4"/>
    <w:lvl w:ilvl="0">
      <w:start w:val="1"/>
      <w:numFmt w:val="decimal"/>
      <w:lvlText w:val="%1."/>
      <w:lvlJc w:val="left"/>
      <w:pPr>
        <w:tabs>
          <w:tab w:val="num" w:pos="567"/>
        </w:tabs>
        <w:ind w:left="1247"/>
      </w:pPr>
      <w:rPr>
        <w:rFonts w:cs="Times New Roman" w:hint="default"/>
      </w:rPr>
    </w:lvl>
    <w:lvl w:ilvl="1">
      <w:start w:val="1"/>
      <w:numFmt w:val="lowerLetter"/>
      <w:lvlText w:val="(%2)"/>
      <w:lvlJc w:val="left"/>
      <w:pPr>
        <w:tabs>
          <w:tab w:val="num" w:pos="567"/>
        </w:tabs>
        <w:ind w:left="1247" w:firstLine="567"/>
      </w:pPr>
      <w:rPr>
        <w:rFonts w:cs="Times New Roman" w:hint="default"/>
      </w:rPr>
    </w:lvl>
    <w:lvl w:ilvl="2">
      <w:start w:val="1"/>
      <w:numFmt w:val="lowerRoman"/>
      <w:lvlText w:val="(%3)"/>
      <w:lvlJc w:val="left"/>
      <w:pPr>
        <w:tabs>
          <w:tab w:val="num" w:pos="567"/>
        </w:tabs>
        <w:ind w:left="2948" w:hanging="567"/>
      </w:pPr>
      <w:rPr>
        <w:rFonts w:cs="Times New Roman" w:hint="default"/>
      </w:rPr>
    </w:lvl>
    <w:lvl w:ilvl="3">
      <w:start w:val="1"/>
      <w:numFmt w:val="lowerLetter"/>
      <w:lvlText w:val="%4."/>
      <w:lvlJc w:val="left"/>
      <w:pPr>
        <w:tabs>
          <w:tab w:val="num" w:pos="567"/>
        </w:tabs>
        <w:ind w:left="3515" w:hanging="567"/>
      </w:pPr>
      <w:rPr>
        <w:rFonts w:cs="Times New Roman" w:hint="default"/>
      </w:rPr>
    </w:lvl>
    <w:lvl w:ilvl="4">
      <w:start w:val="1"/>
      <w:numFmt w:val="lowerLetter"/>
      <w:lvlText w:val="%5."/>
      <w:lvlJc w:val="left"/>
      <w:pPr>
        <w:tabs>
          <w:tab w:val="num" w:pos="6548"/>
        </w:tabs>
        <w:ind w:left="6548" w:hanging="360"/>
      </w:pPr>
      <w:rPr>
        <w:rFonts w:cs="Times New Roman" w:hint="default"/>
      </w:rPr>
    </w:lvl>
    <w:lvl w:ilvl="5">
      <w:start w:val="1"/>
      <w:numFmt w:val="lowerRoman"/>
      <w:lvlText w:val="%6."/>
      <w:lvlJc w:val="right"/>
      <w:pPr>
        <w:tabs>
          <w:tab w:val="num" w:pos="7268"/>
        </w:tabs>
        <w:ind w:left="7268" w:hanging="180"/>
      </w:pPr>
      <w:rPr>
        <w:rFonts w:cs="Times New Roman" w:hint="default"/>
      </w:rPr>
    </w:lvl>
    <w:lvl w:ilvl="6">
      <w:start w:val="1"/>
      <w:numFmt w:val="decimal"/>
      <w:lvlText w:val="%7."/>
      <w:lvlJc w:val="left"/>
      <w:pPr>
        <w:tabs>
          <w:tab w:val="num" w:pos="7988"/>
        </w:tabs>
        <w:ind w:left="7988" w:hanging="360"/>
      </w:pPr>
      <w:rPr>
        <w:rFonts w:cs="Times New Roman" w:hint="default"/>
      </w:rPr>
    </w:lvl>
    <w:lvl w:ilvl="7">
      <w:start w:val="1"/>
      <w:numFmt w:val="lowerLetter"/>
      <w:lvlText w:val="%8."/>
      <w:lvlJc w:val="left"/>
      <w:pPr>
        <w:tabs>
          <w:tab w:val="num" w:pos="8708"/>
        </w:tabs>
        <w:ind w:left="8708" w:hanging="360"/>
      </w:pPr>
      <w:rPr>
        <w:rFonts w:cs="Times New Roman" w:hint="default"/>
      </w:rPr>
    </w:lvl>
    <w:lvl w:ilvl="8">
      <w:start w:val="1"/>
      <w:numFmt w:val="lowerRoman"/>
      <w:lvlText w:val="%9."/>
      <w:lvlJc w:val="right"/>
      <w:pPr>
        <w:tabs>
          <w:tab w:val="num" w:pos="9428"/>
        </w:tabs>
        <w:ind w:left="9428" w:hanging="180"/>
      </w:pPr>
      <w:rPr>
        <w:rFonts w:cs="Times New Roman" w:hint="default"/>
      </w:rPr>
    </w:lvl>
  </w:abstractNum>
  <w:abstractNum w:abstractNumId="1" w15:restartNumberingAfterBreak="0">
    <w:nsid w:val="1B8D2492"/>
    <w:multiLevelType w:val="hybridMultilevel"/>
    <w:tmpl w:val="4698A140"/>
    <w:lvl w:ilvl="0" w:tplc="04140001">
      <w:start w:val="1"/>
      <w:numFmt w:val="bullet"/>
      <w:lvlText w:val=""/>
      <w:lvlJc w:val="left"/>
      <w:pPr>
        <w:ind w:left="1048" w:hanging="360"/>
      </w:pPr>
      <w:rPr>
        <w:rFonts w:ascii="Symbol" w:hAnsi="Symbol" w:hint="default"/>
      </w:rPr>
    </w:lvl>
    <w:lvl w:ilvl="1" w:tplc="04140003">
      <w:start w:val="1"/>
      <w:numFmt w:val="bullet"/>
      <w:lvlText w:val="o"/>
      <w:lvlJc w:val="left"/>
      <w:pPr>
        <w:ind w:left="1768" w:hanging="360"/>
      </w:pPr>
      <w:rPr>
        <w:rFonts w:ascii="Courier New" w:hAnsi="Courier New" w:cs="Courier New" w:hint="default"/>
      </w:rPr>
    </w:lvl>
    <w:lvl w:ilvl="2" w:tplc="04140005">
      <w:start w:val="1"/>
      <w:numFmt w:val="bullet"/>
      <w:lvlText w:val=""/>
      <w:lvlJc w:val="left"/>
      <w:pPr>
        <w:ind w:left="2488" w:hanging="360"/>
      </w:pPr>
      <w:rPr>
        <w:rFonts w:ascii="Wingdings" w:hAnsi="Wingdings" w:hint="default"/>
      </w:rPr>
    </w:lvl>
    <w:lvl w:ilvl="3" w:tplc="04140001">
      <w:start w:val="1"/>
      <w:numFmt w:val="bullet"/>
      <w:lvlText w:val=""/>
      <w:lvlJc w:val="left"/>
      <w:pPr>
        <w:ind w:left="3208" w:hanging="360"/>
      </w:pPr>
      <w:rPr>
        <w:rFonts w:ascii="Symbol" w:hAnsi="Symbol" w:hint="default"/>
      </w:rPr>
    </w:lvl>
    <w:lvl w:ilvl="4" w:tplc="04140003">
      <w:start w:val="1"/>
      <w:numFmt w:val="bullet"/>
      <w:lvlText w:val="o"/>
      <w:lvlJc w:val="left"/>
      <w:pPr>
        <w:ind w:left="3928" w:hanging="360"/>
      </w:pPr>
      <w:rPr>
        <w:rFonts w:ascii="Courier New" w:hAnsi="Courier New" w:cs="Courier New" w:hint="default"/>
      </w:rPr>
    </w:lvl>
    <w:lvl w:ilvl="5" w:tplc="04140005">
      <w:start w:val="1"/>
      <w:numFmt w:val="bullet"/>
      <w:lvlText w:val=""/>
      <w:lvlJc w:val="left"/>
      <w:pPr>
        <w:ind w:left="4648" w:hanging="360"/>
      </w:pPr>
      <w:rPr>
        <w:rFonts w:ascii="Wingdings" w:hAnsi="Wingdings" w:hint="default"/>
      </w:rPr>
    </w:lvl>
    <w:lvl w:ilvl="6" w:tplc="04140001">
      <w:start w:val="1"/>
      <w:numFmt w:val="bullet"/>
      <w:lvlText w:val=""/>
      <w:lvlJc w:val="left"/>
      <w:pPr>
        <w:ind w:left="5368" w:hanging="360"/>
      </w:pPr>
      <w:rPr>
        <w:rFonts w:ascii="Symbol" w:hAnsi="Symbol" w:hint="default"/>
      </w:rPr>
    </w:lvl>
    <w:lvl w:ilvl="7" w:tplc="04140003">
      <w:start w:val="1"/>
      <w:numFmt w:val="bullet"/>
      <w:lvlText w:val="o"/>
      <w:lvlJc w:val="left"/>
      <w:pPr>
        <w:ind w:left="6088" w:hanging="360"/>
      </w:pPr>
      <w:rPr>
        <w:rFonts w:ascii="Courier New" w:hAnsi="Courier New" w:cs="Courier New" w:hint="default"/>
      </w:rPr>
    </w:lvl>
    <w:lvl w:ilvl="8" w:tplc="04140005">
      <w:start w:val="1"/>
      <w:numFmt w:val="bullet"/>
      <w:lvlText w:val=""/>
      <w:lvlJc w:val="left"/>
      <w:pPr>
        <w:ind w:left="6808" w:hanging="360"/>
      </w:pPr>
      <w:rPr>
        <w:rFonts w:ascii="Wingdings" w:hAnsi="Wingdings" w:hint="default"/>
      </w:rPr>
    </w:lvl>
  </w:abstractNum>
  <w:abstractNum w:abstractNumId="2" w15:restartNumberingAfterBreak="0">
    <w:nsid w:val="1C4B1B20"/>
    <w:multiLevelType w:val="multilevel"/>
    <w:tmpl w:val="88FA6CD6"/>
    <w:lvl w:ilvl="0">
      <w:start w:val="1"/>
      <w:numFmt w:val="decimal"/>
      <w:pStyle w:val="Level1"/>
      <w:lvlText w:val="%1."/>
      <w:lvlJc w:val="left"/>
      <w:pPr>
        <w:tabs>
          <w:tab w:val="num" w:pos="4560"/>
        </w:tabs>
        <w:ind w:left="4200" w:firstLine="0"/>
      </w:pPr>
      <w:rPr>
        <w:rFonts w:hint="default"/>
        <w:b w:val="0"/>
        <w:lang w:val="en-GB"/>
      </w:rPr>
    </w:lvl>
    <w:lvl w:ilvl="1">
      <w:start w:val="1"/>
      <w:numFmt w:val="lowerLetter"/>
      <w:lvlText w:val="(%2)"/>
      <w:lvlJc w:val="left"/>
      <w:pPr>
        <w:tabs>
          <w:tab w:val="num" w:pos="5640"/>
        </w:tabs>
        <w:ind w:left="5640" w:hanging="360"/>
      </w:pPr>
      <w:rPr>
        <w:rFonts w:hint="default"/>
      </w:rPr>
    </w:lvl>
    <w:lvl w:ilvl="2" w:tentative="1">
      <w:start w:val="1"/>
      <w:numFmt w:val="lowerRoman"/>
      <w:lvlText w:val="%3."/>
      <w:lvlJc w:val="right"/>
      <w:pPr>
        <w:tabs>
          <w:tab w:val="num" w:pos="6360"/>
        </w:tabs>
        <w:ind w:left="6360" w:hanging="180"/>
      </w:pPr>
    </w:lvl>
    <w:lvl w:ilvl="3" w:tentative="1">
      <w:start w:val="1"/>
      <w:numFmt w:val="decimal"/>
      <w:lvlText w:val="%4."/>
      <w:lvlJc w:val="left"/>
      <w:pPr>
        <w:tabs>
          <w:tab w:val="num" w:pos="7080"/>
        </w:tabs>
        <w:ind w:left="7080" w:hanging="360"/>
      </w:pPr>
    </w:lvl>
    <w:lvl w:ilvl="4" w:tentative="1">
      <w:start w:val="1"/>
      <w:numFmt w:val="lowerLetter"/>
      <w:lvlText w:val="%5."/>
      <w:lvlJc w:val="left"/>
      <w:pPr>
        <w:tabs>
          <w:tab w:val="num" w:pos="7800"/>
        </w:tabs>
        <w:ind w:left="7800" w:hanging="360"/>
      </w:pPr>
    </w:lvl>
    <w:lvl w:ilvl="5" w:tentative="1">
      <w:start w:val="1"/>
      <w:numFmt w:val="lowerRoman"/>
      <w:lvlText w:val="%6."/>
      <w:lvlJc w:val="right"/>
      <w:pPr>
        <w:tabs>
          <w:tab w:val="num" w:pos="8520"/>
        </w:tabs>
        <w:ind w:left="8520" w:hanging="180"/>
      </w:pPr>
    </w:lvl>
    <w:lvl w:ilvl="6" w:tentative="1">
      <w:start w:val="1"/>
      <w:numFmt w:val="decimal"/>
      <w:lvlText w:val="%7."/>
      <w:lvlJc w:val="left"/>
      <w:pPr>
        <w:tabs>
          <w:tab w:val="num" w:pos="9240"/>
        </w:tabs>
        <w:ind w:left="9240" w:hanging="360"/>
      </w:pPr>
    </w:lvl>
    <w:lvl w:ilvl="7" w:tentative="1">
      <w:start w:val="1"/>
      <w:numFmt w:val="lowerLetter"/>
      <w:lvlText w:val="%8."/>
      <w:lvlJc w:val="left"/>
      <w:pPr>
        <w:tabs>
          <w:tab w:val="num" w:pos="9960"/>
        </w:tabs>
        <w:ind w:left="9960" w:hanging="360"/>
      </w:pPr>
    </w:lvl>
    <w:lvl w:ilvl="8" w:tentative="1">
      <w:start w:val="1"/>
      <w:numFmt w:val="lowerRoman"/>
      <w:lvlText w:val="%9."/>
      <w:lvlJc w:val="right"/>
      <w:pPr>
        <w:tabs>
          <w:tab w:val="num" w:pos="10680"/>
        </w:tabs>
        <w:ind w:left="10680" w:hanging="180"/>
      </w:pPr>
    </w:lvl>
  </w:abstractNum>
  <w:abstractNum w:abstractNumId="3" w15:restartNumberingAfterBreak="0">
    <w:nsid w:val="223B65E2"/>
    <w:multiLevelType w:val="hybridMultilevel"/>
    <w:tmpl w:val="B90A61A8"/>
    <w:lvl w:ilvl="0" w:tplc="0409000F">
      <w:start w:val="1"/>
      <w:numFmt w:val="decimal"/>
      <w:lvlText w:val="%1."/>
      <w:lvlJc w:val="left"/>
      <w:pPr>
        <w:ind w:left="3478" w:hanging="360"/>
      </w:pPr>
      <w:rPr>
        <w:rFonts w:hint="default"/>
        <w:sz w:val="20"/>
        <w:szCs w:val="20"/>
      </w:rPr>
    </w:lvl>
    <w:lvl w:ilvl="1" w:tplc="87706EE4">
      <w:start w:val="1"/>
      <w:numFmt w:val="lowerLetter"/>
      <w:lvlText w:val="(%2)"/>
      <w:lvlJc w:val="left"/>
      <w:pPr>
        <w:ind w:left="2340" w:hanging="360"/>
      </w:pPr>
      <w:rPr>
        <w:rFonts w:hint="default"/>
      </w:r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15:restartNumberingAfterBreak="0">
    <w:nsid w:val="25AA36F0"/>
    <w:multiLevelType w:val="hybridMultilevel"/>
    <w:tmpl w:val="A530B670"/>
    <w:lvl w:ilvl="0" w:tplc="3F82DB7A">
      <w:start w:val="1"/>
      <w:numFmt w:val="lowerLetter"/>
      <w:lvlText w:val="(%1)"/>
      <w:lvlJc w:val="left"/>
      <w:pPr>
        <w:ind w:left="1720" w:hanging="360"/>
      </w:pPr>
      <w:rPr>
        <w:rFonts w:ascii="Times New Roman" w:hAnsi="Times New Roman" w:cs="Times New Roman" w:hint="default"/>
        <w:b w:val="0"/>
        <w:i w:val="0"/>
        <w:sz w:val="20"/>
      </w:rPr>
    </w:lvl>
    <w:lvl w:ilvl="1" w:tplc="04090019" w:tentative="1">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5" w15:restartNumberingAfterBreak="0">
    <w:nsid w:val="2B923D5E"/>
    <w:multiLevelType w:val="hybridMultilevel"/>
    <w:tmpl w:val="1BB09DF2"/>
    <w:lvl w:ilvl="0" w:tplc="072C78F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A56F5A2">
      <w:start w:val="1"/>
      <w:numFmt w:val="decimal"/>
      <w:lvlText w:val="%4."/>
      <w:lvlJc w:val="left"/>
      <w:pPr>
        <w:ind w:left="2880" w:hanging="360"/>
      </w:pPr>
      <w:rPr>
        <w:i w:val="0"/>
        <w:iCs w:val="0"/>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2B5044"/>
    <w:multiLevelType w:val="hybridMultilevel"/>
    <w:tmpl w:val="89B44D14"/>
    <w:lvl w:ilvl="0" w:tplc="1C96196A">
      <w:start w:val="1"/>
      <w:numFmt w:val="upperRoman"/>
      <w:lvlText w:val="%1."/>
      <w:lvlJc w:val="right"/>
      <w:pPr>
        <w:ind w:left="2136" w:hanging="360"/>
      </w:pPr>
      <w:rPr>
        <w:rFonts w:ascii="Times New Roman" w:hAnsi="Times New Roman" w:cs="Times New Roman" w:hint="default"/>
        <w:b/>
      </w:rPr>
    </w:lvl>
    <w:lvl w:ilvl="1" w:tplc="04090019">
      <w:start w:val="1"/>
      <w:numFmt w:val="lowerLetter"/>
      <w:lvlText w:val="%2."/>
      <w:lvlJc w:val="left"/>
      <w:pPr>
        <w:ind w:left="2856" w:hanging="360"/>
      </w:pPr>
    </w:lvl>
    <w:lvl w:ilvl="2" w:tplc="90B4E644">
      <w:numFmt w:val="bullet"/>
      <w:lvlText w:val="-"/>
      <w:lvlJc w:val="left"/>
      <w:pPr>
        <w:ind w:left="3756" w:hanging="360"/>
      </w:pPr>
      <w:rPr>
        <w:rFonts w:ascii="Times New Roman" w:eastAsia="Calibri" w:hAnsi="Times New Roman" w:cs="Times New Roman" w:hint="default"/>
      </w:rPr>
    </w:lvl>
    <w:lvl w:ilvl="3" w:tplc="0409000F" w:tentative="1">
      <w:start w:val="1"/>
      <w:numFmt w:val="decimal"/>
      <w:lvlText w:val="%4."/>
      <w:lvlJc w:val="left"/>
      <w:pPr>
        <w:ind w:left="4296" w:hanging="360"/>
      </w:pPr>
    </w:lvl>
    <w:lvl w:ilvl="4" w:tplc="04090019" w:tentative="1">
      <w:start w:val="1"/>
      <w:numFmt w:val="lowerLetter"/>
      <w:lvlText w:val="%5."/>
      <w:lvlJc w:val="left"/>
      <w:pPr>
        <w:ind w:left="5016" w:hanging="360"/>
      </w:pPr>
    </w:lvl>
    <w:lvl w:ilvl="5" w:tplc="0409001B" w:tentative="1">
      <w:start w:val="1"/>
      <w:numFmt w:val="lowerRoman"/>
      <w:lvlText w:val="%6."/>
      <w:lvlJc w:val="right"/>
      <w:pPr>
        <w:ind w:left="5736" w:hanging="180"/>
      </w:pPr>
    </w:lvl>
    <w:lvl w:ilvl="6" w:tplc="0409000F" w:tentative="1">
      <w:start w:val="1"/>
      <w:numFmt w:val="decimal"/>
      <w:lvlText w:val="%7."/>
      <w:lvlJc w:val="left"/>
      <w:pPr>
        <w:ind w:left="6456" w:hanging="360"/>
      </w:pPr>
    </w:lvl>
    <w:lvl w:ilvl="7" w:tplc="04090019" w:tentative="1">
      <w:start w:val="1"/>
      <w:numFmt w:val="lowerLetter"/>
      <w:lvlText w:val="%8."/>
      <w:lvlJc w:val="left"/>
      <w:pPr>
        <w:ind w:left="7176" w:hanging="360"/>
      </w:pPr>
    </w:lvl>
    <w:lvl w:ilvl="8" w:tplc="0409001B" w:tentative="1">
      <w:start w:val="1"/>
      <w:numFmt w:val="lowerRoman"/>
      <w:lvlText w:val="%9."/>
      <w:lvlJc w:val="right"/>
      <w:pPr>
        <w:ind w:left="7896" w:hanging="180"/>
      </w:pPr>
    </w:lvl>
  </w:abstractNum>
  <w:abstractNum w:abstractNumId="7" w15:restartNumberingAfterBreak="0">
    <w:nsid w:val="46DF100E"/>
    <w:multiLevelType w:val="hybridMultilevel"/>
    <w:tmpl w:val="FDCAD97E"/>
    <w:lvl w:ilvl="0" w:tplc="06F06CD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9591EFF"/>
    <w:multiLevelType w:val="hybridMultilevel"/>
    <w:tmpl w:val="86283CEE"/>
    <w:lvl w:ilvl="0" w:tplc="0409000F">
      <w:start w:val="1"/>
      <w:numFmt w:val="decimal"/>
      <w:lvlText w:val="%1."/>
      <w:lvlJc w:val="left"/>
      <w:pPr>
        <w:ind w:left="3157" w:hanging="360"/>
      </w:pPr>
    </w:lvl>
    <w:lvl w:ilvl="1" w:tplc="04090019">
      <w:start w:val="1"/>
      <w:numFmt w:val="lowerLetter"/>
      <w:lvlText w:val="%2."/>
      <w:lvlJc w:val="left"/>
      <w:pPr>
        <w:ind w:left="3877" w:hanging="360"/>
      </w:pPr>
    </w:lvl>
    <w:lvl w:ilvl="2" w:tplc="0409001B">
      <w:start w:val="1"/>
      <w:numFmt w:val="lowerRoman"/>
      <w:lvlText w:val="%3."/>
      <w:lvlJc w:val="right"/>
      <w:pPr>
        <w:ind w:left="4597" w:hanging="180"/>
      </w:pPr>
    </w:lvl>
    <w:lvl w:ilvl="3" w:tplc="0409000F">
      <w:start w:val="1"/>
      <w:numFmt w:val="decimal"/>
      <w:lvlText w:val="%4."/>
      <w:lvlJc w:val="left"/>
      <w:pPr>
        <w:ind w:left="5317" w:hanging="360"/>
      </w:pPr>
    </w:lvl>
    <w:lvl w:ilvl="4" w:tplc="04090019">
      <w:start w:val="1"/>
      <w:numFmt w:val="lowerLetter"/>
      <w:lvlText w:val="%5."/>
      <w:lvlJc w:val="left"/>
      <w:pPr>
        <w:ind w:left="6037" w:hanging="360"/>
      </w:pPr>
    </w:lvl>
    <w:lvl w:ilvl="5" w:tplc="0409001B">
      <w:start w:val="1"/>
      <w:numFmt w:val="lowerRoman"/>
      <w:lvlText w:val="%6."/>
      <w:lvlJc w:val="right"/>
      <w:pPr>
        <w:ind w:left="6757" w:hanging="180"/>
      </w:pPr>
    </w:lvl>
    <w:lvl w:ilvl="6" w:tplc="0409000F">
      <w:start w:val="1"/>
      <w:numFmt w:val="decimal"/>
      <w:lvlText w:val="%7."/>
      <w:lvlJc w:val="left"/>
      <w:pPr>
        <w:ind w:left="7477" w:hanging="360"/>
      </w:pPr>
    </w:lvl>
    <w:lvl w:ilvl="7" w:tplc="04090019">
      <w:start w:val="1"/>
      <w:numFmt w:val="lowerLetter"/>
      <w:lvlText w:val="%8."/>
      <w:lvlJc w:val="left"/>
      <w:pPr>
        <w:ind w:left="8197" w:hanging="360"/>
      </w:pPr>
    </w:lvl>
    <w:lvl w:ilvl="8" w:tplc="0409001B">
      <w:start w:val="1"/>
      <w:numFmt w:val="lowerRoman"/>
      <w:lvlText w:val="%9."/>
      <w:lvlJc w:val="right"/>
      <w:pPr>
        <w:ind w:left="8917" w:hanging="180"/>
      </w:pPr>
    </w:lvl>
  </w:abstractNum>
  <w:abstractNum w:abstractNumId="9" w15:restartNumberingAfterBreak="0">
    <w:nsid w:val="509528F2"/>
    <w:multiLevelType w:val="hybridMultilevel"/>
    <w:tmpl w:val="41F832C8"/>
    <w:lvl w:ilvl="0" w:tplc="0409000F">
      <w:start w:val="1"/>
      <w:numFmt w:val="decimal"/>
      <w:lvlText w:val="%1."/>
      <w:lvlJc w:val="left"/>
      <w:pPr>
        <w:ind w:left="3478" w:hanging="360"/>
      </w:pPr>
      <w:rPr>
        <w:rFonts w:hint="default"/>
        <w:sz w:val="20"/>
        <w:szCs w:val="20"/>
      </w:rPr>
    </w:lvl>
    <w:lvl w:ilvl="1" w:tplc="34B80620">
      <w:start w:val="1"/>
      <w:numFmt w:val="lowerLetter"/>
      <w:lvlText w:val="(%2)"/>
      <w:lvlJc w:val="left"/>
      <w:pPr>
        <w:ind w:left="2340" w:hanging="360"/>
      </w:pPr>
      <w:rPr>
        <w:rFonts w:ascii="Times New Roman" w:eastAsia="Times New Roman" w:hAnsi="Times New Roman" w:cs="Times New Roman"/>
      </w:r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 w15:restartNumberingAfterBreak="0">
    <w:nsid w:val="50EA6435"/>
    <w:multiLevelType w:val="hybridMultilevel"/>
    <w:tmpl w:val="2B82712E"/>
    <w:lvl w:ilvl="0" w:tplc="072C78F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A56F5A2">
      <w:start w:val="1"/>
      <w:numFmt w:val="decimal"/>
      <w:lvlText w:val="%4."/>
      <w:lvlJc w:val="left"/>
      <w:pPr>
        <w:ind w:left="2880" w:hanging="360"/>
      </w:pPr>
      <w:rPr>
        <w:i w:val="0"/>
        <w:iCs w:val="0"/>
      </w:rPr>
    </w:lvl>
    <w:lvl w:ilvl="4" w:tplc="87706EE4">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A66A9D"/>
    <w:multiLevelType w:val="multilevel"/>
    <w:tmpl w:val="48241D10"/>
    <w:styleLink w:val="Normallist"/>
    <w:lvl w:ilvl="0">
      <w:start w:val="1"/>
      <w:numFmt w:val="decimal"/>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12" w15:restartNumberingAfterBreak="0">
    <w:nsid w:val="5B714121"/>
    <w:multiLevelType w:val="hybridMultilevel"/>
    <w:tmpl w:val="9BAC7F5C"/>
    <w:lvl w:ilvl="0" w:tplc="8A50BD44">
      <w:start w:val="1"/>
      <w:numFmt w:val="decimal"/>
      <w:lvlText w:val="%1."/>
      <w:lvlJc w:val="left"/>
      <w:pPr>
        <w:ind w:left="2231" w:hanging="360"/>
      </w:pPr>
      <w:rPr>
        <w:i w:val="0"/>
        <w:color w:val="000000"/>
      </w:rPr>
    </w:lvl>
    <w:lvl w:ilvl="1" w:tplc="08090019">
      <w:start w:val="1"/>
      <w:numFmt w:val="lowerLetter"/>
      <w:lvlText w:val="%2."/>
      <w:lvlJc w:val="left"/>
      <w:pPr>
        <w:ind w:left="2951" w:hanging="360"/>
      </w:pPr>
    </w:lvl>
    <w:lvl w:ilvl="2" w:tplc="0809001B">
      <w:start w:val="1"/>
      <w:numFmt w:val="lowerRoman"/>
      <w:lvlText w:val="%3."/>
      <w:lvlJc w:val="right"/>
      <w:pPr>
        <w:ind w:left="3671" w:hanging="180"/>
      </w:pPr>
    </w:lvl>
    <w:lvl w:ilvl="3" w:tplc="0809000F">
      <w:start w:val="1"/>
      <w:numFmt w:val="decimal"/>
      <w:lvlText w:val="%4."/>
      <w:lvlJc w:val="left"/>
      <w:pPr>
        <w:ind w:left="4391" w:hanging="360"/>
      </w:pPr>
    </w:lvl>
    <w:lvl w:ilvl="4" w:tplc="08090019">
      <w:start w:val="1"/>
      <w:numFmt w:val="lowerLetter"/>
      <w:lvlText w:val="%5."/>
      <w:lvlJc w:val="left"/>
      <w:pPr>
        <w:ind w:left="5111" w:hanging="360"/>
      </w:pPr>
    </w:lvl>
    <w:lvl w:ilvl="5" w:tplc="0809001B">
      <w:start w:val="1"/>
      <w:numFmt w:val="lowerRoman"/>
      <w:lvlText w:val="%6."/>
      <w:lvlJc w:val="right"/>
      <w:pPr>
        <w:ind w:left="5831" w:hanging="180"/>
      </w:pPr>
    </w:lvl>
    <w:lvl w:ilvl="6" w:tplc="0809000F">
      <w:start w:val="1"/>
      <w:numFmt w:val="decimal"/>
      <w:lvlText w:val="%7."/>
      <w:lvlJc w:val="left"/>
      <w:pPr>
        <w:ind w:left="6551" w:hanging="360"/>
      </w:pPr>
    </w:lvl>
    <w:lvl w:ilvl="7" w:tplc="08090019">
      <w:start w:val="1"/>
      <w:numFmt w:val="lowerLetter"/>
      <w:lvlText w:val="%8."/>
      <w:lvlJc w:val="left"/>
      <w:pPr>
        <w:ind w:left="7271" w:hanging="360"/>
      </w:pPr>
    </w:lvl>
    <w:lvl w:ilvl="8" w:tplc="0809001B">
      <w:start w:val="1"/>
      <w:numFmt w:val="lowerRoman"/>
      <w:lvlText w:val="%9."/>
      <w:lvlJc w:val="right"/>
      <w:pPr>
        <w:ind w:left="7991" w:hanging="180"/>
      </w:pPr>
    </w:lvl>
  </w:abstractNum>
  <w:abstractNum w:abstractNumId="13" w15:restartNumberingAfterBreak="0">
    <w:nsid w:val="5D5E2CCE"/>
    <w:multiLevelType w:val="hybridMultilevel"/>
    <w:tmpl w:val="A9E8D936"/>
    <w:lvl w:ilvl="0" w:tplc="86BC4E74">
      <w:start w:val="1"/>
      <w:numFmt w:val="decimal"/>
      <w:lvlText w:val="%1."/>
      <w:lvlJc w:val="left"/>
      <w:pPr>
        <w:ind w:left="1775" w:hanging="360"/>
      </w:pPr>
      <w:rPr>
        <w:b w:val="0"/>
        <w:sz w:val="20"/>
        <w:szCs w:val="20"/>
      </w:rPr>
    </w:lvl>
    <w:lvl w:ilvl="1" w:tplc="3F82DB7A">
      <w:start w:val="1"/>
      <w:numFmt w:val="lowerLetter"/>
      <w:lvlText w:val="(%2)"/>
      <w:lvlJc w:val="left"/>
      <w:pPr>
        <w:ind w:left="1720" w:hanging="360"/>
      </w:pPr>
      <w:rPr>
        <w:rFonts w:ascii="Times New Roman" w:hAnsi="Times New Roman" w:cs="Times New Roman" w:hint="default"/>
        <w:b w:val="0"/>
        <w:i w:val="0"/>
        <w:sz w:val="20"/>
      </w:rPr>
    </w:lvl>
    <w:lvl w:ilvl="2" w:tplc="100C001B">
      <w:start w:val="1"/>
      <w:numFmt w:val="lowerRoman"/>
      <w:lvlText w:val="%3."/>
      <w:lvlJc w:val="right"/>
      <w:pPr>
        <w:ind w:left="2440" w:hanging="180"/>
      </w:pPr>
    </w:lvl>
    <w:lvl w:ilvl="3" w:tplc="100C000F">
      <w:start w:val="1"/>
      <w:numFmt w:val="decimal"/>
      <w:lvlText w:val="%4."/>
      <w:lvlJc w:val="left"/>
      <w:pPr>
        <w:ind w:left="3160" w:hanging="360"/>
      </w:pPr>
    </w:lvl>
    <w:lvl w:ilvl="4" w:tplc="100C0019">
      <w:start w:val="1"/>
      <w:numFmt w:val="lowerLetter"/>
      <w:lvlText w:val="%5."/>
      <w:lvlJc w:val="left"/>
      <w:pPr>
        <w:ind w:left="3880" w:hanging="360"/>
      </w:pPr>
    </w:lvl>
    <w:lvl w:ilvl="5" w:tplc="100C001B">
      <w:start w:val="1"/>
      <w:numFmt w:val="lowerRoman"/>
      <w:lvlText w:val="%6."/>
      <w:lvlJc w:val="right"/>
      <w:pPr>
        <w:ind w:left="4600" w:hanging="180"/>
      </w:pPr>
    </w:lvl>
    <w:lvl w:ilvl="6" w:tplc="100C000F">
      <w:start w:val="1"/>
      <w:numFmt w:val="decimal"/>
      <w:lvlText w:val="%7."/>
      <w:lvlJc w:val="left"/>
      <w:pPr>
        <w:ind w:left="5320" w:hanging="360"/>
      </w:pPr>
    </w:lvl>
    <w:lvl w:ilvl="7" w:tplc="100C0019">
      <w:start w:val="1"/>
      <w:numFmt w:val="lowerLetter"/>
      <w:lvlText w:val="%8."/>
      <w:lvlJc w:val="left"/>
      <w:pPr>
        <w:ind w:left="6040" w:hanging="360"/>
      </w:pPr>
    </w:lvl>
    <w:lvl w:ilvl="8" w:tplc="100C001B">
      <w:start w:val="1"/>
      <w:numFmt w:val="lowerRoman"/>
      <w:lvlText w:val="%9."/>
      <w:lvlJc w:val="right"/>
      <w:pPr>
        <w:ind w:left="6760" w:hanging="180"/>
      </w:pPr>
    </w:lvl>
  </w:abstractNum>
  <w:num w:numId="1">
    <w:abstractNumId w:val="13"/>
  </w:num>
  <w:num w:numId="2">
    <w:abstractNumId w:val="0"/>
  </w:num>
  <w:num w:numId="3">
    <w:abstractNumId w:val="2"/>
  </w:num>
  <w:num w:numId="4">
    <w:abstractNumId w:val="4"/>
  </w:num>
  <w:num w:numId="5">
    <w:abstractNumId w:val="6"/>
  </w:num>
  <w:num w:numId="6">
    <w:abstractNumId w:val="11"/>
  </w:num>
  <w:num w:numId="7">
    <w:abstractNumId w:val="7"/>
  </w:num>
  <w:num w:numId="8">
    <w:abstractNumId w:val="9"/>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5"/>
  </w:num>
  <w:num w:numId="13">
    <w:abstractNumId w:val="10"/>
  </w:num>
  <w:num w:numId="14">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6"/>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6A7"/>
    <w:rsid w:val="000011A6"/>
    <w:rsid w:val="0000658A"/>
    <w:rsid w:val="00020FBE"/>
    <w:rsid w:val="00026801"/>
    <w:rsid w:val="00027314"/>
    <w:rsid w:val="00030062"/>
    <w:rsid w:val="0003217F"/>
    <w:rsid w:val="0003347A"/>
    <w:rsid w:val="000335A1"/>
    <w:rsid w:val="00033895"/>
    <w:rsid w:val="00033D42"/>
    <w:rsid w:val="00035C46"/>
    <w:rsid w:val="0003623A"/>
    <w:rsid w:val="0003746B"/>
    <w:rsid w:val="000402F6"/>
    <w:rsid w:val="00041F36"/>
    <w:rsid w:val="00042A90"/>
    <w:rsid w:val="00046211"/>
    <w:rsid w:val="00047016"/>
    <w:rsid w:val="00053838"/>
    <w:rsid w:val="000662E7"/>
    <w:rsid w:val="00067D79"/>
    <w:rsid w:val="00071F66"/>
    <w:rsid w:val="0007243B"/>
    <w:rsid w:val="00077131"/>
    <w:rsid w:val="00081E3F"/>
    <w:rsid w:val="0008695B"/>
    <w:rsid w:val="00091390"/>
    <w:rsid w:val="00092FE6"/>
    <w:rsid w:val="00094786"/>
    <w:rsid w:val="00094CD2"/>
    <w:rsid w:val="00097222"/>
    <w:rsid w:val="000A0F92"/>
    <w:rsid w:val="000A303A"/>
    <w:rsid w:val="000B1B97"/>
    <w:rsid w:val="000B5A68"/>
    <w:rsid w:val="000B618E"/>
    <w:rsid w:val="000D2701"/>
    <w:rsid w:val="000D4A1F"/>
    <w:rsid w:val="000E2D72"/>
    <w:rsid w:val="000F035E"/>
    <w:rsid w:val="000F09AA"/>
    <w:rsid w:val="000F40B9"/>
    <w:rsid w:val="00100B14"/>
    <w:rsid w:val="001044A1"/>
    <w:rsid w:val="001074D5"/>
    <w:rsid w:val="0011199E"/>
    <w:rsid w:val="00115AAF"/>
    <w:rsid w:val="00121712"/>
    <w:rsid w:val="001238ED"/>
    <w:rsid w:val="00123E68"/>
    <w:rsid w:val="00125017"/>
    <w:rsid w:val="00126F44"/>
    <w:rsid w:val="00131602"/>
    <w:rsid w:val="001357AB"/>
    <w:rsid w:val="00135FB6"/>
    <w:rsid w:val="0013704B"/>
    <w:rsid w:val="00141387"/>
    <w:rsid w:val="001420AE"/>
    <w:rsid w:val="00142F12"/>
    <w:rsid w:val="00143791"/>
    <w:rsid w:val="00144A3E"/>
    <w:rsid w:val="00146BE0"/>
    <w:rsid w:val="0015009A"/>
    <w:rsid w:val="001524D5"/>
    <w:rsid w:val="0015399F"/>
    <w:rsid w:val="00153B95"/>
    <w:rsid w:val="0016496C"/>
    <w:rsid w:val="00165157"/>
    <w:rsid w:val="00166462"/>
    <w:rsid w:val="00170257"/>
    <w:rsid w:val="00181B04"/>
    <w:rsid w:val="00186BA7"/>
    <w:rsid w:val="00186E5C"/>
    <w:rsid w:val="001A1F89"/>
    <w:rsid w:val="001A301D"/>
    <w:rsid w:val="001A3171"/>
    <w:rsid w:val="001A3AF1"/>
    <w:rsid w:val="001A5BB3"/>
    <w:rsid w:val="001C02D5"/>
    <w:rsid w:val="001C1399"/>
    <w:rsid w:val="001C1E22"/>
    <w:rsid w:val="001C215E"/>
    <w:rsid w:val="001C7791"/>
    <w:rsid w:val="001D4846"/>
    <w:rsid w:val="001D5847"/>
    <w:rsid w:val="001D7C76"/>
    <w:rsid w:val="001E0F0B"/>
    <w:rsid w:val="001E19FF"/>
    <w:rsid w:val="001E4644"/>
    <w:rsid w:val="001E46E7"/>
    <w:rsid w:val="001E5573"/>
    <w:rsid w:val="001F5AE1"/>
    <w:rsid w:val="001F66F0"/>
    <w:rsid w:val="001F7330"/>
    <w:rsid w:val="001F77FD"/>
    <w:rsid w:val="00201372"/>
    <w:rsid w:val="00202FBA"/>
    <w:rsid w:val="00203E18"/>
    <w:rsid w:val="00205F87"/>
    <w:rsid w:val="00212068"/>
    <w:rsid w:val="002202DE"/>
    <w:rsid w:val="00221E6C"/>
    <w:rsid w:val="00224F36"/>
    <w:rsid w:val="00232B65"/>
    <w:rsid w:val="00235566"/>
    <w:rsid w:val="00236EC1"/>
    <w:rsid w:val="00241E74"/>
    <w:rsid w:val="00242191"/>
    <w:rsid w:val="00244646"/>
    <w:rsid w:val="002459F4"/>
    <w:rsid w:val="002520AA"/>
    <w:rsid w:val="002522A0"/>
    <w:rsid w:val="002562D8"/>
    <w:rsid w:val="00265743"/>
    <w:rsid w:val="00272F4A"/>
    <w:rsid w:val="002827E0"/>
    <w:rsid w:val="00284BCF"/>
    <w:rsid w:val="00286A3E"/>
    <w:rsid w:val="00286B26"/>
    <w:rsid w:val="002876A5"/>
    <w:rsid w:val="0029363A"/>
    <w:rsid w:val="00297D32"/>
    <w:rsid w:val="002A16CF"/>
    <w:rsid w:val="002A41E2"/>
    <w:rsid w:val="002A5BC3"/>
    <w:rsid w:val="002A6A49"/>
    <w:rsid w:val="002A7B47"/>
    <w:rsid w:val="002B20C5"/>
    <w:rsid w:val="002B3719"/>
    <w:rsid w:val="002B5244"/>
    <w:rsid w:val="002C0C4E"/>
    <w:rsid w:val="002C4BCA"/>
    <w:rsid w:val="002C7145"/>
    <w:rsid w:val="002D0F97"/>
    <w:rsid w:val="002D1599"/>
    <w:rsid w:val="002D1B4D"/>
    <w:rsid w:val="002D26A6"/>
    <w:rsid w:val="002D323E"/>
    <w:rsid w:val="002E1D8E"/>
    <w:rsid w:val="002E5433"/>
    <w:rsid w:val="002E61CC"/>
    <w:rsid w:val="002E64A3"/>
    <w:rsid w:val="002E75D4"/>
    <w:rsid w:val="002E7B60"/>
    <w:rsid w:val="002F2ADC"/>
    <w:rsid w:val="002F2DBB"/>
    <w:rsid w:val="002F6359"/>
    <w:rsid w:val="002F6451"/>
    <w:rsid w:val="00301C5F"/>
    <w:rsid w:val="0030334B"/>
    <w:rsid w:val="00304056"/>
    <w:rsid w:val="00307995"/>
    <w:rsid w:val="00310366"/>
    <w:rsid w:val="003114F2"/>
    <w:rsid w:val="003139B0"/>
    <w:rsid w:val="00313EE6"/>
    <w:rsid w:val="00315EC4"/>
    <w:rsid w:val="00317769"/>
    <w:rsid w:val="00317989"/>
    <w:rsid w:val="00322014"/>
    <w:rsid w:val="00322204"/>
    <w:rsid w:val="00322B30"/>
    <w:rsid w:val="00326382"/>
    <w:rsid w:val="003300FD"/>
    <w:rsid w:val="003346D5"/>
    <w:rsid w:val="003355E2"/>
    <w:rsid w:val="003422F7"/>
    <w:rsid w:val="00344C91"/>
    <w:rsid w:val="003468A1"/>
    <w:rsid w:val="00346CE5"/>
    <w:rsid w:val="00350C27"/>
    <w:rsid w:val="00351D27"/>
    <w:rsid w:val="00351D68"/>
    <w:rsid w:val="003523AF"/>
    <w:rsid w:val="00354CE5"/>
    <w:rsid w:val="00363FC8"/>
    <w:rsid w:val="00364021"/>
    <w:rsid w:val="00364FA0"/>
    <w:rsid w:val="00367428"/>
    <w:rsid w:val="00375BC8"/>
    <w:rsid w:val="0037631D"/>
    <w:rsid w:val="00380DAB"/>
    <w:rsid w:val="003821E5"/>
    <w:rsid w:val="003827FC"/>
    <w:rsid w:val="003837CE"/>
    <w:rsid w:val="003846E1"/>
    <w:rsid w:val="003848EB"/>
    <w:rsid w:val="003875E3"/>
    <w:rsid w:val="00390192"/>
    <w:rsid w:val="00390692"/>
    <w:rsid w:val="00390F53"/>
    <w:rsid w:val="0039737B"/>
    <w:rsid w:val="003A1004"/>
    <w:rsid w:val="003A23D4"/>
    <w:rsid w:val="003A2594"/>
    <w:rsid w:val="003A33B7"/>
    <w:rsid w:val="003A5393"/>
    <w:rsid w:val="003A723A"/>
    <w:rsid w:val="003B14F8"/>
    <w:rsid w:val="003B392B"/>
    <w:rsid w:val="003C021C"/>
    <w:rsid w:val="003C0B24"/>
    <w:rsid w:val="003D09EA"/>
    <w:rsid w:val="003D1C27"/>
    <w:rsid w:val="003D29BD"/>
    <w:rsid w:val="003D2F6C"/>
    <w:rsid w:val="003D4A62"/>
    <w:rsid w:val="003D5E65"/>
    <w:rsid w:val="003E095E"/>
    <w:rsid w:val="003E0CD6"/>
    <w:rsid w:val="003E3FC0"/>
    <w:rsid w:val="003E5890"/>
    <w:rsid w:val="003F275B"/>
    <w:rsid w:val="003F4175"/>
    <w:rsid w:val="003F5302"/>
    <w:rsid w:val="003F7681"/>
    <w:rsid w:val="0040013B"/>
    <w:rsid w:val="004014F7"/>
    <w:rsid w:val="00401F70"/>
    <w:rsid w:val="004108C0"/>
    <w:rsid w:val="00410A80"/>
    <w:rsid w:val="004127E3"/>
    <w:rsid w:val="00412F34"/>
    <w:rsid w:val="0041551E"/>
    <w:rsid w:val="004166DC"/>
    <w:rsid w:val="00416BE7"/>
    <w:rsid w:val="00421FC2"/>
    <w:rsid w:val="00427920"/>
    <w:rsid w:val="00436D6A"/>
    <w:rsid w:val="00444861"/>
    <w:rsid w:val="00446450"/>
    <w:rsid w:val="00447627"/>
    <w:rsid w:val="00452705"/>
    <w:rsid w:val="00453C17"/>
    <w:rsid w:val="004548EE"/>
    <w:rsid w:val="00457358"/>
    <w:rsid w:val="00457667"/>
    <w:rsid w:val="00462667"/>
    <w:rsid w:val="0046267E"/>
    <w:rsid w:val="00462C19"/>
    <w:rsid w:val="00463102"/>
    <w:rsid w:val="00472F91"/>
    <w:rsid w:val="00474A3D"/>
    <w:rsid w:val="00482853"/>
    <w:rsid w:val="004837A9"/>
    <w:rsid w:val="004906C8"/>
    <w:rsid w:val="00491AD9"/>
    <w:rsid w:val="00492AB1"/>
    <w:rsid w:val="00493BA3"/>
    <w:rsid w:val="004940C2"/>
    <w:rsid w:val="004950D0"/>
    <w:rsid w:val="004A2C19"/>
    <w:rsid w:val="004A7404"/>
    <w:rsid w:val="004B0173"/>
    <w:rsid w:val="004B593B"/>
    <w:rsid w:val="004D71B2"/>
    <w:rsid w:val="004E16FF"/>
    <w:rsid w:val="004E4620"/>
    <w:rsid w:val="004E6404"/>
    <w:rsid w:val="004E7102"/>
    <w:rsid w:val="004F6259"/>
    <w:rsid w:val="004F747C"/>
    <w:rsid w:val="00501688"/>
    <w:rsid w:val="00502C87"/>
    <w:rsid w:val="00504B67"/>
    <w:rsid w:val="00506C07"/>
    <w:rsid w:val="005073EC"/>
    <w:rsid w:val="00513107"/>
    <w:rsid w:val="0051780A"/>
    <w:rsid w:val="00525843"/>
    <w:rsid w:val="00530CFF"/>
    <w:rsid w:val="0053346D"/>
    <w:rsid w:val="005337A5"/>
    <w:rsid w:val="005377A9"/>
    <w:rsid w:val="005402BF"/>
    <w:rsid w:val="005542F4"/>
    <w:rsid w:val="00565480"/>
    <w:rsid w:val="00565DA7"/>
    <w:rsid w:val="00571A09"/>
    <w:rsid w:val="00572813"/>
    <w:rsid w:val="0057545B"/>
    <w:rsid w:val="00575E12"/>
    <w:rsid w:val="0057631E"/>
    <w:rsid w:val="0057723F"/>
    <w:rsid w:val="005812B8"/>
    <w:rsid w:val="00581389"/>
    <w:rsid w:val="00586701"/>
    <w:rsid w:val="00586B0D"/>
    <w:rsid w:val="00591185"/>
    <w:rsid w:val="00594B0A"/>
    <w:rsid w:val="00596492"/>
    <w:rsid w:val="005A064B"/>
    <w:rsid w:val="005A6F2B"/>
    <w:rsid w:val="005B29A7"/>
    <w:rsid w:val="005B3C7A"/>
    <w:rsid w:val="005B590B"/>
    <w:rsid w:val="005C15AE"/>
    <w:rsid w:val="005C3CF9"/>
    <w:rsid w:val="005C49EE"/>
    <w:rsid w:val="005C5722"/>
    <w:rsid w:val="005D04D2"/>
    <w:rsid w:val="005D5352"/>
    <w:rsid w:val="005D5535"/>
    <w:rsid w:val="005D5873"/>
    <w:rsid w:val="005E00D1"/>
    <w:rsid w:val="005E3588"/>
    <w:rsid w:val="005E468B"/>
    <w:rsid w:val="005E689E"/>
    <w:rsid w:val="005F69D7"/>
    <w:rsid w:val="006052F0"/>
    <w:rsid w:val="0061336C"/>
    <w:rsid w:val="006169B1"/>
    <w:rsid w:val="00623C16"/>
    <w:rsid w:val="00634A3D"/>
    <w:rsid w:val="00640607"/>
    <w:rsid w:val="0064342F"/>
    <w:rsid w:val="00645477"/>
    <w:rsid w:val="0065325C"/>
    <w:rsid w:val="00654744"/>
    <w:rsid w:val="00654FB6"/>
    <w:rsid w:val="006600ED"/>
    <w:rsid w:val="0066233A"/>
    <w:rsid w:val="006646C4"/>
    <w:rsid w:val="00664FF3"/>
    <w:rsid w:val="006659BC"/>
    <w:rsid w:val="006661A2"/>
    <w:rsid w:val="00674D1A"/>
    <w:rsid w:val="00674FD4"/>
    <w:rsid w:val="00682F8D"/>
    <w:rsid w:val="006864D8"/>
    <w:rsid w:val="0069337B"/>
    <w:rsid w:val="00696FF3"/>
    <w:rsid w:val="006A0918"/>
    <w:rsid w:val="006A7FEB"/>
    <w:rsid w:val="006B0249"/>
    <w:rsid w:val="006B22C6"/>
    <w:rsid w:val="006B4329"/>
    <w:rsid w:val="006C506B"/>
    <w:rsid w:val="006C74D4"/>
    <w:rsid w:val="006D0D91"/>
    <w:rsid w:val="006D3061"/>
    <w:rsid w:val="006D4942"/>
    <w:rsid w:val="006D51B2"/>
    <w:rsid w:val="006E1D8A"/>
    <w:rsid w:val="006E2DC8"/>
    <w:rsid w:val="006F2D09"/>
    <w:rsid w:val="006F3C13"/>
    <w:rsid w:val="006F748C"/>
    <w:rsid w:val="006F7B5C"/>
    <w:rsid w:val="0070729A"/>
    <w:rsid w:val="00711273"/>
    <w:rsid w:val="0071205E"/>
    <w:rsid w:val="00712403"/>
    <w:rsid w:val="00720447"/>
    <w:rsid w:val="00720AA4"/>
    <w:rsid w:val="007229F9"/>
    <w:rsid w:val="00723ECD"/>
    <w:rsid w:val="00724A05"/>
    <w:rsid w:val="00724D21"/>
    <w:rsid w:val="00730B77"/>
    <w:rsid w:val="00731A3B"/>
    <w:rsid w:val="00733789"/>
    <w:rsid w:val="00733A55"/>
    <w:rsid w:val="00733F53"/>
    <w:rsid w:val="00743C5A"/>
    <w:rsid w:val="007453F1"/>
    <w:rsid w:val="00746F7B"/>
    <w:rsid w:val="007507D0"/>
    <w:rsid w:val="00753019"/>
    <w:rsid w:val="00755A41"/>
    <w:rsid w:val="00757EF9"/>
    <w:rsid w:val="00764BDA"/>
    <w:rsid w:val="00764DCE"/>
    <w:rsid w:val="007671D2"/>
    <w:rsid w:val="00767C8E"/>
    <w:rsid w:val="0077109A"/>
    <w:rsid w:val="0077281F"/>
    <w:rsid w:val="00774E3A"/>
    <w:rsid w:val="007846C3"/>
    <w:rsid w:val="0078574C"/>
    <w:rsid w:val="00785EB2"/>
    <w:rsid w:val="007878B5"/>
    <w:rsid w:val="00791932"/>
    <w:rsid w:val="007933AC"/>
    <w:rsid w:val="007A096F"/>
    <w:rsid w:val="007A1981"/>
    <w:rsid w:val="007A3E90"/>
    <w:rsid w:val="007A42F6"/>
    <w:rsid w:val="007A46E9"/>
    <w:rsid w:val="007A4958"/>
    <w:rsid w:val="007A4AC9"/>
    <w:rsid w:val="007A5965"/>
    <w:rsid w:val="007A5A51"/>
    <w:rsid w:val="007B1870"/>
    <w:rsid w:val="007B201A"/>
    <w:rsid w:val="007B2DC1"/>
    <w:rsid w:val="007B35CA"/>
    <w:rsid w:val="007B3A17"/>
    <w:rsid w:val="007B5995"/>
    <w:rsid w:val="007C15B0"/>
    <w:rsid w:val="007C6744"/>
    <w:rsid w:val="007C7465"/>
    <w:rsid w:val="007D5A6C"/>
    <w:rsid w:val="007D5DB7"/>
    <w:rsid w:val="007E0F69"/>
    <w:rsid w:val="007E126C"/>
    <w:rsid w:val="007E6ECB"/>
    <w:rsid w:val="007F05B7"/>
    <w:rsid w:val="007F272A"/>
    <w:rsid w:val="007F4F63"/>
    <w:rsid w:val="007F7A43"/>
    <w:rsid w:val="008001D0"/>
    <w:rsid w:val="008010F9"/>
    <w:rsid w:val="00803956"/>
    <w:rsid w:val="00804197"/>
    <w:rsid w:val="00804D5A"/>
    <w:rsid w:val="00812B05"/>
    <w:rsid w:val="0081630C"/>
    <w:rsid w:val="008209A9"/>
    <w:rsid w:val="008213B5"/>
    <w:rsid w:val="0082155F"/>
    <w:rsid w:val="00821F5F"/>
    <w:rsid w:val="00824718"/>
    <w:rsid w:val="008261BD"/>
    <w:rsid w:val="00826299"/>
    <w:rsid w:val="00830CD9"/>
    <w:rsid w:val="00833ED2"/>
    <w:rsid w:val="008429B4"/>
    <w:rsid w:val="00850E5E"/>
    <w:rsid w:val="00851EDA"/>
    <w:rsid w:val="00855DF3"/>
    <w:rsid w:val="0085604F"/>
    <w:rsid w:val="00857164"/>
    <w:rsid w:val="00857900"/>
    <w:rsid w:val="0086071F"/>
    <w:rsid w:val="00862CAA"/>
    <w:rsid w:val="00865DD3"/>
    <w:rsid w:val="00865E80"/>
    <w:rsid w:val="00867004"/>
    <w:rsid w:val="0086729C"/>
    <w:rsid w:val="008730A5"/>
    <w:rsid w:val="00873B8C"/>
    <w:rsid w:val="00875678"/>
    <w:rsid w:val="00875B15"/>
    <w:rsid w:val="00876FFF"/>
    <w:rsid w:val="008805BC"/>
    <w:rsid w:val="00886047"/>
    <w:rsid w:val="00887706"/>
    <w:rsid w:val="008946BB"/>
    <w:rsid w:val="008A1EA9"/>
    <w:rsid w:val="008B1E63"/>
    <w:rsid w:val="008B253B"/>
    <w:rsid w:val="008B390A"/>
    <w:rsid w:val="008B5501"/>
    <w:rsid w:val="008C0966"/>
    <w:rsid w:val="008D4E61"/>
    <w:rsid w:val="008D7344"/>
    <w:rsid w:val="008E223B"/>
    <w:rsid w:val="008E23D7"/>
    <w:rsid w:val="008E4BCE"/>
    <w:rsid w:val="008F3278"/>
    <w:rsid w:val="008F42B9"/>
    <w:rsid w:val="008F547B"/>
    <w:rsid w:val="008F58DE"/>
    <w:rsid w:val="00903D8B"/>
    <w:rsid w:val="00906EE2"/>
    <w:rsid w:val="00913875"/>
    <w:rsid w:val="00913B9B"/>
    <w:rsid w:val="009146EE"/>
    <w:rsid w:val="00916148"/>
    <w:rsid w:val="0091651F"/>
    <w:rsid w:val="00917323"/>
    <w:rsid w:val="00920B12"/>
    <w:rsid w:val="0092581A"/>
    <w:rsid w:val="00930854"/>
    <w:rsid w:val="009348B8"/>
    <w:rsid w:val="00936F44"/>
    <w:rsid w:val="0093718E"/>
    <w:rsid w:val="00941154"/>
    <w:rsid w:val="009457D2"/>
    <w:rsid w:val="00956C0D"/>
    <w:rsid w:val="0095762C"/>
    <w:rsid w:val="009630FE"/>
    <w:rsid w:val="0096576D"/>
    <w:rsid w:val="009666D2"/>
    <w:rsid w:val="0096759C"/>
    <w:rsid w:val="0097343A"/>
    <w:rsid w:val="00973B44"/>
    <w:rsid w:val="00974E19"/>
    <w:rsid w:val="00981C9E"/>
    <w:rsid w:val="00986434"/>
    <w:rsid w:val="0099706B"/>
    <w:rsid w:val="0099780F"/>
    <w:rsid w:val="009A0080"/>
    <w:rsid w:val="009A076C"/>
    <w:rsid w:val="009A2438"/>
    <w:rsid w:val="009A3089"/>
    <w:rsid w:val="009A7AD5"/>
    <w:rsid w:val="009B1ABC"/>
    <w:rsid w:val="009B648B"/>
    <w:rsid w:val="009C04B3"/>
    <w:rsid w:val="009C08DD"/>
    <w:rsid w:val="009C1EEC"/>
    <w:rsid w:val="009C2FDD"/>
    <w:rsid w:val="009C51CD"/>
    <w:rsid w:val="009C56A7"/>
    <w:rsid w:val="009D06C8"/>
    <w:rsid w:val="009D0F90"/>
    <w:rsid w:val="009D45AF"/>
    <w:rsid w:val="009D5541"/>
    <w:rsid w:val="009E1B24"/>
    <w:rsid w:val="009E40BB"/>
    <w:rsid w:val="009E6803"/>
    <w:rsid w:val="009E73D5"/>
    <w:rsid w:val="009F0E78"/>
    <w:rsid w:val="009F25B6"/>
    <w:rsid w:val="009F3DA2"/>
    <w:rsid w:val="009F5FC5"/>
    <w:rsid w:val="009F771E"/>
    <w:rsid w:val="00A00D71"/>
    <w:rsid w:val="00A05CB2"/>
    <w:rsid w:val="00A068AA"/>
    <w:rsid w:val="00A06DEB"/>
    <w:rsid w:val="00A07AF4"/>
    <w:rsid w:val="00A10708"/>
    <w:rsid w:val="00A120F6"/>
    <w:rsid w:val="00A1210E"/>
    <w:rsid w:val="00A13471"/>
    <w:rsid w:val="00A14C52"/>
    <w:rsid w:val="00A15775"/>
    <w:rsid w:val="00A26052"/>
    <w:rsid w:val="00A26107"/>
    <w:rsid w:val="00A2701E"/>
    <w:rsid w:val="00A36355"/>
    <w:rsid w:val="00A41AEB"/>
    <w:rsid w:val="00A422A9"/>
    <w:rsid w:val="00A42965"/>
    <w:rsid w:val="00A42CBF"/>
    <w:rsid w:val="00A44612"/>
    <w:rsid w:val="00A62A9A"/>
    <w:rsid w:val="00A653B8"/>
    <w:rsid w:val="00A6580D"/>
    <w:rsid w:val="00A72FA0"/>
    <w:rsid w:val="00A7723C"/>
    <w:rsid w:val="00A77458"/>
    <w:rsid w:val="00A81C55"/>
    <w:rsid w:val="00A82F8B"/>
    <w:rsid w:val="00A8313F"/>
    <w:rsid w:val="00A84447"/>
    <w:rsid w:val="00A85618"/>
    <w:rsid w:val="00A85F3F"/>
    <w:rsid w:val="00A87646"/>
    <w:rsid w:val="00A937FF"/>
    <w:rsid w:val="00A95C30"/>
    <w:rsid w:val="00A96D42"/>
    <w:rsid w:val="00AA1831"/>
    <w:rsid w:val="00AA3118"/>
    <w:rsid w:val="00AA5452"/>
    <w:rsid w:val="00AA5A68"/>
    <w:rsid w:val="00AA5BE4"/>
    <w:rsid w:val="00AA6310"/>
    <w:rsid w:val="00AB1B77"/>
    <w:rsid w:val="00AB322A"/>
    <w:rsid w:val="00AB385E"/>
    <w:rsid w:val="00AB45E3"/>
    <w:rsid w:val="00AC005D"/>
    <w:rsid w:val="00AC3078"/>
    <w:rsid w:val="00AC3792"/>
    <w:rsid w:val="00AC6183"/>
    <w:rsid w:val="00AD0375"/>
    <w:rsid w:val="00AD13C5"/>
    <w:rsid w:val="00AD35EA"/>
    <w:rsid w:val="00AD6A97"/>
    <w:rsid w:val="00AD75CF"/>
    <w:rsid w:val="00AE0B77"/>
    <w:rsid w:val="00AE6887"/>
    <w:rsid w:val="00AF0383"/>
    <w:rsid w:val="00AF2AF8"/>
    <w:rsid w:val="00AF750C"/>
    <w:rsid w:val="00AF77ED"/>
    <w:rsid w:val="00AF7F25"/>
    <w:rsid w:val="00B00244"/>
    <w:rsid w:val="00B203A0"/>
    <w:rsid w:val="00B21FFE"/>
    <w:rsid w:val="00B324F0"/>
    <w:rsid w:val="00B345D8"/>
    <w:rsid w:val="00B40E90"/>
    <w:rsid w:val="00B413E7"/>
    <w:rsid w:val="00B42293"/>
    <w:rsid w:val="00B45E9B"/>
    <w:rsid w:val="00B462D1"/>
    <w:rsid w:val="00B4670E"/>
    <w:rsid w:val="00B51A81"/>
    <w:rsid w:val="00B539CB"/>
    <w:rsid w:val="00B562B1"/>
    <w:rsid w:val="00B5693C"/>
    <w:rsid w:val="00B56F56"/>
    <w:rsid w:val="00B6088C"/>
    <w:rsid w:val="00B624D2"/>
    <w:rsid w:val="00B6262B"/>
    <w:rsid w:val="00B6311B"/>
    <w:rsid w:val="00B63E33"/>
    <w:rsid w:val="00B6626F"/>
    <w:rsid w:val="00B706F0"/>
    <w:rsid w:val="00B70DA1"/>
    <w:rsid w:val="00B716D8"/>
    <w:rsid w:val="00B73809"/>
    <w:rsid w:val="00B80B23"/>
    <w:rsid w:val="00B818AA"/>
    <w:rsid w:val="00B8367E"/>
    <w:rsid w:val="00B8750A"/>
    <w:rsid w:val="00B90905"/>
    <w:rsid w:val="00B91C7B"/>
    <w:rsid w:val="00B95CC3"/>
    <w:rsid w:val="00B96473"/>
    <w:rsid w:val="00BB17E7"/>
    <w:rsid w:val="00BB6944"/>
    <w:rsid w:val="00BC0DA9"/>
    <w:rsid w:val="00BC1A6A"/>
    <w:rsid w:val="00BC41A3"/>
    <w:rsid w:val="00BC58C1"/>
    <w:rsid w:val="00BC5C89"/>
    <w:rsid w:val="00BC68AB"/>
    <w:rsid w:val="00BC798F"/>
    <w:rsid w:val="00BD1389"/>
    <w:rsid w:val="00BD2178"/>
    <w:rsid w:val="00BE0612"/>
    <w:rsid w:val="00BE2BA4"/>
    <w:rsid w:val="00BE625B"/>
    <w:rsid w:val="00BE677A"/>
    <w:rsid w:val="00BF484D"/>
    <w:rsid w:val="00BF58DB"/>
    <w:rsid w:val="00BF6864"/>
    <w:rsid w:val="00C028AE"/>
    <w:rsid w:val="00C04501"/>
    <w:rsid w:val="00C05F59"/>
    <w:rsid w:val="00C07010"/>
    <w:rsid w:val="00C11517"/>
    <w:rsid w:val="00C15A69"/>
    <w:rsid w:val="00C16562"/>
    <w:rsid w:val="00C25A3D"/>
    <w:rsid w:val="00C26792"/>
    <w:rsid w:val="00C27790"/>
    <w:rsid w:val="00C3089C"/>
    <w:rsid w:val="00C3715A"/>
    <w:rsid w:val="00C42F99"/>
    <w:rsid w:val="00C44F3D"/>
    <w:rsid w:val="00C4707A"/>
    <w:rsid w:val="00C509DA"/>
    <w:rsid w:val="00C516DF"/>
    <w:rsid w:val="00C522DA"/>
    <w:rsid w:val="00C52C69"/>
    <w:rsid w:val="00C54537"/>
    <w:rsid w:val="00C6101B"/>
    <w:rsid w:val="00C66C6C"/>
    <w:rsid w:val="00C67B3B"/>
    <w:rsid w:val="00C7022B"/>
    <w:rsid w:val="00C7370C"/>
    <w:rsid w:val="00C77A57"/>
    <w:rsid w:val="00C80BC3"/>
    <w:rsid w:val="00C85384"/>
    <w:rsid w:val="00C8670C"/>
    <w:rsid w:val="00C8677B"/>
    <w:rsid w:val="00C90E35"/>
    <w:rsid w:val="00C92AE0"/>
    <w:rsid w:val="00C9362F"/>
    <w:rsid w:val="00C949A6"/>
    <w:rsid w:val="00CA0312"/>
    <w:rsid w:val="00CA1CD8"/>
    <w:rsid w:val="00CA419F"/>
    <w:rsid w:val="00CB7649"/>
    <w:rsid w:val="00CC198A"/>
    <w:rsid w:val="00CC288A"/>
    <w:rsid w:val="00CC394B"/>
    <w:rsid w:val="00CD1C1E"/>
    <w:rsid w:val="00CD5FB2"/>
    <w:rsid w:val="00CD6D5F"/>
    <w:rsid w:val="00CE07F0"/>
    <w:rsid w:val="00CE1CAB"/>
    <w:rsid w:val="00CE1F2F"/>
    <w:rsid w:val="00CE5DBD"/>
    <w:rsid w:val="00CF0C3D"/>
    <w:rsid w:val="00CF12F9"/>
    <w:rsid w:val="00CF2697"/>
    <w:rsid w:val="00CF44DC"/>
    <w:rsid w:val="00CF6A94"/>
    <w:rsid w:val="00D11CFD"/>
    <w:rsid w:val="00D204AF"/>
    <w:rsid w:val="00D2307A"/>
    <w:rsid w:val="00D23DD3"/>
    <w:rsid w:val="00D32F28"/>
    <w:rsid w:val="00D33C7E"/>
    <w:rsid w:val="00D43AB9"/>
    <w:rsid w:val="00D4535B"/>
    <w:rsid w:val="00D456C6"/>
    <w:rsid w:val="00D523D9"/>
    <w:rsid w:val="00D54433"/>
    <w:rsid w:val="00D63736"/>
    <w:rsid w:val="00D63870"/>
    <w:rsid w:val="00D6598B"/>
    <w:rsid w:val="00D65EB6"/>
    <w:rsid w:val="00D749B4"/>
    <w:rsid w:val="00D74BA0"/>
    <w:rsid w:val="00D80F5B"/>
    <w:rsid w:val="00D83F87"/>
    <w:rsid w:val="00D87014"/>
    <w:rsid w:val="00D90328"/>
    <w:rsid w:val="00D9211E"/>
    <w:rsid w:val="00D92224"/>
    <w:rsid w:val="00D9294C"/>
    <w:rsid w:val="00DA5476"/>
    <w:rsid w:val="00DA597A"/>
    <w:rsid w:val="00DA65A4"/>
    <w:rsid w:val="00DA6C1B"/>
    <w:rsid w:val="00DA6ED8"/>
    <w:rsid w:val="00DB0B52"/>
    <w:rsid w:val="00DB13EB"/>
    <w:rsid w:val="00DB214E"/>
    <w:rsid w:val="00DB309B"/>
    <w:rsid w:val="00DB7691"/>
    <w:rsid w:val="00DB7D23"/>
    <w:rsid w:val="00DC3836"/>
    <w:rsid w:val="00DC5900"/>
    <w:rsid w:val="00DC65AA"/>
    <w:rsid w:val="00DC7A51"/>
    <w:rsid w:val="00DC7FB4"/>
    <w:rsid w:val="00DD03D5"/>
    <w:rsid w:val="00DD6CD7"/>
    <w:rsid w:val="00DD7920"/>
    <w:rsid w:val="00DE152A"/>
    <w:rsid w:val="00DE381E"/>
    <w:rsid w:val="00DF3D2E"/>
    <w:rsid w:val="00DF6488"/>
    <w:rsid w:val="00E042E5"/>
    <w:rsid w:val="00E056A8"/>
    <w:rsid w:val="00E061D3"/>
    <w:rsid w:val="00E06234"/>
    <w:rsid w:val="00E073F6"/>
    <w:rsid w:val="00E07ACB"/>
    <w:rsid w:val="00E11920"/>
    <w:rsid w:val="00E1394F"/>
    <w:rsid w:val="00E20FC6"/>
    <w:rsid w:val="00E25E67"/>
    <w:rsid w:val="00E260C9"/>
    <w:rsid w:val="00E31359"/>
    <w:rsid w:val="00E413B0"/>
    <w:rsid w:val="00E44440"/>
    <w:rsid w:val="00E44EB4"/>
    <w:rsid w:val="00E46042"/>
    <w:rsid w:val="00E539C0"/>
    <w:rsid w:val="00E56A31"/>
    <w:rsid w:val="00E61B1D"/>
    <w:rsid w:val="00E70236"/>
    <w:rsid w:val="00E7406E"/>
    <w:rsid w:val="00E7416D"/>
    <w:rsid w:val="00E76A19"/>
    <w:rsid w:val="00E83BD0"/>
    <w:rsid w:val="00E87BB2"/>
    <w:rsid w:val="00E90D14"/>
    <w:rsid w:val="00E91BA7"/>
    <w:rsid w:val="00E93750"/>
    <w:rsid w:val="00EA65D4"/>
    <w:rsid w:val="00EA735E"/>
    <w:rsid w:val="00EB10AC"/>
    <w:rsid w:val="00EB2EE6"/>
    <w:rsid w:val="00EB3E5E"/>
    <w:rsid w:val="00EB607D"/>
    <w:rsid w:val="00EC1181"/>
    <w:rsid w:val="00EC1C3C"/>
    <w:rsid w:val="00EC369D"/>
    <w:rsid w:val="00EC58C6"/>
    <w:rsid w:val="00EC619E"/>
    <w:rsid w:val="00ED0B17"/>
    <w:rsid w:val="00ED16A8"/>
    <w:rsid w:val="00ED5688"/>
    <w:rsid w:val="00ED7AD2"/>
    <w:rsid w:val="00EE6827"/>
    <w:rsid w:val="00EE6D68"/>
    <w:rsid w:val="00EE791D"/>
    <w:rsid w:val="00EF26A5"/>
    <w:rsid w:val="00EF628F"/>
    <w:rsid w:val="00F013F6"/>
    <w:rsid w:val="00F10887"/>
    <w:rsid w:val="00F1680C"/>
    <w:rsid w:val="00F20719"/>
    <w:rsid w:val="00F22CE7"/>
    <w:rsid w:val="00F232E0"/>
    <w:rsid w:val="00F266EF"/>
    <w:rsid w:val="00F26C1F"/>
    <w:rsid w:val="00F2771F"/>
    <w:rsid w:val="00F2788D"/>
    <w:rsid w:val="00F33AEE"/>
    <w:rsid w:val="00F34E93"/>
    <w:rsid w:val="00F36E1C"/>
    <w:rsid w:val="00F40C2E"/>
    <w:rsid w:val="00F43402"/>
    <w:rsid w:val="00F53CAF"/>
    <w:rsid w:val="00F6459F"/>
    <w:rsid w:val="00F64854"/>
    <w:rsid w:val="00F70985"/>
    <w:rsid w:val="00F71D3E"/>
    <w:rsid w:val="00F74C7C"/>
    <w:rsid w:val="00F7551D"/>
    <w:rsid w:val="00F81F01"/>
    <w:rsid w:val="00F83308"/>
    <w:rsid w:val="00F83351"/>
    <w:rsid w:val="00F834C0"/>
    <w:rsid w:val="00F83735"/>
    <w:rsid w:val="00F8730D"/>
    <w:rsid w:val="00F93415"/>
    <w:rsid w:val="00F94556"/>
    <w:rsid w:val="00FA0150"/>
    <w:rsid w:val="00FA2E7E"/>
    <w:rsid w:val="00FB1B0B"/>
    <w:rsid w:val="00FB1B6B"/>
    <w:rsid w:val="00FB2A42"/>
    <w:rsid w:val="00FB5191"/>
    <w:rsid w:val="00FC0F63"/>
    <w:rsid w:val="00FC1D21"/>
    <w:rsid w:val="00FC398D"/>
    <w:rsid w:val="00FC4D27"/>
    <w:rsid w:val="00FD2C8E"/>
    <w:rsid w:val="00FD5712"/>
    <w:rsid w:val="00FE10EF"/>
    <w:rsid w:val="00FE12AF"/>
    <w:rsid w:val="00FE460B"/>
    <w:rsid w:val="00FE51A4"/>
    <w:rsid w:val="00FE7424"/>
    <w:rsid w:val="00FF1B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7DDC9B"/>
  <w15:docId w15:val="{F586761F-7C76-443E-8A22-6697097E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7330"/>
    <w:pPr>
      <w:spacing w:after="200" w:line="276" w:lineRule="auto"/>
    </w:pPr>
    <w:rPr>
      <w:sz w:val="22"/>
      <w:szCs w:val="22"/>
      <w:lang w:val="fr-CH"/>
    </w:rPr>
  </w:style>
  <w:style w:type="paragraph" w:styleId="Heading1">
    <w:name w:val="heading 1"/>
    <w:basedOn w:val="Normal"/>
    <w:link w:val="Heading1Char"/>
    <w:uiPriority w:val="9"/>
    <w:qFormat/>
    <w:rsid w:val="00A82F8B"/>
    <w:pPr>
      <w:spacing w:before="100" w:beforeAutospacing="1" w:after="100" w:afterAutospacing="1" w:line="240" w:lineRule="auto"/>
      <w:outlineLvl w:val="0"/>
    </w:pPr>
    <w:rPr>
      <w:rFonts w:ascii="Georgia" w:eastAsia="Times New Roman" w:hAnsi="Georgia"/>
      <w:b/>
      <w:bCs/>
      <w:color w:val="003399"/>
      <w:kern w:val="36"/>
      <w:sz w:val="30"/>
      <w:szCs w:val="3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Geneva 9,Font: Geneva 9,Boston 10,DNV-FT,f,FOOTNOTES,fn,single space,footnote3,Geneva,92,Font:,Boston,10,Footnote Text Rail EIS,ft,Footnotes,Footnote ak,fn cafc,Footnotes Char Char,Footnote Text Char Char,fn Char Char,footnote text,93,Char"/>
    <w:basedOn w:val="Normal"/>
    <w:link w:val="FootnoteTextChar"/>
    <w:unhideWhenUsed/>
    <w:qFormat/>
    <w:rsid w:val="009C56A7"/>
    <w:pPr>
      <w:spacing w:after="0" w:line="240" w:lineRule="auto"/>
    </w:pPr>
    <w:rPr>
      <w:sz w:val="20"/>
      <w:szCs w:val="20"/>
    </w:rPr>
  </w:style>
  <w:style w:type="character" w:customStyle="1" w:styleId="FootnoteTextChar">
    <w:name w:val="Footnote Text Char"/>
    <w:aliases w:val="Geneva 9 Char,Font: Geneva 9 Char,Boston 10 Char,DNV-FT Char,f Char,FOOTNOTES Char,fn Char,single space Char,footnote3 Char,Geneva Char,92 Char,Font: Char,Boston Char,10 Char,Footnote Text Rail EIS Char,ft Char,Footnotes Char,93 Char"/>
    <w:basedOn w:val="DefaultParagraphFont"/>
    <w:link w:val="FootnoteText"/>
    <w:uiPriority w:val="99"/>
    <w:rsid w:val="009C56A7"/>
    <w:rPr>
      <w:sz w:val="20"/>
      <w:szCs w:val="20"/>
    </w:rPr>
  </w:style>
  <w:style w:type="character" w:styleId="FootnoteReference">
    <w:name w:val="footnote reference"/>
    <w:aliases w:val="16 Point,Superscript 6 Point,ftref,(Ref. de nota al pie),number,SUPERS,Footnote Reference Superscript,Footnote Reference1,Ref,de nota al pie,註腳內容,de nota al pie + (Asian) MS Mincho,11 pt,Ref. de nota de rodapé1,Footnote,stylish,Text2"/>
    <w:link w:val="BVIfnrCharCharCharChar"/>
    <w:qFormat/>
    <w:rsid w:val="009C56A7"/>
    <w:rPr>
      <w:rFonts w:ascii="Times New Roman" w:hAnsi="Times New Roman"/>
      <w:color w:val="auto"/>
      <w:sz w:val="20"/>
      <w:szCs w:val="18"/>
      <w:vertAlign w:val="superscript"/>
    </w:rPr>
  </w:style>
  <w:style w:type="character" w:styleId="Hyperlink">
    <w:name w:val="Hyperlink"/>
    <w:rsid w:val="009C56A7"/>
    <w:rPr>
      <w:rFonts w:ascii="Times New Roman" w:hAnsi="Times New Roman"/>
      <w:color w:val="auto"/>
      <w:sz w:val="20"/>
      <w:szCs w:val="20"/>
      <w:u w:val="none"/>
      <w:lang w:val="fr-FR"/>
    </w:rPr>
  </w:style>
  <w:style w:type="paragraph" w:customStyle="1" w:styleId="ZZAnxheader">
    <w:name w:val="ZZ_Anx_header"/>
    <w:basedOn w:val="Normal"/>
    <w:rsid w:val="00654744"/>
    <w:pPr>
      <w:tabs>
        <w:tab w:val="left" w:pos="1247"/>
        <w:tab w:val="left" w:pos="1814"/>
        <w:tab w:val="left" w:pos="2381"/>
        <w:tab w:val="left" w:pos="2948"/>
        <w:tab w:val="left" w:pos="3515"/>
      </w:tabs>
      <w:spacing w:after="0" w:line="240" w:lineRule="auto"/>
    </w:pPr>
    <w:rPr>
      <w:rFonts w:ascii="Times New Roman" w:eastAsia="Times New Roman" w:hAnsi="Times New Roman"/>
      <w:b/>
      <w:bCs/>
      <w:sz w:val="28"/>
      <w:lang w:val="en-GB" w:eastAsia="fr-CH"/>
    </w:rPr>
  </w:style>
  <w:style w:type="paragraph" w:styleId="BalloonText">
    <w:name w:val="Balloon Text"/>
    <w:basedOn w:val="Normal"/>
    <w:link w:val="BalloonTextChar"/>
    <w:uiPriority w:val="99"/>
    <w:semiHidden/>
    <w:unhideWhenUsed/>
    <w:rsid w:val="00F934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3415"/>
    <w:rPr>
      <w:rFonts w:ascii="Tahoma" w:hAnsi="Tahoma" w:cs="Tahoma"/>
      <w:sz w:val="16"/>
      <w:szCs w:val="16"/>
      <w:lang w:eastAsia="en-US"/>
    </w:rPr>
  </w:style>
  <w:style w:type="character" w:styleId="CommentReference">
    <w:name w:val="annotation reference"/>
    <w:basedOn w:val="DefaultParagraphFont"/>
    <w:uiPriority w:val="99"/>
    <w:semiHidden/>
    <w:unhideWhenUsed/>
    <w:rsid w:val="00C8670C"/>
    <w:rPr>
      <w:sz w:val="16"/>
      <w:szCs w:val="16"/>
    </w:rPr>
  </w:style>
  <w:style w:type="paragraph" w:styleId="CommentText">
    <w:name w:val="annotation text"/>
    <w:basedOn w:val="Normal"/>
    <w:link w:val="CommentTextChar"/>
    <w:uiPriority w:val="99"/>
    <w:unhideWhenUsed/>
    <w:rsid w:val="00C8670C"/>
    <w:rPr>
      <w:sz w:val="20"/>
      <w:szCs w:val="20"/>
    </w:rPr>
  </w:style>
  <w:style w:type="character" w:customStyle="1" w:styleId="CommentTextChar">
    <w:name w:val="Comment Text Char"/>
    <w:basedOn w:val="DefaultParagraphFont"/>
    <w:link w:val="CommentText"/>
    <w:uiPriority w:val="99"/>
    <w:rsid w:val="00C8670C"/>
    <w:rPr>
      <w:lang w:eastAsia="en-US"/>
    </w:rPr>
  </w:style>
  <w:style w:type="paragraph" w:styleId="CommentSubject">
    <w:name w:val="annotation subject"/>
    <w:basedOn w:val="CommentText"/>
    <w:next w:val="CommentText"/>
    <w:link w:val="CommentSubjectChar"/>
    <w:uiPriority w:val="99"/>
    <w:semiHidden/>
    <w:unhideWhenUsed/>
    <w:rsid w:val="00C8670C"/>
    <w:rPr>
      <w:b/>
      <w:bCs/>
    </w:rPr>
  </w:style>
  <w:style w:type="character" w:customStyle="1" w:styleId="CommentSubjectChar">
    <w:name w:val="Comment Subject Char"/>
    <w:basedOn w:val="CommentTextChar"/>
    <w:link w:val="CommentSubject"/>
    <w:uiPriority w:val="99"/>
    <w:semiHidden/>
    <w:rsid w:val="00C8670C"/>
    <w:rPr>
      <w:b/>
      <w:bCs/>
      <w:lang w:eastAsia="en-US"/>
    </w:rPr>
  </w:style>
  <w:style w:type="paragraph" w:customStyle="1" w:styleId="Normalnumber">
    <w:name w:val="Normal_number"/>
    <w:basedOn w:val="Normal"/>
    <w:link w:val="NormalnumberChar"/>
    <w:rsid w:val="00202FBA"/>
    <w:pPr>
      <w:tabs>
        <w:tab w:val="left" w:pos="1247"/>
        <w:tab w:val="left" w:pos="1814"/>
        <w:tab w:val="left" w:pos="2381"/>
        <w:tab w:val="left" w:pos="2948"/>
        <w:tab w:val="left" w:pos="3515"/>
      </w:tabs>
      <w:spacing w:after="120" w:line="240" w:lineRule="auto"/>
    </w:pPr>
    <w:rPr>
      <w:rFonts w:ascii="Times New Roman" w:eastAsia="Times New Roman" w:hAnsi="Times New Roman"/>
      <w:sz w:val="20"/>
      <w:szCs w:val="20"/>
      <w:lang w:val="en-GB"/>
    </w:rPr>
  </w:style>
  <w:style w:type="character" w:customStyle="1" w:styleId="NormalnumberChar">
    <w:name w:val="Normal_number Char"/>
    <w:link w:val="Normalnumber"/>
    <w:locked/>
    <w:rsid w:val="00202FBA"/>
    <w:rPr>
      <w:rFonts w:ascii="Times New Roman" w:eastAsia="Times New Roman" w:hAnsi="Times New Roman"/>
      <w:lang w:val="en-GB" w:eastAsia="en-US"/>
    </w:rPr>
  </w:style>
  <w:style w:type="numbering" w:customStyle="1" w:styleId="Normallist4">
    <w:name w:val="Normal_list4"/>
    <w:rsid w:val="00AA5452"/>
    <w:pPr>
      <w:numPr>
        <w:numId w:val="2"/>
      </w:numPr>
    </w:pPr>
  </w:style>
  <w:style w:type="paragraph" w:styleId="Revision">
    <w:name w:val="Revision"/>
    <w:hidden/>
    <w:uiPriority w:val="99"/>
    <w:semiHidden/>
    <w:rsid w:val="001E19FF"/>
    <w:rPr>
      <w:sz w:val="22"/>
      <w:szCs w:val="22"/>
      <w:lang w:val="fr-CH"/>
    </w:rPr>
  </w:style>
  <w:style w:type="paragraph" w:styleId="ListParagraph">
    <w:name w:val="List Paragraph"/>
    <w:aliases w:val="Unordered List,List Paragraph 2,Dot pt,F5 List Paragraph,List Paragraph1,No Spacing1,List Paragraph Char Char Char,Indicator Text,Numbered Para 1,Bullet 1,List Paragraph12,Bullet Points,MAIN CONTENT,Colorful List - Accent 11"/>
    <w:basedOn w:val="Normal"/>
    <w:link w:val="ListParagraphChar"/>
    <w:uiPriority w:val="34"/>
    <w:qFormat/>
    <w:rsid w:val="00AD35EA"/>
    <w:pPr>
      <w:ind w:left="720"/>
      <w:contextualSpacing/>
    </w:pPr>
  </w:style>
  <w:style w:type="paragraph" w:customStyle="1" w:styleId="StyleLinespacingAtleast115pt">
    <w:name w:val="Style Line spacing:  At least 1.15 pt"/>
    <w:basedOn w:val="Normal"/>
    <w:rsid w:val="00CD1C1E"/>
    <w:pPr>
      <w:tabs>
        <w:tab w:val="left" w:pos="1247"/>
        <w:tab w:val="left" w:pos="1814"/>
        <w:tab w:val="left" w:pos="2381"/>
        <w:tab w:val="left" w:pos="2948"/>
        <w:tab w:val="left" w:pos="3515"/>
      </w:tabs>
      <w:spacing w:after="120" w:line="23" w:lineRule="atLeast"/>
    </w:pPr>
    <w:rPr>
      <w:rFonts w:ascii="Times New Roman" w:eastAsia="Times New Roman" w:hAnsi="Times New Roman"/>
      <w:sz w:val="20"/>
      <w:szCs w:val="20"/>
      <w:lang w:val="en-GB"/>
    </w:rPr>
  </w:style>
  <w:style w:type="numbering" w:customStyle="1" w:styleId="Normallist41">
    <w:name w:val="Normal_list41"/>
    <w:rsid w:val="00C7022B"/>
  </w:style>
  <w:style w:type="paragraph" w:styleId="NormalWeb">
    <w:name w:val="Normal (Web)"/>
    <w:basedOn w:val="Normal"/>
    <w:uiPriority w:val="99"/>
    <w:semiHidden/>
    <w:unhideWhenUsed/>
    <w:rsid w:val="002B3719"/>
    <w:pPr>
      <w:spacing w:before="100" w:beforeAutospacing="1" w:after="100" w:afterAutospacing="1" w:line="240" w:lineRule="auto"/>
    </w:pPr>
    <w:rPr>
      <w:rFonts w:ascii="inherit" w:eastAsia="Times New Roman" w:hAnsi="inherit"/>
      <w:sz w:val="24"/>
      <w:szCs w:val="24"/>
      <w:lang w:val="en-US"/>
    </w:rPr>
  </w:style>
  <w:style w:type="paragraph" w:customStyle="1" w:styleId="textheader">
    <w:name w:val="textheader"/>
    <w:basedOn w:val="Normal"/>
    <w:rsid w:val="002B3719"/>
    <w:pPr>
      <w:spacing w:before="100" w:beforeAutospacing="1" w:after="100" w:afterAutospacing="1" w:line="240" w:lineRule="auto"/>
    </w:pPr>
    <w:rPr>
      <w:rFonts w:ascii="Georgia" w:eastAsia="Times New Roman" w:hAnsi="Georgia"/>
      <w:b/>
      <w:bCs/>
      <w:color w:val="003399"/>
      <w:sz w:val="18"/>
      <w:szCs w:val="18"/>
      <w:lang w:val="en-US"/>
    </w:rPr>
  </w:style>
  <w:style w:type="character" w:customStyle="1" w:styleId="FootnoteTextChar2">
    <w:name w:val="Footnote Text Char2"/>
    <w:aliases w:val="Geneva 9 Char2,Font: Geneva 9 Char2,Boston 10 Char2,93 Char1,single space Char1,Footnote Text Rail EIS Char1,ft Char1,Char Char1,footnote3 Char1,Footnotes Char1,Footnote ak Char1,fn cafc Char1,Footnotes Char Char Char1,Ch Char,9 Char"/>
    <w:locked/>
    <w:rsid w:val="00033895"/>
    <w:rPr>
      <w:sz w:val="18"/>
      <w:lang w:val="fr-FR"/>
    </w:rPr>
  </w:style>
  <w:style w:type="character" w:customStyle="1" w:styleId="containertitle4">
    <w:name w:val="containertitle4"/>
    <w:basedOn w:val="DefaultParagraphFont"/>
    <w:rsid w:val="00322B30"/>
    <w:rPr>
      <w:rFonts w:ascii="Georgia" w:hAnsi="Georgia" w:hint="default"/>
      <w:b/>
      <w:bCs/>
      <w:color w:val="003399"/>
      <w:sz w:val="30"/>
      <w:szCs w:val="30"/>
    </w:rPr>
  </w:style>
  <w:style w:type="paragraph" w:customStyle="1" w:styleId="Normal-pool">
    <w:name w:val="Normal-pool"/>
    <w:link w:val="Normal-poolChar"/>
    <w:qFormat/>
    <w:rsid w:val="007F4F63"/>
    <w:pPr>
      <w:tabs>
        <w:tab w:val="left" w:pos="1247"/>
        <w:tab w:val="left" w:pos="1814"/>
        <w:tab w:val="left" w:pos="2381"/>
        <w:tab w:val="left" w:pos="2948"/>
        <w:tab w:val="left" w:pos="3515"/>
        <w:tab w:val="left" w:pos="4082"/>
      </w:tabs>
    </w:pPr>
    <w:rPr>
      <w:rFonts w:ascii="Times New Roman" w:eastAsia="Times New Roman" w:hAnsi="Times New Roman"/>
      <w:lang w:val="en-GB"/>
    </w:rPr>
  </w:style>
  <w:style w:type="character" w:customStyle="1" w:styleId="Normal-poolChar">
    <w:name w:val="Normal-pool Char"/>
    <w:link w:val="Normal-pool"/>
    <w:locked/>
    <w:rsid w:val="007F4F63"/>
    <w:rPr>
      <w:rFonts w:ascii="Times New Roman" w:eastAsia="Times New Roman" w:hAnsi="Times New Roman"/>
      <w:lang w:val="en-GB"/>
    </w:rPr>
  </w:style>
  <w:style w:type="paragraph" w:customStyle="1" w:styleId="Level1">
    <w:name w:val="Level1"/>
    <w:basedOn w:val="Normal"/>
    <w:rsid w:val="00CC288A"/>
    <w:pPr>
      <w:numPr>
        <w:numId w:val="3"/>
      </w:numPr>
      <w:tabs>
        <w:tab w:val="left" w:pos="578"/>
        <w:tab w:val="left" w:pos="1157"/>
        <w:tab w:val="left" w:pos="1247"/>
        <w:tab w:val="left" w:pos="1814"/>
        <w:tab w:val="left" w:pos="2381"/>
        <w:tab w:val="left" w:pos="2948"/>
        <w:tab w:val="left" w:pos="3515"/>
      </w:tabs>
      <w:suppressAutoHyphens/>
      <w:spacing w:after="240" w:line="360" w:lineRule="auto"/>
    </w:pPr>
    <w:rPr>
      <w:rFonts w:ascii="Times New Roman" w:eastAsia="Times New Roman" w:hAnsi="Times New Roman"/>
      <w:szCs w:val="20"/>
      <w:lang w:val="en-GB"/>
    </w:rPr>
  </w:style>
  <w:style w:type="character" w:styleId="Emphasis">
    <w:name w:val="Emphasis"/>
    <w:basedOn w:val="DefaultParagraphFont"/>
    <w:uiPriority w:val="20"/>
    <w:qFormat/>
    <w:rsid w:val="00C6101B"/>
    <w:rPr>
      <w:i/>
      <w:iCs/>
    </w:rPr>
  </w:style>
  <w:style w:type="paragraph" w:customStyle="1" w:styleId="BBTitle">
    <w:name w:val="BB_Title"/>
    <w:basedOn w:val="Normal"/>
    <w:rsid w:val="005C15AE"/>
    <w:pPr>
      <w:keepNext/>
      <w:keepLines/>
      <w:tabs>
        <w:tab w:val="left" w:pos="1247"/>
        <w:tab w:val="left" w:pos="1814"/>
        <w:tab w:val="left" w:pos="2381"/>
        <w:tab w:val="left" w:pos="2948"/>
        <w:tab w:val="left" w:pos="3515"/>
        <w:tab w:val="left" w:pos="4082"/>
      </w:tabs>
      <w:suppressAutoHyphens/>
      <w:spacing w:before="320" w:after="240" w:line="240" w:lineRule="auto"/>
      <w:ind w:left="1247" w:right="567"/>
    </w:pPr>
    <w:rPr>
      <w:rFonts w:ascii="Times New Roman" w:eastAsia="Times New Roman" w:hAnsi="Times New Roman"/>
      <w:b/>
      <w:sz w:val="28"/>
      <w:szCs w:val="28"/>
      <w:lang w:val="en-GB"/>
    </w:rPr>
  </w:style>
  <w:style w:type="paragraph" w:styleId="Header">
    <w:name w:val="header"/>
    <w:basedOn w:val="Normal"/>
    <w:link w:val="HeaderChar"/>
    <w:uiPriority w:val="99"/>
    <w:unhideWhenUsed/>
    <w:rsid w:val="006406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607"/>
    <w:rPr>
      <w:sz w:val="22"/>
      <w:szCs w:val="22"/>
      <w:lang w:val="fr-CH"/>
    </w:rPr>
  </w:style>
  <w:style w:type="paragraph" w:styleId="Footer">
    <w:name w:val="footer"/>
    <w:basedOn w:val="Normal"/>
    <w:link w:val="FooterChar"/>
    <w:uiPriority w:val="99"/>
    <w:unhideWhenUsed/>
    <w:rsid w:val="006406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607"/>
    <w:rPr>
      <w:sz w:val="22"/>
      <w:szCs w:val="22"/>
      <w:lang w:val="fr-CH"/>
    </w:rPr>
  </w:style>
  <w:style w:type="table" w:styleId="TableGrid">
    <w:name w:val="Table Grid"/>
    <w:basedOn w:val="TableNormal"/>
    <w:uiPriority w:val="39"/>
    <w:rsid w:val="00E61B1D"/>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82F8B"/>
    <w:rPr>
      <w:rFonts w:ascii="Georgia" w:eastAsia="Times New Roman" w:hAnsi="Georgia"/>
      <w:b/>
      <w:bCs/>
      <w:color w:val="003399"/>
      <w:kern w:val="36"/>
      <w:sz w:val="30"/>
      <w:szCs w:val="30"/>
    </w:rPr>
  </w:style>
  <w:style w:type="character" w:styleId="FollowedHyperlink">
    <w:name w:val="FollowedHyperlink"/>
    <w:basedOn w:val="DefaultParagraphFont"/>
    <w:uiPriority w:val="99"/>
    <w:semiHidden/>
    <w:unhideWhenUsed/>
    <w:rsid w:val="00094786"/>
    <w:rPr>
      <w:color w:val="800080" w:themeColor="followedHyperlink"/>
      <w:u w:val="single"/>
    </w:rPr>
  </w:style>
  <w:style w:type="paragraph" w:customStyle="1" w:styleId="Default">
    <w:name w:val="Default"/>
    <w:rsid w:val="0008695B"/>
    <w:pPr>
      <w:autoSpaceDE w:val="0"/>
      <w:autoSpaceDN w:val="0"/>
      <w:adjustRightInd w:val="0"/>
    </w:pPr>
    <w:rPr>
      <w:rFonts w:ascii="Times New Roman" w:hAnsi="Times New Roman"/>
      <w:color w:val="000000"/>
      <w:sz w:val="24"/>
      <w:szCs w:val="24"/>
    </w:rPr>
  </w:style>
  <w:style w:type="paragraph" w:styleId="DocumentMap">
    <w:name w:val="Document Map"/>
    <w:basedOn w:val="Normal"/>
    <w:link w:val="DocumentMapChar"/>
    <w:semiHidden/>
    <w:rsid w:val="0070729A"/>
    <w:pPr>
      <w:shd w:val="clear" w:color="auto" w:fill="000080"/>
      <w:tabs>
        <w:tab w:val="left" w:pos="1247"/>
        <w:tab w:val="left" w:pos="1814"/>
        <w:tab w:val="left" w:pos="2381"/>
        <w:tab w:val="left" w:pos="2948"/>
        <w:tab w:val="left" w:pos="3515"/>
      </w:tabs>
      <w:spacing w:after="0" w:line="240" w:lineRule="auto"/>
    </w:pPr>
    <w:rPr>
      <w:rFonts w:ascii="Times New Roman" w:eastAsia="SimSun" w:hAnsi="Times New Roman"/>
      <w:sz w:val="2"/>
      <w:szCs w:val="20"/>
      <w:lang w:val="en-GB"/>
    </w:rPr>
  </w:style>
  <w:style w:type="character" w:customStyle="1" w:styleId="DocumentMapChar">
    <w:name w:val="Document Map Char"/>
    <w:basedOn w:val="DefaultParagraphFont"/>
    <w:link w:val="DocumentMap"/>
    <w:semiHidden/>
    <w:rsid w:val="0070729A"/>
    <w:rPr>
      <w:rFonts w:ascii="Times New Roman" w:eastAsia="SimSun" w:hAnsi="Times New Roman"/>
      <w:sz w:val="2"/>
      <w:shd w:val="clear" w:color="auto" w:fill="000080"/>
      <w:lang w:val="en-GB"/>
    </w:rPr>
  </w:style>
  <w:style w:type="numbering" w:customStyle="1" w:styleId="Normallist">
    <w:name w:val="Normal_list"/>
    <w:basedOn w:val="NoList"/>
    <w:rsid w:val="0070729A"/>
    <w:pPr>
      <w:numPr>
        <w:numId w:val="6"/>
      </w:numPr>
    </w:pPr>
  </w:style>
  <w:style w:type="paragraph" w:customStyle="1" w:styleId="BVIfnrCharCharCharChar">
    <w:name w:val="BVI fnr Char Char Char Char"/>
    <w:aliases w:val="BVI fnr Car Car Char Char Char Char,BVI fnr Car Char Char Char Char,BVI fnr Car Car Car Car Char Char Char Char,BVI fnr Car Car Car Car Char Char Char1 Char Char, BVI fnr Car Car Char Char Char Char"/>
    <w:basedOn w:val="Normal"/>
    <w:link w:val="FootnoteReference"/>
    <w:uiPriority w:val="99"/>
    <w:rsid w:val="0070729A"/>
    <w:pPr>
      <w:spacing w:before="120" w:after="160" w:line="240" w:lineRule="exact"/>
    </w:pPr>
    <w:rPr>
      <w:rFonts w:ascii="Times New Roman" w:hAnsi="Times New Roman"/>
      <w:sz w:val="20"/>
      <w:szCs w:val="18"/>
      <w:vertAlign w:val="superscript"/>
      <w:lang w:val="en-US"/>
    </w:rPr>
  </w:style>
  <w:style w:type="character" w:styleId="UnresolvedMention">
    <w:name w:val="Unresolved Mention"/>
    <w:basedOn w:val="DefaultParagraphFont"/>
    <w:uiPriority w:val="99"/>
    <w:semiHidden/>
    <w:unhideWhenUsed/>
    <w:rsid w:val="009348B8"/>
    <w:rPr>
      <w:color w:val="605E5C"/>
      <w:shd w:val="clear" w:color="auto" w:fill="E1DFDD"/>
    </w:rPr>
  </w:style>
  <w:style w:type="paragraph" w:styleId="NoSpacing">
    <w:name w:val="No Spacing"/>
    <w:aliases w:val="Notes"/>
    <w:uiPriority w:val="1"/>
    <w:qFormat/>
    <w:rsid w:val="008261BD"/>
    <w:pPr>
      <w:ind w:left="1247"/>
      <w:contextualSpacing/>
    </w:pPr>
    <w:rPr>
      <w:rFonts w:eastAsia="Times New Roman"/>
      <w:szCs w:val="22"/>
      <w:lang w:val="en-GB" w:eastAsia="de-DE"/>
    </w:rPr>
  </w:style>
  <w:style w:type="paragraph" w:customStyle="1" w:styleId="NormalNonumber">
    <w:name w:val="Normal_No_number"/>
    <w:basedOn w:val="Normal"/>
    <w:link w:val="NormalNonumberChar"/>
    <w:rsid w:val="008261BD"/>
    <w:pPr>
      <w:tabs>
        <w:tab w:val="left" w:pos="1247"/>
        <w:tab w:val="left" w:pos="1814"/>
        <w:tab w:val="left" w:pos="2381"/>
        <w:tab w:val="left" w:pos="2948"/>
        <w:tab w:val="left" w:pos="3515"/>
        <w:tab w:val="left" w:pos="4082"/>
      </w:tabs>
      <w:spacing w:after="120" w:line="240" w:lineRule="auto"/>
      <w:ind w:left="1247"/>
    </w:pPr>
    <w:rPr>
      <w:rFonts w:ascii="Times New Roman" w:eastAsia="Times New Roman" w:hAnsi="Times New Roman"/>
      <w:sz w:val="20"/>
      <w:szCs w:val="20"/>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Bullet 1 Char,List Paragraph12 Char"/>
    <w:basedOn w:val="DefaultParagraphFont"/>
    <w:link w:val="ListParagraph"/>
    <w:uiPriority w:val="34"/>
    <w:rsid w:val="008261BD"/>
    <w:rPr>
      <w:sz w:val="22"/>
      <w:szCs w:val="22"/>
      <w:lang w:val="fr-CH"/>
    </w:rPr>
  </w:style>
  <w:style w:type="paragraph" w:customStyle="1" w:styleId="CH3">
    <w:name w:val="CH3"/>
    <w:basedOn w:val="Normal"/>
    <w:next w:val="Normal"/>
    <w:link w:val="CH3Char"/>
    <w:rsid w:val="008261BD"/>
    <w:pPr>
      <w:keepNext/>
      <w:keepLines/>
      <w:tabs>
        <w:tab w:val="right" w:pos="851"/>
        <w:tab w:val="left" w:pos="1247"/>
        <w:tab w:val="left" w:pos="1814"/>
        <w:tab w:val="left" w:pos="2381"/>
        <w:tab w:val="left" w:pos="2948"/>
        <w:tab w:val="left" w:pos="3515"/>
        <w:tab w:val="left" w:pos="4082"/>
      </w:tabs>
      <w:suppressAutoHyphens/>
      <w:spacing w:after="120" w:line="240" w:lineRule="auto"/>
      <w:ind w:left="1247" w:right="284" w:hanging="1247"/>
    </w:pPr>
    <w:rPr>
      <w:rFonts w:ascii="Times New Roman" w:eastAsia="Times New Roman" w:hAnsi="Times New Roman"/>
      <w:b/>
      <w:sz w:val="20"/>
      <w:szCs w:val="20"/>
      <w:lang w:val="en-GB"/>
    </w:rPr>
  </w:style>
  <w:style w:type="paragraph" w:customStyle="1" w:styleId="CH2">
    <w:name w:val="CH2"/>
    <w:basedOn w:val="Normal"/>
    <w:next w:val="Normal"/>
    <w:link w:val="CH2Char"/>
    <w:rsid w:val="008261BD"/>
    <w:pPr>
      <w:keepNext/>
      <w:keepLines/>
      <w:tabs>
        <w:tab w:val="right" w:pos="851"/>
        <w:tab w:val="left" w:pos="1247"/>
        <w:tab w:val="left" w:pos="1814"/>
        <w:tab w:val="left" w:pos="2381"/>
        <w:tab w:val="left" w:pos="2948"/>
        <w:tab w:val="left" w:pos="3515"/>
      </w:tabs>
      <w:suppressAutoHyphens/>
      <w:spacing w:before="120" w:after="120" w:line="240" w:lineRule="auto"/>
      <w:ind w:left="1247" w:right="284" w:hanging="1247"/>
    </w:pPr>
    <w:rPr>
      <w:rFonts w:ascii="Times New Roman" w:eastAsia="Times New Roman" w:hAnsi="Times New Roman"/>
      <w:b/>
      <w:sz w:val="24"/>
      <w:szCs w:val="24"/>
      <w:lang w:val="en-GB"/>
    </w:rPr>
  </w:style>
  <w:style w:type="paragraph" w:customStyle="1" w:styleId="CH1">
    <w:name w:val="CH1"/>
    <w:basedOn w:val="Normal"/>
    <w:next w:val="CH2"/>
    <w:rsid w:val="008261BD"/>
    <w:pPr>
      <w:keepNext/>
      <w:keepLines/>
      <w:tabs>
        <w:tab w:val="right" w:pos="851"/>
        <w:tab w:val="left" w:pos="1247"/>
        <w:tab w:val="left" w:pos="1814"/>
        <w:tab w:val="left" w:pos="2381"/>
        <w:tab w:val="left" w:pos="2948"/>
        <w:tab w:val="left" w:pos="3515"/>
      </w:tabs>
      <w:suppressAutoHyphens/>
      <w:spacing w:before="240" w:after="120" w:line="240" w:lineRule="auto"/>
      <w:ind w:left="1247" w:right="284" w:hanging="1247"/>
    </w:pPr>
    <w:rPr>
      <w:rFonts w:ascii="Times New Roman" w:eastAsia="Times New Roman" w:hAnsi="Times New Roman"/>
      <w:b/>
      <w:sz w:val="28"/>
      <w:szCs w:val="28"/>
      <w:lang w:val="en-GB"/>
    </w:rPr>
  </w:style>
  <w:style w:type="character" w:customStyle="1" w:styleId="CH2Char">
    <w:name w:val="CH2 Char"/>
    <w:link w:val="CH2"/>
    <w:locked/>
    <w:rsid w:val="008261BD"/>
    <w:rPr>
      <w:rFonts w:ascii="Times New Roman" w:eastAsia="Times New Roman" w:hAnsi="Times New Roman"/>
      <w:b/>
      <w:sz w:val="24"/>
      <w:szCs w:val="24"/>
      <w:lang w:val="en-GB"/>
    </w:rPr>
  </w:style>
  <w:style w:type="character" w:customStyle="1" w:styleId="CH3Char">
    <w:name w:val="CH3 Char"/>
    <w:link w:val="CH3"/>
    <w:locked/>
    <w:rsid w:val="008261BD"/>
    <w:rPr>
      <w:rFonts w:ascii="Times New Roman" w:eastAsia="Times New Roman" w:hAnsi="Times New Roman"/>
      <w:b/>
      <w:lang w:val="en-GB"/>
    </w:rPr>
  </w:style>
  <w:style w:type="character" w:customStyle="1" w:styleId="NormalNonumberChar">
    <w:name w:val="Normal_No_number Char"/>
    <w:link w:val="NormalNonumber"/>
    <w:locked/>
    <w:rsid w:val="008261BD"/>
    <w:rPr>
      <w:rFonts w:ascii="Times New Roman" w:eastAsia="Times New Roman" w:hAnsi="Times New Roman"/>
      <w:lang w:val="en-GB"/>
    </w:rPr>
  </w:style>
  <w:style w:type="character" w:customStyle="1" w:styleId="NormalpoolChar">
    <w:name w:val="Normal_pool Char"/>
    <w:link w:val="Normalpool"/>
    <w:locked/>
    <w:rsid w:val="008261BD"/>
    <w:rPr>
      <w:rFonts w:ascii="Times New Roman" w:hAnsi="Times New Roman"/>
      <w:lang w:val="fr-FR"/>
    </w:rPr>
  </w:style>
  <w:style w:type="paragraph" w:customStyle="1" w:styleId="Normalpool">
    <w:name w:val="Normal_pool"/>
    <w:link w:val="NormalpoolChar"/>
    <w:rsid w:val="008261BD"/>
    <w:pPr>
      <w:tabs>
        <w:tab w:val="left" w:pos="1247"/>
        <w:tab w:val="left" w:pos="1814"/>
        <w:tab w:val="left" w:pos="2381"/>
        <w:tab w:val="left" w:pos="2948"/>
        <w:tab w:val="left" w:pos="3515"/>
        <w:tab w:val="left" w:pos="4082"/>
      </w:tabs>
    </w:pPr>
    <w:rPr>
      <w:rFonts w:ascii="Times New Roman" w:hAnsi="Times New Roman"/>
      <w:lang w:val="fr-FR"/>
    </w:rPr>
  </w:style>
  <w:style w:type="character" w:customStyle="1" w:styleId="st1">
    <w:name w:val="st1"/>
    <w:rsid w:val="004A7404"/>
  </w:style>
  <w:style w:type="character" w:customStyle="1" w:styleId="Normal-poolChar1">
    <w:name w:val="Normal-pool Char1"/>
    <w:locked/>
    <w:rsid w:val="00142F12"/>
    <w:rPr>
      <w:lang w:val="en-GB"/>
    </w:rPr>
  </w:style>
  <w:style w:type="paragraph" w:customStyle="1" w:styleId="AATitle">
    <w:name w:val="AA_Title"/>
    <w:basedOn w:val="Normalpool"/>
    <w:qFormat/>
    <w:rsid w:val="00142F12"/>
    <w:pPr>
      <w:keepNext/>
      <w:keepLines/>
      <w:suppressAutoHyphens/>
      <w:ind w:right="5103"/>
    </w:pPr>
    <w:rPr>
      <w:rFonts w:eastAsia="Times New Roman"/>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707142">
      <w:bodyDiv w:val="1"/>
      <w:marLeft w:val="0"/>
      <w:marRight w:val="0"/>
      <w:marTop w:val="0"/>
      <w:marBottom w:val="0"/>
      <w:divBdr>
        <w:top w:val="none" w:sz="0" w:space="0" w:color="auto"/>
        <w:left w:val="none" w:sz="0" w:space="0" w:color="auto"/>
        <w:bottom w:val="none" w:sz="0" w:space="0" w:color="auto"/>
        <w:right w:val="none" w:sz="0" w:space="0" w:color="auto"/>
      </w:divBdr>
      <w:divsChild>
        <w:div w:id="783377792">
          <w:marLeft w:val="0"/>
          <w:marRight w:val="0"/>
          <w:marTop w:val="0"/>
          <w:marBottom w:val="0"/>
          <w:divBdr>
            <w:top w:val="none" w:sz="0" w:space="0" w:color="auto"/>
            <w:left w:val="none" w:sz="0" w:space="0" w:color="auto"/>
            <w:bottom w:val="none" w:sz="0" w:space="0" w:color="auto"/>
            <w:right w:val="none" w:sz="0" w:space="0" w:color="auto"/>
          </w:divBdr>
          <w:divsChild>
            <w:div w:id="936403476">
              <w:marLeft w:val="0"/>
              <w:marRight w:val="0"/>
              <w:marTop w:val="0"/>
              <w:marBottom w:val="0"/>
              <w:divBdr>
                <w:top w:val="none" w:sz="0" w:space="0" w:color="auto"/>
                <w:left w:val="none" w:sz="0" w:space="0" w:color="auto"/>
                <w:bottom w:val="none" w:sz="0" w:space="0" w:color="auto"/>
                <w:right w:val="none" w:sz="0" w:space="0" w:color="auto"/>
              </w:divBdr>
              <w:divsChild>
                <w:div w:id="924609405">
                  <w:marLeft w:val="0"/>
                  <w:marRight w:val="0"/>
                  <w:marTop w:val="0"/>
                  <w:marBottom w:val="0"/>
                  <w:divBdr>
                    <w:top w:val="none" w:sz="0" w:space="0" w:color="auto"/>
                    <w:left w:val="none" w:sz="0" w:space="0" w:color="auto"/>
                    <w:bottom w:val="none" w:sz="0" w:space="0" w:color="auto"/>
                    <w:right w:val="none" w:sz="0" w:space="0" w:color="auto"/>
                  </w:divBdr>
                  <w:divsChild>
                    <w:div w:id="274798318">
                      <w:marLeft w:val="0"/>
                      <w:marRight w:val="0"/>
                      <w:marTop w:val="0"/>
                      <w:marBottom w:val="0"/>
                      <w:divBdr>
                        <w:top w:val="none" w:sz="0" w:space="0" w:color="auto"/>
                        <w:left w:val="none" w:sz="0" w:space="0" w:color="auto"/>
                        <w:bottom w:val="none" w:sz="0" w:space="0" w:color="auto"/>
                        <w:right w:val="none" w:sz="0" w:space="0" w:color="auto"/>
                      </w:divBdr>
                      <w:divsChild>
                        <w:div w:id="1223172509">
                          <w:marLeft w:val="0"/>
                          <w:marRight w:val="0"/>
                          <w:marTop w:val="0"/>
                          <w:marBottom w:val="120"/>
                          <w:divBdr>
                            <w:top w:val="none" w:sz="0" w:space="0" w:color="auto"/>
                            <w:left w:val="none" w:sz="0" w:space="0" w:color="auto"/>
                            <w:bottom w:val="none" w:sz="0" w:space="0" w:color="auto"/>
                            <w:right w:val="none" w:sz="0" w:space="0" w:color="auto"/>
                          </w:divBdr>
                          <w:divsChild>
                            <w:div w:id="1593664524">
                              <w:marLeft w:val="0"/>
                              <w:marRight w:val="0"/>
                              <w:marTop w:val="0"/>
                              <w:marBottom w:val="0"/>
                              <w:divBdr>
                                <w:top w:val="none" w:sz="0" w:space="0" w:color="auto"/>
                                <w:left w:val="none" w:sz="0" w:space="0" w:color="auto"/>
                                <w:bottom w:val="none" w:sz="0" w:space="0" w:color="auto"/>
                                <w:right w:val="none" w:sz="0" w:space="0" w:color="auto"/>
                              </w:divBdr>
                              <w:divsChild>
                                <w:div w:id="353389906">
                                  <w:marLeft w:val="0"/>
                                  <w:marRight w:val="0"/>
                                  <w:marTop w:val="0"/>
                                  <w:marBottom w:val="0"/>
                                  <w:divBdr>
                                    <w:top w:val="none" w:sz="0" w:space="0" w:color="auto"/>
                                    <w:left w:val="none" w:sz="0" w:space="0" w:color="auto"/>
                                    <w:bottom w:val="none" w:sz="0" w:space="0" w:color="auto"/>
                                    <w:right w:val="none" w:sz="0" w:space="0" w:color="auto"/>
                                  </w:divBdr>
                                  <w:divsChild>
                                    <w:div w:id="1771389130">
                                      <w:marLeft w:val="0"/>
                                      <w:marRight w:val="0"/>
                                      <w:marTop w:val="0"/>
                                      <w:marBottom w:val="0"/>
                                      <w:divBdr>
                                        <w:top w:val="none" w:sz="0" w:space="0" w:color="auto"/>
                                        <w:left w:val="none" w:sz="0" w:space="0" w:color="auto"/>
                                        <w:bottom w:val="none" w:sz="0" w:space="0" w:color="auto"/>
                                        <w:right w:val="none" w:sz="0" w:space="0" w:color="auto"/>
                                      </w:divBdr>
                                      <w:divsChild>
                                        <w:div w:id="214638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732622">
      <w:bodyDiv w:val="1"/>
      <w:marLeft w:val="0"/>
      <w:marRight w:val="0"/>
      <w:marTop w:val="0"/>
      <w:marBottom w:val="0"/>
      <w:divBdr>
        <w:top w:val="none" w:sz="0" w:space="0" w:color="auto"/>
        <w:left w:val="none" w:sz="0" w:space="0" w:color="auto"/>
        <w:bottom w:val="none" w:sz="0" w:space="0" w:color="auto"/>
        <w:right w:val="none" w:sz="0" w:space="0" w:color="auto"/>
      </w:divBdr>
      <w:divsChild>
        <w:div w:id="1357120249">
          <w:marLeft w:val="0"/>
          <w:marRight w:val="0"/>
          <w:marTop w:val="0"/>
          <w:marBottom w:val="0"/>
          <w:divBdr>
            <w:top w:val="none" w:sz="0" w:space="0" w:color="auto"/>
            <w:left w:val="none" w:sz="0" w:space="0" w:color="auto"/>
            <w:bottom w:val="none" w:sz="0" w:space="0" w:color="auto"/>
            <w:right w:val="none" w:sz="0" w:space="0" w:color="auto"/>
          </w:divBdr>
          <w:divsChild>
            <w:div w:id="1778065926">
              <w:marLeft w:val="0"/>
              <w:marRight w:val="0"/>
              <w:marTop w:val="0"/>
              <w:marBottom w:val="0"/>
              <w:divBdr>
                <w:top w:val="none" w:sz="0" w:space="0" w:color="auto"/>
                <w:left w:val="none" w:sz="0" w:space="0" w:color="auto"/>
                <w:bottom w:val="none" w:sz="0" w:space="0" w:color="auto"/>
                <w:right w:val="none" w:sz="0" w:space="0" w:color="auto"/>
              </w:divBdr>
              <w:divsChild>
                <w:div w:id="1791321405">
                  <w:marLeft w:val="0"/>
                  <w:marRight w:val="0"/>
                  <w:marTop w:val="0"/>
                  <w:marBottom w:val="0"/>
                  <w:divBdr>
                    <w:top w:val="none" w:sz="0" w:space="0" w:color="auto"/>
                    <w:left w:val="none" w:sz="0" w:space="0" w:color="auto"/>
                    <w:bottom w:val="none" w:sz="0" w:space="0" w:color="auto"/>
                    <w:right w:val="none" w:sz="0" w:space="0" w:color="auto"/>
                  </w:divBdr>
                  <w:divsChild>
                    <w:div w:id="468016337">
                      <w:marLeft w:val="0"/>
                      <w:marRight w:val="0"/>
                      <w:marTop w:val="0"/>
                      <w:marBottom w:val="0"/>
                      <w:divBdr>
                        <w:top w:val="none" w:sz="0" w:space="0" w:color="auto"/>
                        <w:left w:val="none" w:sz="0" w:space="0" w:color="auto"/>
                        <w:bottom w:val="none" w:sz="0" w:space="0" w:color="auto"/>
                        <w:right w:val="none" w:sz="0" w:space="0" w:color="auto"/>
                      </w:divBdr>
                    </w:div>
                    <w:div w:id="429156866">
                      <w:marLeft w:val="0"/>
                      <w:marRight w:val="0"/>
                      <w:marTop w:val="0"/>
                      <w:marBottom w:val="0"/>
                      <w:divBdr>
                        <w:top w:val="none" w:sz="0" w:space="0" w:color="auto"/>
                        <w:left w:val="none" w:sz="0" w:space="0" w:color="auto"/>
                        <w:bottom w:val="none" w:sz="0" w:space="0" w:color="auto"/>
                        <w:right w:val="none" w:sz="0" w:space="0" w:color="auto"/>
                      </w:divBdr>
                      <w:divsChild>
                        <w:div w:id="1336879175">
                          <w:marLeft w:val="0"/>
                          <w:marRight w:val="0"/>
                          <w:marTop w:val="0"/>
                          <w:marBottom w:val="0"/>
                          <w:divBdr>
                            <w:top w:val="none" w:sz="0" w:space="0" w:color="auto"/>
                            <w:left w:val="none" w:sz="0" w:space="0" w:color="auto"/>
                            <w:bottom w:val="none" w:sz="0" w:space="0" w:color="auto"/>
                            <w:right w:val="none" w:sz="0" w:space="0" w:color="auto"/>
                          </w:divBdr>
                        </w:div>
                        <w:div w:id="97079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257256">
      <w:bodyDiv w:val="1"/>
      <w:marLeft w:val="0"/>
      <w:marRight w:val="0"/>
      <w:marTop w:val="0"/>
      <w:marBottom w:val="0"/>
      <w:divBdr>
        <w:top w:val="none" w:sz="0" w:space="0" w:color="auto"/>
        <w:left w:val="none" w:sz="0" w:space="0" w:color="auto"/>
        <w:bottom w:val="none" w:sz="0" w:space="0" w:color="auto"/>
        <w:right w:val="none" w:sz="0" w:space="0" w:color="auto"/>
      </w:divBdr>
      <w:divsChild>
        <w:div w:id="1198005277">
          <w:marLeft w:val="547"/>
          <w:marRight w:val="0"/>
          <w:marTop w:val="154"/>
          <w:marBottom w:val="0"/>
          <w:divBdr>
            <w:top w:val="none" w:sz="0" w:space="0" w:color="auto"/>
            <w:left w:val="none" w:sz="0" w:space="0" w:color="auto"/>
            <w:bottom w:val="none" w:sz="0" w:space="0" w:color="auto"/>
            <w:right w:val="none" w:sz="0" w:space="0" w:color="auto"/>
          </w:divBdr>
        </w:div>
      </w:divsChild>
    </w:div>
    <w:div w:id="377559159">
      <w:bodyDiv w:val="1"/>
      <w:marLeft w:val="0"/>
      <w:marRight w:val="0"/>
      <w:marTop w:val="0"/>
      <w:marBottom w:val="0"/>
      <w:divBdr>
        <w:top w:val="none" w:sz="0" w:space="0" w:color="auto"/>
        <w:left w:val="none" w:sz="0" w:space="0" w:color="auto"/>
        <w:bottom w:val="none" w:sz="0" w:space="0" w:color="auto"/>
        <w:right w:val="none" w:sz="0" w:space="0" w:color="auto"/>
      </w:divBdr>
      <w:divsChild>
        <w:div w:id="1781102861">
          <w:marLeft w:val="0"/>
          <w:marRight w:val="0"/>
          <w:marTop w:val="0"/>
          <w:marBottom w:val="0"/>
          <w:divBdr>
            <w:top w:val="none" w:sz="0" w:space="0" w:color="auto"/>
            <w:left w:val="none" w:sz="0" w:space="0" w:color="auto"/>
            <w:bottom w:val="none" w:sz="0" w:space="0" w:color="auto"/>
            <w:right w:val="none" w:sz="0" w:space="0" w:color="auto"/>
          </w:divBdr>
          <w:divsChild>
            <w:div w:id="141850258">
              <w:marLeft w:val="0"/>
              <w:marRight w:val="0"/>
              <w:marTop w:val="0"/>
              <w:marBottom w:val="0"/>
              <w:divBdr>
                <w:top w:val="none" w:sz="0" w:space="0" w:color="auto"/>
                <w:left w:val="none" w:sz="0" w:space="0" w:color="auto"/>
                <w:bottom w:val="none" w:sz="0" w:space="0" w:color="auto"/>
                <w:right w:val="none" w:sz="0" w:space="0" w:color="auto"/>
              </w:divBdr>
              <w:divsChild>
                <w:div w:id="461846956">
                  <w:marLeft w:val="0"/>
                  <w:marRight w:val="0"/>
                  <w:marTop w:val="0"/>
                  <w:marBottom w:val="0"/>
                  <w:divBdr>
                    <w:top w:val="none" w:sz="0" w:space="0" w:color="auto"/>
                    <w:left w:val="none" w:sz="0" w:space="0" w:color="auto"/>
                    <w:bottom w:val="none" w:sz="0" w:space="0" w:color="auto"/>
                    <w:right w:val="none" w:sz="0" w:space="0" w:color="auto"/>
                  </w:divBdr>
                  <w:divsChild>
                    <w:div w:id="970592138">
                      <w:marLeft w:val="0"/>
                      <w:marRight w:val="0"/>
                      <w:marTop w:val="0"/>
                      <w:marBottom w:val="0"/>
                      <w:divBdr>
                        <w:top w:val="none" w:sz="0" w:space="0" w:color="auto"/>
                        <w:left w:val="none" w:sz="0" w:space="0" w:color="auto"/>
                        <w:bottom w:val="none" w:sz="0" w:space="0" w:color="auto"/>
                        <w:right w:val="none" w:sz="0" w:space="0" w:color="auto"/>
                      </w:divBdr>
                      <w:divsChild>
                        <w:div w:id="685014530">
                          <w:marLeft w:val="0"/>
                          <w:marRight w:val="0"/>
                          <w:marTop w:val="0"/>
                          <w:marBottom w:val="120"/>
                          <w:divBdr>
                            <w:top w:val="none" w:sz="0" w:space="0" w:color="auto"/>
                            <w:left w:val="none" w:sz="0" w:space="0" w:color="auto"/>
                            <w:bottom w:val="none" w:sz="0" w:space="0" w:color="auto"/>
                            <w:right w:val="none" w:sz="0" w:space="0" w:color="auto"/>
                          </w:divBdr>
                          <w:divsChild>
                            <w:div w:id="479152251">
                              <w:marLeft w:val="0"/>
                              <w:marRight w:val="0"/>
                              <w:marTop w:val="0"/>
                              <w:marBottom w:val="0"/>
                              <w:divBdr>
                                <w:top w:val="none" w:sz="0" w:space="0" w:color="auto"/>
                                <w:left w:val="none" w:sz="0" w:space="0" w:color="auto"/>
                                <w:bottom w:val="none" w:sz="0" w:space="0" w:color="auto"/>
                                <w:right w:val="none" w:sz="0" w:space="0" w:color="auto"/>
                              </w:divBdr>
                              <w:divsChild>
                                <w:div w:id="407770938">
                                  <w:marLeft w:val="0"/>
                                  <w:marRight w:val="0"/>
                                  <w:marTop w:val="0"/>
                                  <w:marBottom w:val="0"/>
                                  <w:divBdr>
                                    <w:top w:val="none" w:sz="0" w:space="0" w:color="auto"/>
                                    <w:left w:val="none" w:sz="0" w:space="0" w:color="auto"/>
                                    <w:bottom w:val="none" w:sz="0" w:space="0" w:color="auto"/>
                                    <w:right w:val="none" w:sz="0" w:space="0" w:color="auto"/>
                                  </w:divBdr>
                                </w:div>
                              </w:divsChild>
                            </w:div>
                            <w:div w:id="534930126">
                              <w:marLeft w:val="0"/>
                              <w:marRight w:val="0"/>
                              <w:marTop w:val="0"/>
                              <w:marBottom w:val="0"/>
                              <w:divBdr>
                                <w:top w:val="none" w:sz="0" w:space="0" w:color="auto"/>
                                <w:left w:val="none" w:sz="0" w:space="0" w:color="auto"/>
                                <w:bottom w:val="none" w:sz="0" w:space="0" w:color="auto"/>
                                <w:right w:val="none" w:sz="0" w:space="0" w:color="auto"/>
                              </w:divBdr>
                              <w:divsChild>
                                <w:div w:id="2012752219">
                                  <w:marLeft w:val="0"/>
                                  <w:marRight w:val="0"/>
                                  <w:marTop w:val="0"/>
                                  <w:marBottom w:val="0"/>
                                  <w:divBdr>
                                    <w:top w:val="none" w:sz="0" w:space="0" w:color="auto"/>
                                    <w:left w:val="none" w:sz="0" w:space="0" w:color="auto"/>
                                    <w:bottom w:val="none" w:sz="0" w:space="0" w:color="auto"/>
                                    <w:right w:val="none" w:sz="0" w:space="0" w:color="auto"/>
                                  </w:divBdr>
                                  <w:divsChild>
                                    <w:div w:id="1507751187">
                                      <w:marLeft w:val="0"/>
                                      <w:marRight w:val="0"/>
                                      <w:marTop w:val="0"/>
                                      <w:marBottom w:val="0"/>
                                      <w:divBdr>
                                        <w:top w:val="none" w:sz="0" w:space="0" w:color="auto"/>
                                        <w:left w:val="none" w:sz="0" w:space="0" w:color="auto"/>
                                        <w:bottom w:val="none" w:sz="0" w:space="0" w:color="auto"/>
                                        <w:right w:val="none" w:sz="0" w:space="0" w:color="auto"/>
                                      </w:divBdr>
                                      <w:divsChild>
                                        <w:div w:id="9648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4547599">
      <w:bodyDiv w:val="1"/>
      <w:marLeft w:val="0"/>
      <w:marRight w:val="0"/>
      <w:marTop w:val="0"/>
      <w:marBottom w:val="0"/>
      <w:divBdr>
        <w:top w:val="none" w:sz="0" w:space="0" w:color="auto"/>
        <w:left w:val="none" w:sz="0" w:space="0" w:color="auto"/>
        <w:bottom w:val="none" w:sz="0" w:space="0" w:color="auto"/>
        <w:right w:val="none" w:sz="0" w:space="0" w:color="auto"/>
      </w:divBdr>
      <w:divsChild>
        <w:div w:id="1370183791">
          <w:marLeft w:val="547"/>
          <w:marRight w:val="0"/>
          <w:marTop w:val="0"/>
          <w:marBottom w:val="240"/>
          <w:divBdr>
            <w:top w:val="none" w:sz="0" w:space="0" w:color="auto"/>
            <w:left w:val="none" w:sz="0" w:space="0" w:color="auto"/>
            <w:bottom w:val="none" w:sz="0" w:space="0" w:color="auto"/>
            <w:right w:val="none" w:sz="0" w:space="0" w:color="auto"/>
          </w:divBdr>
        </w:div>
        <w:div w:id="2124880796">
          <w:marLeft w:val="547"/>
          <w:marRight w:val="0"/>
          <w:marTop w:val="0"/>
          <w:marBottom w:val="240"/>
          <w:divBdr>
            <w:top w:val="none" w:sz="0" w:space="0" w:color="auto"/>
            <w:left w:val="none" w:sz="0" w:space="0" w:color="auto"/>
            <w:bottom w:val="none" w:sz="0" w:space="0" w:color="auto"/>
            <w:right w:val="none" w:sz="0" w:space="0" w:color="auto"/>
          </w:divBdr>
        </w:div>
        <w:div w:id="1248340936">
          <w:marLeft w:val="547"/>
          <w:marRight w:val="0"/>
          <w:marTop w:val="0"/>
          <w:marBottom w:val="240"/>
          <w:divBdr>
            <w:top w:val="none" w:sz="0" w:space="0" w:color="auto"/>
            <w:left w:val="none" w:sz="0" w:space="0" w:color="auto"/>
            <w:bottom w:val="none" w:sz="0" w:space="0" w:color="auto"/>
            <w:right w:val="none" w:sz="0" w:space="0" w:color="auto"/>
          </w:divBdr>
        </w:div>
      </w:divsChild>
    </w:div>
    <w:div w:id="489912022">
      <w:bodyDiv w:val="1"/>
      <w:marLeft w:val="0"/>
      <w:marRight w:val="0"/>
      <w:marTop w:val="0"/>
      <w:marBottom w:val="0"/>
      <w:divBdr>
        <w:top w:val="none" w:sz="0" w:space="0" w:color="auto"/>
        <w:left w:val="none" w:sz="0" w:space="0" w:color="auto"/>
        <w:bottom w:val="none" w:sz="0" w:space="0" w:color="auto"/>
        <w:right w:val="none" w:sz="0" w:space="0" w:color="auto"/>
      </w:divBdr>
      <w:divsChild>
        <w:div w:id="1848520601">
          <w:marLeft w:val="547"/>
          <w:marRight w:val="0"/>
          <w:marTop w:val="0"/>
          <w:marBottom w:val="480"/>
          <w:divBdr>
            <w:top w:val="none" w:sz="0" w:space="0" w:color="auto"/>
            <w:left w:val="none" w:sz="0" w:space="0" w:color="auto"/>
            <w:bottom w:val="none" w:sz="0" w:space="0" w:color="auto"/>
            <w:right w:val="none" w:sz="0" w:space="0" w:color="auto"/>
          </w:divBdr>
        </w:div>
      </w:divsChild>
    </w:div>
    <w:div w:id="700129520">
      <w:bodyDiv w:val="1"/>
      <w:marLeft w:val="0"/>
      <w:marRight w:val="0"/>
      <w:marTop w:val="0"/>
      <w:marBottom w:val="0"/>
      <w:divBdr>
        <w:top w:val="none" w:sz="0" w:space="0" w:color="auto"/>
        <w:left w:val="none" w:sz="0" w:space="0" w:color="auto"/>
        <w:bottom w:val="none" w:sz="0" w:space="0" w:color="auto"/>
        <w:right w:val="none" w:sz="0" w:space="0" w:color="auto"/>
      </w:divBdr>
      <w:divsChild>
        <w:div w:id="1646811774">
          <w:marLeft w:val="0"/>
          <w:marRight w:val="0"/>
          <w:marTop w:val="225"/>
          <w:marBottom w:val="0"/>
          <w:divBdr>
            <w:top w:val="none" w:sz="0" w:space="0" w:color="auto"/>
            <w:left w:val="none" w:sz="0" w:space="0" w:color="auto"/>
            <w:bottom w:val="none" w:sz="0" w:space="0" w:color="auto"/>
            <w:right w:val="none" w:sz="0" w:space="0" w:color="auto"/>
          </w:divBdr>
          <w:divsChild>
            <w:div w:id="1387221764">
              <w:marLeft w:val="0"/>
              <w:marRight w:val="0"/>
              <w:marTop w:val="285"/>
              <w:marBottom w:val="0"/>
              <w:divBdr>
                <w:top w:val="none" w:sz="0" w:space="0" w:color="auto"/>
                <w:left w:val="none" w:sz="0" w:space="0" w:color="auto"/>
                <w:bottom w:val="none" w:sz="0" w:space="0" w:color="auto"/>
                <w:right w:val="none" w:sz="0" w:space="0" w:color="auto"/>
              </w:divBdr>
              <w:divsChild>
                <w:div w:id="799108232">
                  <w:marLeft w:val="0"/>
                  <w:marRight w:val="0"/>
                  <w:marTop w:val="0"/>
                  <w:marBottom w:val="0"/>
                  <w:divBdr>
                    <w:top w:val="none" w:sz="0" w:space="0" w:color="auto"/>
                    <w:left w:val="none" w:sz="0" w:space="0" w:color="auto"/>
                    <w:bottom w:val="none" w:sz="0" w:space="0" w:color="auto"/>
                    <w:right w:val="none" w:sz="0" w:space="0" w:color="auto"/>
                  </w:divBdr>
                  <w:divsChild>
                    <w:div w:id="2049837154">
                      <w:marLeft w:val="0"/>
                      <w:marRight w:val="0"/>
                      <w:marTop w:val="0"/>
                      <w:marBottom w:val="0"/>
                      <w:divBdr>
                        <w:top w:val="none" w:sz="0" w:space="0" w:color="auto"/>
                        <w:left w:val="none" w:sz="0" w:space="0" w:color="auto"/>
                        <w:bottom w:val="none" w:sz="0" w:space="0" w:color="auto"/>
                        <w:right w:val="none" w:sz="0" w:space="0" w:color="auto"/>
                      </w:divBdr>
                      <w:divsChild>
                        <w:div w:id="1281185434">
                          <w:marLeft w:val="0"/>
                          <w:marRight w:val="0"/>
                          <w:marTop w:val="0"/>
                          <w:marBottom w:val="0"/>
                          <w:divBdr>
                            <w:top w:val="none" w:sz="0" w:space="0" w:color="auto"/>
                            <w:left w:val="none" w:sz="0" w:space="0" w:color="auto"/>
                            <w:bottom w:val="none" w:sz="0" w:space="0" w:color="auto"/>
                            <w:right w:val="none" w:sz="0" w:space="0" w:color="auto"/>
                          </w:divBdr>
                          <w:divsChild>
                            <w:div w:id="164437226">
                              <w:marLeft w:val="0"/>
                              <w:marRight w:val="0"/>
                              <w:marTop w:val="0"/>
                              <w:marBottom w:val="0"/>
                              <w:divBdr>
                                <w:top w:val="none" w:sz="0" w:space="0" w:color="auto"/>
                                <w:left w:val="none" w:sz="0" w:space="0" w:color="auto"/>
                                <w:bottom w:val="none" w:sz="0" w:space="0" w:color="auto"/>
                                <w:right w:val="none" w:sz="0" w:space="0" w:color="auto"/>
                              </w:divBdr>
                              <w:divsChild>
                                <w:div w:id="1938369075">
                                  <w:marLeft w:val="0"/>
                                  <w:marRight w:val="0"/>
                                  <w:marTop w:val="0"/>
                                  <w:marBottom w:val="0"/>
                                  <w:divBdr>
                                    <w:top w:val="none" w:sz="0" w:space="0" w:color="auto"/>
                                    <w:left w:val="none" w:sz="0" w:space="0" w:color="auto"/>
                                    <w:bottom w:val="none" w:sz="0" w:space="0" w:color="auto"/>
                                    <w:right w:val="none" w:sz="0" w:space="0" w:color="auto"/>
                                  </w:divBdr>
                                  <w:divsChild>
                                    <w:div w:id="197818983">
                                      <w:marLeft w:val="0"/>
                                      <w:marRight w:val="0"/>
                                      <w:marTop w:val="0"/>
                                      <w:marBottom w:val="0"/>
                                      <w:divBdr>
                                        <w:top w:val="none" w:sz="0" w:space="0" w:color="auto"/>
                                        <w:left w:val="none" w:sz="0" w:space="0" w:color="auto"/>
                                        <w:bottom w:val="none" w:sz="0" w:space="0" w:color="auto"/>
                                        <w:right w:val="none" w:sz="0" w:space="0" w:color="auto"/>
                                      </w:divBdr>
                                      <w:divsChild>
                                        <w:div w:id="813065630">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7714931">
      <w:bodyDiv w:val="1"/>
      <w:marLeft w:val="0"/>
      <w:marRight w:val="0"/>
      <w:marTop w:val="0"/>
      <w:marBottom w:val="0"/>
      <w:divBdr>
        <w:top w:val="none" w:sz="0" w:space="0" w:color="auto"/>
        <w:left w:val="none" w:sz="0" w:space="0" w:color="auto"/>
        <w:bottom w:val="none" w:sz="0" w:space="0" w:color="auto"/>
        <w:right w:val="none" w:sz="0" w:space="0" w:color="auto"/>
      </w:divBdr>
      <w:divsChild>
        <w:div w:id="1769349974">
          <w:marLeft w:val="1166"/>
          <w:marRight w:val="0"/>
          <w:marTop w:val="0"/>
          <w:marBottom w:val="240"/>
          <w:divBdr>
            <w:top w:val="none" w:sz="0" w:space="0" w:color="auto"/>
            <w:left w:val="none" w:sz="0" w:space="0" w:color="auto"/>
            <w:bottom w:val="none" w:sz="0" w:space="0" w:color="auto"/>
            <w:right w:val="none" w:sz="0" w:space="0" w:color="auto"/>
          </w:divBdr>
        </w:div>
      </w:divsChild>
    </w:div>
    <w:div w:id="998340790">
      <w:bodyDiv w:val="1"/>
      <w:marLeft w:val="0"/>
      <w:marRight w:val="0"/>
      <w:marTop w:val="0"/>
      <w:marBottom w:val="0"/>
      <w:divBdr>
        <w:top w:val="none" w:sz="0" w:space="0" w:color="auto"/>
        <w:left w:val="none" w:sz="0" w:space="0" w:color="auto"/>
        <w:bottom w:val="none" w:sz="0" w:space="0" w:color="auto"/>
        <w:right w:val="none" w:sz="0" w:space="0" w:color="auto"/>
      </w:divBdr>
      <w:divsChild>
        <w:div w:id="365061883">
          <w:marLeft w:val="547"/>
          <w:marRight w:val="0"/>
          <w:marTop w:val="0"/>
          <w:marBottom w:val="240"/>
          <w:divBdr>
            <w:top w:val="none" w:sz="0" w:space="0" w:color="auto"/>
            <w:left w:val="none" w:sz="0" w:space="0" w:color="auto"/>
            <w:bottom w:val="none" w:sz="0" w:space="0" w:color="auto"/>
            <w:right w:val="none" w:sz="0" w:space="0" w:color="auto"/>
          </w:divBdr>
        </w:div>
        <w:div w:id="2073505024">
          <w:marLeft w:val="547"/>
          <w:marRight w:val="0"/>
          <w:marTop w:val="0"/>
          <w:marBottom w:val="240"/>
          <w:divBdr>
            <w:top w:val="none" w:sz="0" w:space="0" w:color="auto"/>
            <w:left w:val="none" w:sz="0" w:space="0" w:color="auto"/>
            <w:bottom w:val="none" w:sz="0" w:space="0" w:color="auto"/>
            <w:right w:val="none" w:sz="0" w:space="0" w:color="auto"/>
          </w:divBdr>
        </w:div>
        <w:div w:id="1062023258">
          <w:marLeft w:val="547"/>
          <w:marRight w:val="0"/>
          <w:marTop w:val="0"/>
          <w:marBottom w:val="240"/>
          <w:divBdr>
            <w:top w:val="none" w:sz="0" w:space="0" w:color="auto"/>
            <w:left w:val="none" w:sz="0" w:space="0" w:color="auto"/>
            <w:bottom w:val="none" w:sz="0" w:space="0" w:color="auto"/>
            <w:right w:val="none" w:sz="0" w:space="0" w:color="auto"/>
          </w:divBdr>
        </w:div>
        <w:div w:id="492641991">
          <w:marLeft w:val="547"/>
          <w:marRight w:val="0"/>
          <w:marTop w:val="0"/>
          <w:marBottom w:val="240"/>
          <w:divBdr>
            <w:top w:val="none" w:sz="0" w:space="0" w:color="auto"/>
            <w:left w:val="none" w:sz="0" w:space="0" w:color="auto"/>
            <w:bottom w:val="none" w:sz="0" w:space="0" w:color="auto"/>
            <w:right w:val="none" w:sz="0" w:space="0" w:color="auto"/>
          </w:divBdr>
        </w:div>
      </w:divsChild>
    </w:div>
    <w:div w:id="1030912023">
      <w:bodyDiv w:val="1"/>
      <w:marLeft w:val="0"/>
      <w:marRight w:val="0"/>
      <w:marTop w:val="0"/>
      <w:marBottom w:val="0"/>
      <w:divBdr>
        <w:top w:val="none" w:sz="0" w:space="0" w:color="auto"/>
        <w:left w:val="none" w:sz="0" w:space="0" w:color="auto"/>
        <w:bottom w:val="none" w:sz="0" w:space="0" w:color="auto"/>
        <w:right w:val="none" w:sz="0" w:space="0" w:color="auto"/>
      </w:divBdr>
      <w:divsChild>
        <w:div w:id="222451953">
          <w:marLeft w:val="547"/>
          <w:marRight w:val="0"/>
          <w:marTop w:val="0"/>
          <w:marBottom w:val="360"/>
          <w:divBdr>
            <w:top w:val="none" w:sz="0" w:space="0" w:color="auto"/>
            <w:left w:val="none" w:sz="0" w:space="0" w:color="auto"/>
            <w:bottom w:val="none" w:sz="0" w:space="0" w:color="auto"/>
            <w:right w:val="none" w:sz="0" w:space="0" w:color="auto"/>
          </w:divBdr>
        </w:div>
      </w:divsChild>
    </w:div>
    <w:div w:id="1118178160">
      <w:bodyDiv w:val="1"/>
      <w:marLeft w:val="0"/>
      <w:marRight w:val="0"/>
      <w:marTop w:val="0"/>
      <w:marBottom w:val="0"/>
      <w:divBdr>
        <w:top w:val="none" w:sz="0" w:space="0" w:color="auto"/>
        <w:left w:val="none" w:sz="0" w:space="0" w:color="auto"/>
        <w:bottom w:val="none" w:sz="0" w:space="0" w:color="auto"/>
        <w:right w:val="none" w:sz="0" w:space="0" w:color="auto"/>
      </w:divBdr>
      <w:divsChild>
        <w:div w:id="1154298960">
          <w:marLeft w:val="1166"/>
          <w:marRight w:val="0"/>
          <w:marTop w:val="0"/>
          <w:marBottom w:val="120"/>
          <w:divBdr>
            <w:top w:val="none" w:sz="0" w:space="0" w:color="auto"/>
            <w:left w:val="none" w:sz="0" w:space="0" w:color="auto"/>
            <w:bottom w:val="none" w:sz="0" w:space="0" w:color="auto"/>
            <w:right w:val="none" w:sz="0" w:space="0" w:color="auto"/>
          </w:divBdr>
        </w:div>
        <w:div w:id="1536428705">
          <w:marLeft w:val="1166"/>
          <w:marRight w:val="0"/>
          <w:marTop w:val="0"/>
          <w:marBottom w:val="360"/>
          <w:divBdr>
            <w:top w:val="none" w:sz="0" w:space="0" w:color="auto"/>
            <w:left w:val="none" w:sz="0" w:space="0" w:color="auto"/>
            <w:bottom w:val="none" w:sz="0" w:space="0" w:color="auto"/>
            <w:right w:val="none" w:sz="0" w:space="0" w:color="auto"/>
          </w:divBdr>
        </w:div>
      </w:divsChild>
    </w:div>
    <w:div w:id="1188714749">
      <w:bodyDiv w:val="1"/>
      <w:marLeft w:val="0"/>
      <w:marRight w:val="0"/>
      <w:marTop w:val="0"/>
      <w:marBottom w:val="0"/>
      <w:divBdr>
        <w:top w:val="none" w:sz="0" w:space="0" w:color="auto"/>
        <w:left w:val="none" w:sz="0" w:space="0" w:color="auto"/>
        <w:bottom w:val="none" w:sz="0" w:space="0" w:color="auto"/>
        <w:right w:val="none" w:sz="0" w:space="0" w:color="auto"/>
      </w:divBdr>
      <w:divsChild>
        <w:div w:id="371657241">
          <w:marLeft w:val="1368"/>
          <w:marRight w:val="0"/>
          <w:marTop w:val="125"/>
          <w:marBottom w:val="0"/>
          <w:divBdr>
            <w:top w:val="none" w:sz="0" w:space="0" w:color="auto"/>
            <w:left w:val="none" w:sz="0" w:space="0" w:color="auto"/>
            <w:bottom w:val="none" w:sz="0" w:space="0" w:color="auto"/>
            <w:right w:val="none" w:sz="0" w:space="0" w:color="auto"/>
          </w:divBdr>
        </w:div>
        <w:div w:id="559174193">
          <w:marLeft w:val="1368"/>
          <w:marRight w:val="0"/>
          <w:marTop w:val="125"/>
          <w:marBottom w:val="0"/>
          <w:divBdr>
            <w:top w:val="none" w:sz="0" w:space="0" w:color="auto"/>
            <w:left w:val="none" w:sz="0" w:space="0" w:color="auto"/>
            <w:bottom w:val="none" w:sz="0" w:space="0" w:color="auto"/>
            <w:right w:val="none" w:sz="0" w:space="0" w:color="auto"/>
          </w:divBdr>
        </w:div>
        <w:div w:id="72550039">
          <w:marLeft w:val="1368"/>
          <w:marRight w:val="0"/>
          <w:marTop w:val="125"/>
          <w:marBottom w:val="0"/>
          <w:divBdr>
            <w:top w:val="none" w:sz="0" w:space="0" w:color="auto"/>
            <w:left w:val="none" w:sz="0" w:space="0" w:color="auto"/>
            <w:bottom w:val="none" w:sz="0" w:space="0" w:color="auto"/>
            <w:right w:val="none" w:sz="0" w:space="0" w:color="auto"/>
          </w:divBdr>
        </w:div>
      </w:divsChild>
    </w:div>
    <w:div w:id="1265112840">
      <w:bodyDiv w:val="1"/>
      <w:marLeft w:val="0"/>
      <w:marRight w:val="0"/>
      <w:marTop w:val="0"/>
      <w:marBottom w:val="0"/>
      <w:divBdr>
        <w:top w:val="none" w:sz="0" w:space="0" w:color="auto"/>
        <w:left w:val="none" w:sz="0" w:space="0" w:color="auto"/>
        <w:bottom w:val="none" w:sz="0" w:space="0" w:color="auto"/>
        <w:right w:val="none" w:sz="0" w:space="0" w:color="auto"/>
      </w:divBdr>
    </w:div>
    <w:div w:id="1296519467">
      <w:bodyDiv w:val="1"/>
      <w:marLeft w:val="0"/>
      <w:marRight w:val="0"/>
      <w:marTop w:val="0"/>
      <w:marBottom w:val="0"/>
      <w:divBdr>
        <w:top w:val="none" w:sz="0" w:space="0" w:color="auto"/>
        <w:left w:val="none" w:sz="0" w:space="0" w:color="auto"/>
        <w:bottom w:val="none" w:sz="0" w:space="0" w:color="auto"/>
        <w:right w:val="none" w:sz="0" w:space="0" w:color="auto"/>
      </w:divBdr>
    </w:div>
    <w:div w:id="1310591083">
      <w:bodyDiv w:val="1"/>
      <w:marLeft w:val="0"/>
      <w:marRight w:val="0"/>
      <w:marTop w:val="0"/>
      <w:marBottom w:val="0"/>
      <w:divBdr>
        <w:top w:val="none" w:sz="0" w:space="0" w:color="auto"/>
        <w:left w:val="none" w:sz="0" w:space="0" w:color="auto"/>
        <w:bottom w:val="none" w:sz="0" w:space="0" w:color="auto"/>
        <w:right w:val="none" w:sz="0" w:space="0" w:color="auto"/>
      </w:divBdr>
    </w:div>
    <w:div w:id="1410811649">
      <w:bodyDiv w:val="1"/>
      <w:marLeft w:val="0"/>
      <w:marRight w:val="0"/>
      <w:marTop w:val="0"/>
      <w:marBottom w:val="0"/>
      <w:divBdr>
        <w:top w:val="none" w:sz="0" w:space="0" w:color="auto"/>
        <w:left w:val="none" w:sz="0" w:space="0" w:color="auto"/>
        <w:bottom w:val="none" w:sz="0" w:space="0" w:color="auto"/>
        <w:right w:val="none" w:sz="0" w:space="0" w:color="auto"/>
      </w:divBdr>
      <w:divsChild>
        <w:div w:id="226570406">
          <w:marLeft w:val="1166"/>
          <w:marRight w:val="0"/>
          <w:marTop w:val="0"/>
          <w:marBottom w:val="120"/>
          <w:divBdr>
            <w:top w:val="none" w:sz="0" w:space="0" w:color="auto"/>
            <w:left w:val="none" w:sz="0" w:space="0" w:color="auto"/>
            <w:bottom w:val="none" w:sz="0" w:space="0" w:color="auto"/>
            <w:right w:val="none" w:sz="0" w:space="0" w:color="auto"/>
          </w:divBdr>
        </w:div>
        <w:div w:id="1808693882">
          <w:marLeft w:val="1166"/>
          <w:marRight w:val="0"/>
          <w:marTop w:val="0"/>
          <w:marBottom w:val="120"/>
          <w:divBdr>
            <w:top w:val="none" w:sz="0" w:space="0" w:color="auto"/>
            <w:left w:val="none" w:sz="0" w:space="0" w:color="auto"/>
            <w:bottom w:val="none" w:sz="0" w:space="0" w:color="auto"/>
            <w:right w:val="none" w:sz="0" w:space="0" w:color="auto"/>
          </w:divBdr>
        </w:div>
      </w:divsChild>
    </w:div>
    <w:div w:id="1498686706">
      <w:bodyDiv w:val="1"/>
      <w:marLeft w:val="0"/>
      <w:marRight w:val="0"/>
      <w:marTop w:val="0"/>
      <w:marBottom w:val="0"/>
      <w:divBdr>
        <w:top w:val="none" w:sz="0" w:space="0" w:color="auto"/>
        <w:left w:val="none" w:sz="0" w:space="0" w:color="auto"/>
        <w:bottom w:val="none" w:sz="0" w:space="0" w:color="auto"/>
        <w:right w:val="none" w:sz="0" w:space="0" w:color="auto"/>
      </w:divBdr>
    </w:div>
    <w:div w:id="1843936749">
      <w:bodyDiv w:val="1"/>
      <w:marLeft w:val="0"/>
      <w:marRight w:val="0"/>
      <w:marTop w:val="0"/>
      <w:marBottom w:val="0"/>
      <w:divBdr>
        <w:top w:val="none" w:sz="0" w:space="0" w:color="auto"/>
        <w:left w:val="none" w:sz="0" w:space="0" w:color="auto"/>
        <w:bottom w:val="none" w:sz="0" w:space="0" w:color="auto"/>
        <w:right w:val="none" w:sz="0" w:space="0" w:color="auto"/>
      </w:divBdr>
      <w:divsChild>
        <w:div w:id="2132553631">
          <w:marLeft w:val="547"/>
          <w:marRight w:val="0"/>
          <w:marTop w:val="0"/>
          <w:marBottom w:val="360"/>
          <w:divBdr>
            <w:top w:val="none" w:sz="0" w:space="0" w:color="auto"/>
            <w:left w:val="none" w:sz="0" w:space="0" w:color="auto"/>
            <w:bottom w:val="none" w:sz="0" w:space="0" w:color="auto"/>
            <w:right w:val="none" w:sz="0" w:space="0" w:color="auto"/>
          </w:divBdr>
        </w:div>
        <w:div w:id="1780300733">
          <w:marLeft w:val="547"/>
          <w:marRight w:val="0"/>
          <w:marTop w:val="0"/>
          <w:marBottom w:val="360"/>
          <w:divBdr>
            <w:top w:val="none" w:sz="0" w:space="0" w:color="auto"/>
            <w:left w:val="none" w:sz="0" w:space="0" w:color="auto"/>
            <w:bottom w:val="none" w:sz="0" w:space="0" w:color="auto"/>
            <w:right w:val="none" w:sz="0" w:space="0" w:color="auto"/>
          </w:divBdr>
        </w:div>
      </w:divsChild>
    </w:div>
    <w:div w:id="1925991217">
      <w:bodyDiv w:val="1"/>
      <w:marLeft w:val="0"/>
      <w:marRight w:val="0"/>
      <w:marTop w:val="0"/>
      <w:marBottom w:val="0"/>
      <w:divBdr>
        <w:top w:val="none" w:sz="0" w:space="0" w:color="auto"/>
        <w:left w:val="none" w:sz="0" w:space="0" w:color="auto"/>
        <w:bottom w:val="none" w:sz="0" w:space="0" w:color="auto"/>
        <w:right w:val="none" w:sz="0" w:space="0" w:color="auto"/>
      </w:divBdr>
      <w:divsChild>
        <w:div w:id="299653019">
          <w:marLeft w:val="547"/>
          <w:marRight w:val="0"/>
          <w:marTop w:val="0"/>
          <w:marBottom w:val="360"/>
          <w:divBdr>
            <w:top w:val="none" w:sz="0" w:space="0" w:color="auto"/>
            <w:left w:val="none" w:sz="0" w:space="0" w:color="auto"/>
            <w:bottom w:val="none" w:sz="0" w:space="0" w:color="auto"/>
            <w:right w:val="none" w:sz="0" w:space="0" w:color="auto"/>
          </w:divBdr>
        </w:div>
      </w:divsChild>
    </w:div>
    <w:div w:id="2036149331">
      <w:bodyDiv w:val="1"/>
      <w:marLeft w:val="0"/>
      <w:marRight w:val="0"/>
      <w:marTop w:val="0"/>
      <w:marBottom w:val="0"/>
      <w:divBdr>
        <w:top w:val="none" w:sz="0" w:space="0" w:color="auto"/>
        <w:left w:val="none" w:sz="0" w:space="0" w:color="auto"/>
        <w:bottom w:val="none" w:sz="0" w:space="0" w:color="auto"/>
        <w:right w:val="none" w:sz="0" w:space="0" w:color="auto"/>
      </w:divBdr>
    </w:div>
    <w:div w:id="2060399320">
      <w:bodyDiv w:val="1"/>
      <w:marLeft w:val="0"/>
      <w:marRight w:val="0"/>
      <w:marTop w:val="0"/>
      <w:marBottom w:val="0"/>
      <w:divBdr>
        <w:top w:val="none" w:sz="0" w:space="0" w:color="auto"/>
        <w:left w:val="none" w:sz="0" w:space="0" w:color="auto"/>
        <w:bottom w:val="none" w:sz="0" w:space="0" w:color="auto"/>
        <w:right w:val="none" w:sz="0" w:space="0" w:color="auto"/>
      </w:divBdr>
    </w:div>
    <w:div w:id="207450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www.basel.int/tabid/7906/Default.aspx" TargetMode="External"/><Relationship Id="rId2" Type="http://schemas.openxmlformats.org/officeDocument/2006/relationships/hyperlink" Target="http://www.basel.int/tabid/7520/Default.aspx" TargetMode="External"/><Relationship Id="rId1" Type="http://schemas.openxmlformats.org/officeDocument/2006/relationships/hyperlink" Target="http://www.basel.int/tabid/6258/Default.aspx" TargetMode="External"/><Relationship Id="rId5" Type="http://schemas.openxmlformats.org/officeDocument/2006/relationships/hyperlink" Target="http://www.basel.int/tabid/7520/Default.aspx" TargetMode="External"/><Relationship Id="rId4" Type="http://schemas.openxmlformats.org/officeDocument/2006/relationships/hyperlink" Target="http://www.basel.int/tabid/7520/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4F41F0-2E7C-4789-AD00-68BA3249B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6263</Words>
  <Characters>35703</Characters>
  <Application>Microsoft Office Word</Application>
  <DocSecurity>0</DocSecurity>
  <Lines>297</Lines>
  <Paragraphs>83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BRS</Company>
  <LinksUpToDate>false</LinksUpToDate>
  <CharactersWithSpaces>41883</CharactersWithSpaces>
  <SharedDoc>false</SharedDoc>
  <HLinks>
    <vt:vector size="6" baseType="variant">
      <vt:variant>
        <vt:i4>2293867</vt:i4>
      </vt:variant>
      <vt:variant>
        <vt:i4>0</vt:i4>
      </vt:variant>
      <vt:variant>
        <vt:i4>0</vt:i4>
      </vt:variant>
      <vt:variant>
        <vt:i4>5</vt:i4>
      </vt:variant>
      <vt:variant>
        <vt:lpwstr>http://www.basel.int/Implementation/TechnicalMatters/DevelopmentofTechnicalGuidelines/MercuryWaste/tabid/2380/Default.aspx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BRS</dc:creator>
  <cp:lastModifiedBy>Jewel Omollo(Intern)</cp:lastModifiedBy>
  <cp:revision>2</cp:revision>
  <cp:lastPrinted>2016-01-25T10:32:00Z</cp:lastPrinted>
  <dcterms:created xsi:type="dcterms:W3CDTF">2019-03-03T13:50:00Z</dcterms:created>
  <dcterms:modified xsi:type="dcterms:W3CDTF">2019-03-03T13:50:00Z</dcterms:modified>
</cp:coreProperties>
</file>