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6242" w14:textId="77777777" w:rsidR="001A286A" w:rsidRPr="00C50403" w:rsidRDefault="001A286A" w:rsidP="001A286A">
      <w:pPr>
        <w:tabs>
          <w:tab w:val="left" w:pos="3802"/>
        </w:tabs>
        <w:jc w:val="both"/>
        <w:rPr>
          <w:rFonts w:asciiTheme="majorHAnsi" w:hAnsiTheme="majorHAnsi" w:cstheme="majorHAnsi"/>
          <w:lang w:val="es-ES_tradnl"/>
        </w:rPr>
      </w:pPr>
    </w:p>
    <w:p w14:paraId="5AB6BFC2" w14:textId="284B5B44" w:rsidR="00BE0D3A" w:rsidRPr="00F077BF" w:rsidRDefault="00F077BF" w:rsidP="00BE0D3A">
      <w:pPr>
        <w:autoSpaceDE w:val="0"/>
        <w:autoSpaceDN w:val="0"/>
        <w:adjustRightInd w:val="0"/>
        <w:rPr>
          <w:rFonts w:asciiTheme="majorHAnsi" w:hAnsiTheme="majorHAnsi" w:cstheme="majorHAnsi"/>
          <w:b/>
        </w:rPr>
      </w:pPr>
      <w:r>
        <w:rPr>
          <w:rFonts w:asciiTheme="majorHAnsi" w:hAnsiTheme="majorHAnsi" w:cstheme="majorHAnsi"/>
          <w:b/>
        </w:rPr>
        <w:t>STATEMENT COLOMBIA DAY 1. SECOND SUBSTANTIVE SESSION TOWARDS A GLOBAL PACT</w:t>
      </w:r>
    </w:p>
    <w:p w14:paraId="6AAD22F1" w14:textId="77777777" w:rsidR="00F077BF" w:rsidRPr="00C02B1B" w:rsidRDefault="00F077BF" w:rsidP="00BE0D3A">
      <w:pPr>
        <w:autoSpaceDE w:val="0"/>
        <w:autoSpaceDN w:val="0"/>
        <w:adjustRightInd w:val="0"/>
        <w:rPr>
          <w:rFonts w:asciiTheme="majorHAnsi" w:hAnsiTheme="majorHAnsi" w:cstheme="majorHAnsi"/>
          <w:b/>
          <w:u w:val="single"/>
        </w:rPr>
      </w:pPr>
    </w:p>
    <w:tbl>
      <w:tblPr>
        <w:tblStyle w:val="Tablaconcuadrcula"/>
        <w:tblW w:w="0" w:type="auto"/>
        <w:shd w:val="clear" w:color="auto" w:fill="F2F2F2" w:themeFill="background1" w:themeFillShade="F2"/>
        <w:tblLook w:val="04A0" w:firstRow="1" w:lastRow="0" w:firstColumn="1" w:lastColumn="0" w:noHBand="0" w:noVBand="1"/>
      </w:tblPr>
      <w:tblGrid>
        <w:gridCol w:w="8828"/>
      </w:tblGrid>
      <w:tr w:rsidR="00BE0D3A" w:rsidRPr="00C50403" w14:paraId="7AF83586" w14:textId="77777777" w:rsidTr="000129C5">
        <w:tc>
          <w:tcPr>
            <w:tcW w:w="8828" w:type="dxa"/>
            <w:shd w:val="clear" w:color="auto" w:fill="F2F2F2" w:themeFill="background1" w:themeFillShade="F2"/>
          </w:tcPr>
          <w:p w14:paraId="45AEC487" w14:textId="697A6ED5" w:rsidR="00F50699" w:rsidRPr="00F50699" w:rsidRDefault="00F50699" w:rsidP="000129C5">
            <w:pPr>
              <w:pStyle w:val="NormalWeb"/>
              <w:jc w:val="both"/>
              <w:rPr>
                <w:rFonts w:asciiTheme="majorHAnsi" w:hAnsiTheme="majorHAnsi" w:cstheme="majorHAnsi"/>
                <w:b/>
                <w:u w:val="single"/>
              </w:rPr>
            </w:pPr>
            <w:r w:rsidRPr="00F50699">
              <w:rPr>
                <w:rFonts w:asciiTheme="majorHAnsi" w:hAnsiTheme="majorHAnsi" w:cstheme="majorHAnsi"/>
                <w:b/>
                <w:u w:val="single"/>
              </w:rPr>
              <w:t xml:space="preserve">Intervención Apertura de la Sesión </w:t>
            </w:r>
          </w:p>
          <w:p w14:paraId="4092B901" w14:textId="1C575A80" w:rsidR="00913A14" w:rsidRDefault="00913A14" w:rsidP="00913A14">
            <w:pPr>
              <w:jc w:val="center"/>
              <w:rPr>
                <w:rFonts w:asciiTheme="majorHAnsi" w:hAnsiTheme="majorHAnsi"/>
                <w:b/>
              </w:rPr>
            </w:pPr>
            <w:r>
              <w:rPr>
                <w:rFonts w:asciiTheme="majorHAnsi" w:hAnsiTheme="majorHAnsi"/>
                <w:b/>
              </w:rPr>
              <w:t>2</w:t>
            </w:r>
            <w:r w:rsidRPr="00ED19C6">
              <w:rPr>
                <w:rFonts w:asciiTheme="majorHAnsi" w:hAnsiTheme="majorHAnsi"/>
                <w:b/>
              </w:rPr>
              <w:t>da Reunión Sustantiva del Grupo de Trabajo establec</w:t>
            </w:r>
            <w:r>
              <w:rPr>
                <w:rFonts w:asciiTheme="majorHAnsi" w:hAnsiTheme="majorHAnsi"/>
                <w:b/>
              </w:rPr>
              <w:t>ido por la resolución AG 72/277</w:t>
            </w:r>
            <w:r>
              <w:rPr>
                <w:rFonts w:asciiTheme="majorHAnsi" w:hAnsiTheme="majorHAnsi"/>
                <w:b/>
              </w:rPr>
              <w:br/>
            </w:r>
            <w:r w:rsidRPr="00ED19C6">
              <w:rPr>
                <w:rFonts w:asciiTheme="majorHAnsi" w:hAnsiTheme="majorHAnsi"/>
                <w:b/>
              </w:rPr>
              <w:t>18-20 de marzo de 2019</w:t>
            </w:r>
            <w:r>
              <w:rPr>
                <w:rFonts w:asciiTheme="majorHAnsi" w:hAnsiTheme="majorHAnsi"/>
                <w:b/>
              </w:rPr>
              <w:br/>
            </w:r>
            <w:r w:rsidRPr="00ED19C6">
              <w:rPr>
                <w:rFonts w:asciiTheme="majorHAnsi" w:hAnsiTheme="majorHAnsi"/>
                <w:b/>
              </w:rPr>
              <w:t>Nairobi, Kenia</w:t>
            </w:r>
          </w:p>
          <w:p w14:paraId="5E3794CC" w14:textId="77777777" w:rsidR="00913A14" w:rsidRPr="00ED19C6" w:rsidRDefault="00913A14" w:rsidP="00913A14">
            <w:pPr>
              <w:jc w:val="center"/>
              <w:rPr>
                <w:rFonts w:asciiTheme="majorHAnsi" w:hAnsiTheme="majorHAnsi"/>
                <w:b/>
              </w:rPr>
            </w:pPr>
          </w:p>
          <w:p w14:paraId="57D028C3" w14:textId="533115BB" w:rsidR="00913A14" w:rsidRDefault="00913A14" w:rsidP="00913A14">
            <w:pPr>
              <w:spacing w:line="276" w:lineRule="auto"/>
              <w:rPr>
                <w:rFonts w:asciiTheme="majorHAnsi" w:hAnsiTheme="majorHAnsi"/>
              </w:rPr>
            </w:pPr>
            <w:r w:rsidRPr="00ED19C6">
              <w:rPr>
                <w:rFonts w:asciiTheme="majorHAnsi" w:hAnsiTheme="majorHAnsi"/>
              </w:rPr>
              <w:t xml:space="preserve">Señores Co-presidentes, Excelencias, distinguidos delegados, </w:t>
            </w:r>
          </w:p>
          <w:p w14:paraId="1D1B9741" w14:textId="77777777" w:rsidR="00913A14" w:rsidRPr="00ED19C6" w:rsidRDefault="00913A14" w:rsidP="00913A14">
            <w:pPr>
              <w:spacing w:line="276" w:lineRule="auto"/>
              <w:rPr>
                <w:rFonts w:asciiTheme="majorHAnsi" w:hAnsiTheme="majorHAnsi"/>
              </w:rPr>
            </w:pPr>
          </w:p>
          <w:p w14:paraId="67B8B307" w14:textId="7B5BE9F6" w:rsidR="00913A14" w:rsidRDefault="00913A14" w:rsidP="00913A14">
            <w:pPr>
              <w:spacing w:line="276" w:lineRule="auto"/>
              <w:jc w:val="both"/>
              <w:rPr>
                <w:rFonts w:asciiTheme="majorHAnsi" w:hAnsiTheme="majorHAnsi"/>
              </w:rPr>
            </w:pPr>
            <w:r w:rsidRPr="00ED19C6">
              <w:rPr>
                <w:rFonts w:asciiTheme="majorHAnsi" w:hAnsiTheme="majorHAnsi"/>
              </w:rPr>
              <w:t xml:space="preserve">Colombia agradece los esfuerzos de los Co-Presidentes en proveer elementos para guiar las discusiones en esta segunda sesión sustantiva del grupo de trabajo. Colombia confía en que esta sesión nos permitirá avanzar conjuntamente, en línea con el mandato de la resolución, en identificar los vacíos del derecho internacional ambiental e instrumentos relacionados y sus posibles soluciones. </w:t>
            </w:r>
          </w:p>
          <w:p w14:paraId="102B7875" w14:textId="767D97E9" w:rsidR="00913A14" w:rsidRPr="00ED19C6" w:rsidRDefault="00913A14" w:rsidP="00913A14">
            <w:pPr>
              <w:spacing w:line="276" w:lineRule="auto"/>
              <w:jc w:val="both"/>
              <w:rPr>
                <w:rFonts w:asciiTheme="majorHAnsi" w:hAnsiTheme="majorHAnsi"/>
              </w:rPr>
            </w:pPr>
          </w:p>
          <w:p w14:paraId="33B90CDA" w14:textId="21A52E63" w:rsidR="00913A14" w:rsidRDefault="00913A14" w:rsidP="00913A14">
            <w:pPr>
              <w:spacing w:line="276" w:lineRule="auto"/>
              <w:jc w:val="both"/>
              <w:rPr>
                <w:rFonts w:asciiTheme="majorHAnsi" w:hAnsiTheme="majorHAnsi"/>
              </w:rPr>
            </w:pPr>
            <w:r w:rsidRPr="00ED19C6">
              <w:rPr>
                <w:rFonts w:asciiTheme="majorHAnsi" w:hAnsiTheme="majorHAnsi"/>
              </w:rPr>
              <w:t>Señores Co-Presidentes,</w:t>
            </w:r>
          </w:p>
          <w:p w14:paraId="58F15A7D" w14:textId="77777777" w:rsidR="00913A14" w:rsidRPr="00ED19C6" w:rsidRDefault="00913A14" w:rsidP="00913A14">
            <w:pPr>
              <w:spacing w:line="276" w:lineRule="auto"/>
              <w:jc w:val="both"/>
              <w:rPr>
                <w:rFonts w:asciiTheme="majorHAnsi" w:hAnsiTheme="majorHAnsi"/>
                <w:b/>
              </w:rPr>
            </w:pPr>
          </w:p>
          <w:p w14:paraId="5D2EE3F5" w14:textId="47BB2DC8" w:rsidR="00913A14" w:rsidRDefault="00913A14" w:rsidP="00913A14">
            <w:pPr>
              <w:spacing w:line="276" w:lineRule="auto"/>
              <w:jc w:val="both"/>
              <w:rPr>
                <w:rFonts w:asciiTheme="majorHAnsi" w:hAnsiTheme="majorHAnsi"/>
              </w:rPr>
            </w:pPr>
            <w:r w:rsidRPr="00ED19C6">
              <w:rPr>
                <w:rFonts w:asciiTheme="majorHAnsi" w:hAnsiTheme="majorHAnsi"/>
              </w:rPr>
              <w:t>Para Colombia la primera sesión sustantiva del grupo de trabajo celebrada en enero de este año dejó varios aprendizajes frente al proceso y del escenario en el que nos encontramos.</w:t>
            </w:r>
          </w:p>
          <w:p w14:paraId="72D81DB5" w14:textId="77777777" w:rsidR="00913A14" w:rsidRPr="00ED19C6" w:rsidRDefault="00913A14" w:rsidP="00913A14">
            <w:pPr>
              <w:spacing w:line="276" w:lineRule="auto"/>
              <w:jc w:val="both"/>
              <w:rPr>
                <w:rFonts w:asciiTheme="majorHAnsi" w:hAnsiTheme="majorHAnsi"/>
              </w:rPr>
            </w:pPr>
          </w:p>
          <w:p w14:paraId="6AEC02E5" w14:textId="77777777" w:rsidR="00913A14" w:rsidRPr="00ED19C6" w:rsidRDefault="00913A14" w:rsidP="00913A14">
            <w:pPr>
              <w:spacing w:line="276" w:lineRule="auto"/>
              <w:jc w:val="both"/>
              <w:rPr>
                <w:rFonts w:asciiTheme="majorHAnsi" w:hAnsiTheme="majorHAnsi"/>
              </w:rPr>
            </w:pPr>
            <w:r w:rsidRPr="00ED19C6">
              <w:rPr>
                <w:rFonts w:asciiTheme="majorHAnsi" w:hAnsiTheme="majorHAnsi"/>
              </w:rPr>
              <w:t xml:space="preserve">Colombia quisiera empezar resaltando algunos de los elementos que, a nuestro modo de ver, deben ser tenidos en cuenta para esta segunda sesión. En primer lugar, consideramos que existe un amplio reconocimiento de los retos de coordinación del sistema y de cooperación para la implementación de los instrumentos en materia de medio ambiente. En segundo lugar, en la importancia de no ir en detrimento ni debilitar los instrumentos globales y regionales existentes ni las negociaciones en curso. En tercer lugar, para Colombia y en línea con lo manifestado por otras delegaciones, es importante tener en cuenta la necesidad de protección del medio ambiente y de certeza jurídica del sistema. </w:t>
            </w:r>
          </w:p>
          <w:p w14:paraId="7B3803AC" w14:textId="77777777" w:rsidR="00913A14" w:rsidRDefault="00913A14" w:rsidP="00913A14">
            <w:pPr>
              <w:pStyle w:val="Default"/>
              <w:spacing w:line="276" w:lineRule="auto"/>
              <w:jc w:val="both"/>
              <w:rPr>
                <w:rFonts w:asciiTheme="majorHAnsi" w:hAnsiTheme="majorHAnsi"/>
              </w:rPr>
            </w:pPr>
            <w:r w:rsidRPr="00ED19C6">
              <w:rPr>
                <w:rFonts w:asciiTheme="majorHAnsi" w:hAnsiTheme="majorHAnsi"/>
              </w:rPr>
              <w:t>En relación al tema que nos ocupa para esta segunda sesión, Colombia observa que las preguntas de los co-presidentes asumen la existencia de “vacíos o retos”. Consideramos importante</w:t>
            </w:r>
            <w:r>
              <w:rPr>
                <w:rFonts w:asciiTheme="majorHAnsi" w:hAnsiTheme="majorHAnsi"/>
              </w:rPr>
              <w:t>,</w:t>
            </w:r>
            <w:r w:rsidRPr="00ED19C6">
              <w:rPr>
                <w:rFonts w:asciiTheme="majorHAnsi" w:hAnsiTheme="majorHAnsi"/>
              </w:rPr>
              <w:t xml:space="preserve"> antes de responder a estas preguntas, aclarar qué entendemos como un posible vacío y si existen actualmente vacíos en el Derecho Internacional Ambiental. </w:t>
            </w:r>
          </w:p>
          <w:p w14:paraId="2EF1E0AF" w14:textId="77777777" w:rsidR="00913A14" w:rsidRDefault="00913A14" w:rsidP="00913A14">
            <w:pPr>
              <w:pStyle w:val="Default"/>
              <w:spacing w:line="276" w:lineRule="auto"/>
              <w:jc w:val="both"/>
              <w:rPr>
                <w:rFonts w:asciiTheme="majorHAnsi" w:hAnsiTheme="majorHAnsi"/>
              </w:rPr>
            </w:pPr>
          </w:p>
          <w:p w14:paraId="10457584" w14:textId="77777777" w:rsidR="00913A14" w:rsidRPr="00ED19C6" w:rsidRDefault="00913A14" w:rsidP="00913A14">
            <w:pPr>
              <w:pStyle w:val="Default"/>
              <w:spacing w:line="276" w:lineRule="auto"/>
              <w:jc w:val="both"/>
              <w:rPr>
                <w:rFonts w:asciiTheme="majorHAnsi" w:hAnsiTheme="majorHAnsi" w:cs="Arial"/>
              </w:rPr>
            </w:pPr>
            <w:r>
              <w:rPr>
                <w:rFonts w:asciiTheme="majorHAnsi" w:hAnsiTheme="majorHAnsi" w:cs="Arial"/>
              </w:rPr>
              <w:t xml:space="preserve">Para Colombia la definición </w:t>
            </w:r>
            <w:r w:rsidRPr="00ED19C6">
              <w:rPr>
                <w:rFonts w:asciiTheme="majorHAnsi" w:hAnsiTheme="majorHAnsi" w:cs="Arial"/>
              </w:rPr>
              <w:t>de “vacío” debe acotarse al contexto de las relaciones y el derecho</w:t>
            </w:r>
            <w:r>
              <w:rPr>
                <w:rFonts w:asciiTheme="majorHAnsi" w:hAnsiTheme="majorHAnsi" w:cs="Arial"/>
              </w:rPr>
              <w:t xml:space="preserve"> internacional, y en tal medida, </w:t>
            </w:r>
            <w:r w:rsidRPr="00ED19C6">
              <w:rPr>
                <w:rFonts w:asciiTheme="majorHAnsi" w:hAnsiTheme="majorHAnsi" w:cs="Arial"/>
              </w:rPr>
              <w:t>algunos de los vacíos o retos que encontró el Reporte del Secretario General, no deben aproximarse como vacíos como tal, sino que:</w:t>
            </w:r>
          </w:p>
          <w:p w14:paraId="53B9F78F" w14:textId="30585C0F" w:rsidR="00913A14" w:rsidRDefault="00913A14" w:rsidP="00913A14">
            <w:pPr>
              <w:pStyle w:val="Default"/>
              <w:spacing w:line="276" w:lineRule="auto"/>
              <w:jc w:val="both"/>
              <w:rPr>
                <w:rFonts w:asciiTheme="majorHAnsi" w:hAnsiTheme="majorHAnsi" w:cs="Arial"/>
              </w:rPr>
            </w:pPr>
            <w:r>
              <w:rPr>
                <w:rFonts w:asciiTheme="majorHAnsi" w:hAnsiTheme="majorHAnsi" w:cs="Arial"/>
              </w:rPr>
              <w:lastRenderedPageBreak/>
              <w:br/>
            </w:r>
            <w:r w:rsidRPr="00ED19C6">
              <w:rPr>
                <w:rFonts w:asciiTheme="majorHAnsi" w:hAnsiTheme="majorHAnsi" w:cs="Arial"/>
              </w:rPr>
              <w:t>(i) son situaciones que los Estados han decidido no abordar en instrumentos internacionales en materia ambiental</w:t>
            </w:r>
            <w:r>
              <w:rPr>
                <w:rStyle w:val="Refdenotaalpie"/>
                <w:rFonts w:asciiTheme="majorHAnsi" w:hAnsiTheme="majorHAnsi" w:cs="Arial"/>
              </w:rPr>
              <w:footnoteReference w:id="1"/>
            </w:r>
            <w:r w:rsidRPr="00ED19C6">
              <w:rPr>
                <w:rFonts w:asciiTheme="majorHAnsi" w:hAnsiTheme="majorHAnsi" w:cs="Arial"/>
              </w:rPr>
              <w:t xml:space="preserve"> (ii) son temas que aún están en proceso de negociación</w:t>
            </w:r>
            <w:r>
              <w:rPr>
                <w:rStyle w:val="Refdenotaalpie"/>
                <w:rFonts w:asciiTheme="majorHAnsi" w:hAnsiTheme="majorHAnsi" w:cs="Arial"/>
              </w:rPr>
              <w:footnoteReference w:id="2"/>
            </w:r>
            <w:r>
              <w:rPr>
                <w:rFonts w:asciiTheme="majorHAnsi" w:hAnsiTheme="majorHAnsi" w:cs="Arial"/>
              </w:rPr>
              <w:t xml:space="preserve">; </w:t>
            </w:r>
            <w:r w:rsidRPr="00ED19C6">
              <w:rPr>
                <w:rFonts w:asciiTheme="majorHAnsi" w:hAnsiTheme="majorHAnsi" w:cs="Arial"/>
              </w:rPr>
              <w:t>(iii) son temas que los Estados han decidido no entrar a</w:t>
            </w:r>
            <w:r>
              <w:rPr>
                <w:rFonts w:asciiTheme="majorHAnsi" w:hAnsiTheme="majorHAnsi" w:cs="Arial"/>
              </w:rPr>
              <w:t xml:space="preserve"> negociar</w:t>
            </w:r>
            <w:r>
              <w:rPr>
                <w:rStyle w:val="Refdenotaalpie"/>
                <w:rFonts w:asciiTheme="majorHAnsi" w:hAnsiTheme="majorHAnsi" w:cs="Arial"/>
              </w:rPr>
              <w:footnoteReference w:id="3"/>
            </w:r>
            <w:r w:rsidRPr="00ED19C6">
              <w:rPr>
                <w:rStyle w:val="Refdenotaalpie"/>
                <w:rFonts w:asciiTheme="majorHAnsi" w:hAnsiTheme="majorHAnsi" w:cs="Arial"/>
              </w:rPr>
              <w:footnoteReference w:id="4"/>
            </w:r>
            <w:r w:rsidRPr="00ED19C6">
              <w:rPr>
                <w:rFonts w:asciiTheme="majorHAnsi" w:hAnsiTheme="majorHAnsi" w:cs="Arial"/>
              </w:rPr>
              <w:t xml:space="preserve">; (iv) son dificultades en la implementación de los acuerdos ambientales a nivel nacional; </w:t>
            </w:r>
            <w:r>
              <w:rPr>
                <w:rFonts w:asciiTheme="majorHAnsi" w:hAnsiTheme="majorHAnsi" w:cs="Arial"/>
              </w:rPr>
              <w:t>(</w:t>
            </w:r>
            <w:r w:rsidRPr="00ED19C6">
              <w:rPr>
                <w:rFonts w:asciiTheme="majorHAnsi" w:hAnsiTheme="majorHAnsi" w:cs="Arial"/>
              </w:rPr>
              <w:t xml:space="preserve">v) son el resultado de la falta de coordinación entre instrumentos ambientales. </w:t>
            </w:r>
          </w:p>
          <w:p w14:paraId="48D08165" w14:textId="339FF136" w:rsidR="00913A14" w:rsidRDefault="00913A14" w:rsidP="00913A14">
            <w:pPr>
              <w:pStyle w:val="Default"/>
              <w:spacing w:line="276" w:lineRule="auto"/>
              <w:jc w:val="both"/>
              <w:rPr>
                <w:rFonts w:asciiTheme="majorHAnsi" w:hAnsiTheme="majorHAnsi" w:cs="Arial"/>
              </w:rPr>
            </w:pPr>
          </w:p>
          <w:p w14:paraId="029B6F0E" w14:textId="114017B3" w:rsidR="00CB235A" w:rsidRDefault="00913A14" w:rsidP="00913A14">
            <w:pPr>
              <w:pStyle w:val="Default"/>
              <w:spacing w:line="276" w:lineRule="auto"/>
              <w:jc w:val="both"/>
              <w:rPr>
                <w:rFonts w:asciiTheme="majorHAnsi" w:hAnsiTheme="majorHAnsi" w:cs="Arial"/>
              </w:rPr>
            </w:pPr>
            <w:r>
              <w:rPr>
                <w:rFonts w:asciiTheme="majorHAnsi" w:hAnsiTheme="majorHAnsi" w:cs="Arial"/>
              </w:rPr>
              <w:t>Colombia confía en que los resultados permitirán avanzar hacia el fortalecimiento de la implementación de los Acuerdos Multilaterales Ambientales</w:t>
            </w:r>
            <w:r w:rsidR="00CB235A">
              <w:rPr>
                <w:rFonts w:asciiTheme="majorHAnsi" w:hAnsiTheme="majorHAnsi" w:cs="Arial"/>
              </w:rPr>
              <w:t xml:space="preserve">. Colombia reconoce </w:t>
            </w:r>
            <w:r>
              <w:rPr>
                <w:rFonts w:asciiTheme="majorHAnsi" w:hAnsiTheme="majorHAnsi" w:cs="Arial"/>
              </w:rPr>
              <w:t xml:space="preserve">que la </w:t>
            </w:r>
            <w:r w:rsidR="00CB235A">
              <w:rPr>
                <w:rFonts w:asciiTheme="majorHAnsi" w:hAnsiTheme="majorHAnsi" w:cs="Arial"/>
              </w:rPr>
              <w:t>adopción de los mismos fue producto de la convergencia de voluntades y compromisos que se materializaron en un delicado balance que dotaron de legitimad a estos instrumentos por parte de sus signatarios.</w:t>
            </w:r>
          </w:p>
          <w:p w14:paraId="43DC9B7F" w14:textId="109D2618" w:rsidR="00CB235A" w:rsidRDefault="00CB235A" w:rsidP="00913A14">
            <w:pPr>
              <w:pStyle w:val="Default"/>
              <w:spacing w:line="276" w:lineRule="auto"/>
              <w:jc w:val="both"/>
              <w:rPr>
                <w:rFonts w:asciiTheme="majorHAnsi" w:hAnsiTheme="majorHAnsi" w:cs="Arial"/>
              </w:rPr>
            </w:pPr>
          </w:p>
          <w:p w14:paraId="77CB2BE0" w14:textId="58A8E676" w:rsidR="00CB235A" w:rsidRDefault="00CB235A" w:rsidP="00913A14">
            <w:pPr>
              <w:pStyle w:val="Default"/>
              <w:spacing w:line="276" w:lineRule="auto"/>
              <w:jc w:val="both"/>
              <w:rPr>
                <w:rFonts w:asciiTheme="majorHAnsi" w:hAnsiTheme="majorHAnsi" w:cs="Arial"/>
              </w:rPr>
            </w:pPr>
            <w:r>
              <w:rPr>
                <w:rFonts w:asciiTheme="majorHAnsi" w:hAnsiTheme="majorHAnsi" w:cs="Arial"/>
              </w:rPr>
              <w:t>Adicionalmente, estos Acuerdos han evidenciado un proceso de fortalecimiento de su andamiaje instruccional con el fin de crear las condiciones y medios de implementación necesarios para alcanzar sus objetivos que, incluso, en la actualidad permanecen pertinentes y necesario</w:t>
            </w:r>
            <w:r w:rsidR="00F077BF">
              <w:rPr>
                <w:rFonts w:asciiTheme="majorHAnsi" w:hAnsiTheme="majorHAnsi" w:cs="Arial"/>
              </w:rPr>
              <w:t>s</w:t>
            </w:r>
            <w:r>
              <w:rPr>
                <w:rFonts w:asciiTheme="majorHAnsi" w:hAnsiTheme="majorHAnsi" w:cs="Arial"/>
              </w:rPr>
              <w:t xml:space="preserve"> para hacer frente a los principales desafíos globales ambientales. </w:t>
            </w:r>
          </w:p>
          <w:p w14:paraId="04EAD178" w14:textId="0E27A8CD" w:rsidR="00CB235A" w:rsidRDefault="00CB235A" w:rsidP="00913A14">
            <w:pPr>
              <w:pStyle w:val="Default"/>
              <w:spacing w:line="276" w:lineRule="auto"/>
              <w:jc w:val="both"/>
              <w:rPr>
                <w:rFonts w:asciiTheme="majorHAnsi" w:hAnsiTheme="majorHAnsi" w:cs="Arial"/>
              </w:rPr>
            </w:pPr>
          </w:p>
          <w:p w14:paraId="09991EF6" w14:textId="3C49C907" w:rsidR="00DC7F49" w:rsidRDefault="00CB235A" w:rsidP="00913A14">
            <w:pPr>
              <w:pStyle w:val="Default"/>
              <w:spacing w:line="276" w:lineRule="auto"/>
              <w:jc w:val="both"/>
              <w:rPr>
                <w:rFonts w:asciiTheme="majorHAnsi" w:hAnsiTheme="majorHAnsi" w:cs="Arial"/>
              </w:rPr>
            </w:pPr>
            <w:r>
              <w:rPr>
                <w:rFonts w:asciiTheme="majorHAnsi" w:hAnsiTheme="majorHAnsi" w:cs="Arial"/>
              </w:rPr>
              <w:t>El resultado de estas ne</w:t>
            </w:r>
            <w:r w:rsidR="00754454">
              <w:rPr>
                <w:rFonts w:asciiTheme="majorHAnsi" w:hAnsiTheme="majorHAnsi" w:cs="Arial"/>
              </w:rPr>
              <w:t xml:space="preserve">gociaciones tiene que </w:t>
            </w:r>
            <w:r>
              <w:rPr>
                <w:rFonts w:asciiTheme="majorHAnsi" w:hAnsiTheme="majorHAnsi" w:cs="Arial"/>
              </w:rPr>
              <w:t>llevarnos a</w:t>
            </w:r>
            <w:r w:rsidR="00DC7F49">
              <w:rPr>
                <w:rFonts w:asciiTheme="majorHAnsi" w:hAnsiTheme="majorHAnsi" w:cs="Arial"/>
              </w:rPr>
              <w:t xml:space="preserve"> (i) </w:t>
            </w:r>
            <w:r w:rsidR="00754454">
              <w:rPr>
                <w:rFonts w:asciiTheme="majorHAnsi" w:hAnsiTheme="majorHAnsi" w:cs="Arial"/>
              </w:rPr>
              <w:t xml:space="preserve">la </w:t>
            </w:r>
            <w:r w:rsidR="00DC7F49">
              <w:rPr>
                <w:rFonts w:asciiTheme="majorHAnsi" w:hAnsiTheme="majorHAnsi" w:cs="Arial"/>
              </w:rPr>
              <w:t>consolidación, actualización y posicionamiento de los principios ambientales contenidos en la Declaración de Río y los desarrollados posteriormente; (ii) el fortalecimiento de la estructura global de gobernanza ambiental particularmente a través del esclarecimiento y precisión de los mandatos, funciones de los órganos de gobierno del PNUMA y su coordinación; fortalecimiento de la interrelación del Programa con las Secretarías de los AMUMAS;</w:t>
            </w:r>
            <w:r w:rsidR="00754454">
              <w:rPr>
                <w:rFonts w:asciiTheme="majorHAnsi" w:hAnsiTheme="majorHAnsi" w:cs="Arial"/>
              </w:rPr>
              <w:t xml:space="preserve"> y el mejoramiento </w:t>
            </w:r>
            <w:r w:rsidR="00DC7F49">
              <w:rPr>
                <w:rFonts w:asciiTheme="majorHAnsi" w:hAnsiTheme="majorHAnsi" w:cs="Arial"/>
              </w:rPr>
              <w:t>de</w:t>
            </w:r>
            <w:r w:rsidR="00754454">
              <w:rPr>
                <w:rFonts w:asciiTheme="majorHAnsi" w:hAnsiTheme="majorHAnsi" w:cs="Arial"/>
              </w:rPr>
              <w:t xml:space="preserve"> sus</w:t>
            </w:r>
            <w:r w:rsidR="00DC7F49">
              <w:rPr>
                <w:rFonts w:asciiTheme="majorHAnsi" w:hAnsiTheme="majorHAnsi" w:cs="Arial"/>
              </w:rPr>
              <w:t xml:space="preserve"> capacidades </w:t>
            </w:r>
            <w:r w:rsidR="00754454">
              <w:rPr>
                <w:rFonts w:asciiTheme="majorHAnsi" w:hAnsiTheme="majorHAnsi" w:cs="Arial"/>
              </w:rPr>
              <w:t>de ejecución, verificación y cumplimiento</w:t>
            </w:r>
            <w:r w:rsidR="00DC7F49">
              <w:rPr>
                <w:rFonts w:asciiTheme="majorHAnsi" w:hAnsiTheme="majorHAnsi" w:cs="Arial"/>
              </w:rPr>
              <w:t xml:space="preserve">; (iii) </w:t>
            </w:r>
            <w:r w:rsidR="00754454">
              <w:rPr>
                <w:rFonts w:asciiTheme="majorHAnsi" w:hAnsiTheme="majorHAnsi" w:cs="Arial"/>
              </w:rPr>
              <w:t xml:space="preserve">mecanismos de coordinación </w:t>
            </w:r>
            <w:r w:rsidR="00754454">
              <w:rPr>
                <w:rFonts w:asciiTheme="majorHAnsi" w:hAnsiTheme="majorHAnsi" w:cs="Arial"/>
              </w:rPr>
              <w:lastRenderedPageBreak/>
              <w:t xml:space="preserve">y sinergias eficientes entre las agendas de los instrumentos existentes </w:t>
            </w:r>
            <w:r w:rsidR="00754454" w:rsidRPr="00754454">
              <w:rPr>
                <w:rFonts w:asciiTheme="majorHAnsi" w:hAnsiTheme="majorHAnsi" w:cs="Arial"/>
              </w:rPr>
              <w:t xml:space="preserve">en materia ambiental, teniendo en cuenta </w:t>
            </w:r>
            <w:r w:rsidR="00754454">
              <w:rPr>
                <w:rFonts w:asciiTheme="majorHAnsi" w:hAnsiTheme="majorHAnsi" w:cs="Arial"/>
              </w:rPr>
              <w:t xml:space="preserve"> la </w:t>
            </w:r>
            <w:r w:rsidR="00754454" w:rsidRPr="00754454">
              <w:rPr>
                <w:rFonts w:asciiTheme="majorHAnsi" w:hAnsiTheme="majorHAnsi" w:cs="Arial"/>
              </w:rPr>
              <w:t xml:space="preserve">multiplicidad </w:t>
            </w:r>
            <w:r w:rsidR="00462C51">
              <w:rPr>
                <w:rFonts w:asciiTheme="majorHAnsi" w:hAnsiTheme="majorHAnsi" w:cs="Arial"/>
              </w:rPr>
              <w:t>d</w:t>
            </w:r>
            <w:r w:rsidR="00754454">
              <w:rPr>
                <w:rFonts w:asciiTheme="majorHAnsi" w:hAnsiTheme="majorHAnsi" w:cs="Arial"/>
              </w:rPr>
              <w:t>e</w:t>
            </w:r>
            <w:r w:rsidR="00A42AB8">
              <w:rPr>
                <w:rFonts w:asciiTheme="majorHAnsi" w:hAnsiTheme="majorHAnsi" w:cs="Arial"/>
              </w:rPr>
              <w:t xml:space="preserve"> enfoques y objetivos. </w:t>
            </w:r>
          </w:p>
          <w:p w14:paraId="75B1DB58" w14:textId="09F44A6A" w:rsidR="00A42AB8" w:rsidRDefault="00A42AB8" w:rsidP="00913A14">
            <w:pPr>
              <w:pStyle w:val="Default"/>
              <w:spacing w:line="276" w:lineRule="auto"/>
              <w:jc w:val="both"/>
              <w:rPr>
                <w:rFonts w:asciiTheme="majorHAnsi" w:hAnsiTheme="majorHAnsi" w:cs="Arial"/>
              </w:rPr>
            </w:pPr>
          </w:p>
          <w:p w14:paraId="65B41993" w14:textId="71E461A6" w:rsidR="00DC7F49" w:rsidRDefault="00A42AB8" w:rsidP="00913A14">
            <w:pPr>
              <w:pStyle w:val="Default"/>
              <w:spacing w:line="276" w:lineRule="auto"/>
              <w:jc w:val="both"/>
              <w:rPr>
                <w:rFonts w:asciiTheme="majorHAnsi" w:hAnsiTheme="majorHAnsi" w:cs="Arial"/>
              </w:rPr>
            </w:pPr>
            <w:r>
              <w:rPr>
                <w:rFonts w:asciiTheme="majorHAnsi" w:hAnsiTheme="majorHAnsi" w:cs="Arial"/>
              </w:rPr>
              <w:t>Colombia participará constructivamente en esta sesión e invita a los demás Estados a tener en cuenta que estas discusiones deben tener como fin ulterior efectiva protección del medio ambiente.</w:t>
            </w:r>
          </w:p>
          <w:p w14:paraId="61831ABC" w14:textId="7DA57AD4" w:rsidR="001D32DA" w:rsidRDefault="001D32DA" w:rsidP="00913A14">
            <w:pPr>
              <w:pStyle w:val="Default"/>
              <w:spacing w:line="276" w:lineRule="auto"/>
              <w:jc w:val="both"/>
              <w:rPr>
                <w:rFonts w:asciiTheme="majorHAnsi" w:hAnsiTheme="majorHAnsi" w:cs="Arial"/>
              </w:rPr>
            </w:pPr>
          </w:p>
          <w:p w14:paraId="506623BB" w14:textId="6309BE63" w:rsidR="001D32DA" w:rsidRDefault="001D32DA" w:rsidP="00913A14">
            <w:pPr>
              <w:pStyle w:val="Default"/>
              <w:spacing w:line="276" w:lineRule="auto"/>
              <w:jc w:val="both"/>
              <w:rPr>
                <w:rFonts w:asciiTheme="majorHAnsi" w:hAnsiTheme="majorHAnsi" w:cs="Arial"/>
                <w:b/>
              </w:rPr>
            </w:pPr>
            <w:r>
              <w:rPr>
                <w:rFonts w:asciiTheme="majorHAnsi" w:hAnsiTheme="majorHAnsi" w:cs="Arial"/>
                <w:b/>
              </w:rPr>
              <w:t xml:space="preserve">SESIÓN DE LA TARDE – REPUESTAS PREGUNTAS 2 Y 3 </w:t>
            </w:r>
          </w:p>
          <w:p w14:paraId="07D9C697" w14:textId="48A4548A" w:rsidR="001D32DA" w:rsidRDefault="001D32DA" w:rsidP="00913A14">
            <w:pPr>
              <w:pStyle w:val="Default"/>
              <w:spacing w:line="276" w:lineRule="auto"/>
              <w:jc w:val="both"/>
              <w:rPr>
                <w:rFonts w:asciiTheme="majorHAnsi" w:hAnsiTheme="majorHAnsi" w:cs="Arial"/>
                <w:b/>
              </w:rPr>
            </w:pPr>
          </w:p>
          <w:p w14:paraId="7706E60A"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Colombia observa que las preguntas anteriores asumen la existencia de “</w:t>
            </w:r>
            <w:r w:rsidRPr="00A42AB8">
              <w:rPr>
                <w:rFonts w:asciiTheme="majorHAnsi" w:hAnsiTheme="majorHAnsi" w:cs="Arial"/>
                <w:b/>
              </w:rPr>
              <w:t>vacíos o retos</w:t>
            </w:r>
            <w:r w:rsidRPr="00462C51">
              <w:rPr>
                <w:rFonts w:asciiTheme="majorHAnsi" w:hAnsiTheme="majorHAnsi" w:cs="Arial"/>
              </w:rPr>
              <w:t>”. Consideramos importante antes de responder a estas preguntas, aclarar qué entendemos como un posible vacío y si existen actualmente vacíos en el DIA.</w:t>
            </w:r>
          </w:p>
          <w:p w14:paraId="5EB41088" w14:textId="77777777" w:rsidR="001D32DA" w:rsidRPr="00462C51" w:rsidRDefault="001D32DA" w:rsidP="001D32DA">
            <w:pPr>
              <w:pStyle w:val="Default"/>
              <w:spacing w:line="276" w:lineRule="auto"/>
              <w:jc w:val="both"/>
              <w:rPr>
                <w:rFonts w:asciiTheme="majorHAnsi" w:hAnsiTheme="majorHAnsi" w:cs="Arial"/>
              </w:rPr>
            </w:pPr>
          </w:p>
          <w:p w14:paraId="3CEB17D5"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 xml:space="preserve">En la primera sesión sustantiva del grupo de trabajo (14-18 de enero/2019) se evidenció que no existe consenso entre los países ni en la definición de “gap” ni tampoco en donde se encuentran. Mientras que para algunas delegaciones los vacíos están </w:t>
            </w:r>
            <w:r w:rsidRPr="00462C51">
              <w:rPr>
                <w:rFonts w:asciiTheme="majorHAnsi" w:hAnsiTheme="majorHAnsi" w:cs="Arial"/>
                <w:u w:val="single"/>
              </w:rPr>
              <w:t>en</w:t>
            </w:r>
            <w:r w:rsidRPr="00462C51">
              <w:rPr>
                <w:rFonts w:asciiTheme="majorHAnsi" w:hAnsiTheme="majorHAnsi" w:cs="Arial"/>
              </w:rPr>
              <w:t xml:space="preserve"> los Acuerdos Multilaterales sobre Medio Ambiente (AMUMAS), para otros están </w:t>
            </w:r>
            <w:r w:rsidRPr="00462C51">
              <w:rPr>
                <w:rFonts w:asciiTheme="majorHAnsi" w:hAnsiTheme="majorHAnsi" w:cs="Arial"/>
                <w:u w:val="single"/>
              </w:rPr>
              <w:t>entre</w:t>
            </w:r>
            <w:r w:rsidRPr="00462C51">
              <w:rPr>
                <w:rFonts w:asciiTheme="majorHAnsi" w:hAnsiTheme="majorHAnsi" w:cs="Arial"/>
              </w:rPr>
              <w:t xml:space="preserve"> los mismos. Es decir, para estas últimas delegaciones las lagunas se derivan del alcance y objetivo de los AMUMAS. Así mismo, se inició una diferenciación entre “vacío/laguna”, “discusión emergente” y “reto del sistema”. </w:t>
            </w:r>
          </w:p>
          <w:p w14:paraId="21FE2BD5" w14:textId="77777777" w:rsidR="001D32DA" w:rsidRPr="00462C51" w:rsidRDefault="001D32DA" w:rsidP="001D32DA">
            <w:pPr>
              <w:pStyle w:val="Default"/>
              <w:spacing w:line="276" w:lineRule="auto"/>
              <w:jc w:val="both"/>
              <w:rPr>
                <w:rFonts w:asciiTheme="majorHAnsi" w:hAnsiTheme="majorHAnsi" w:cs="Arial"/>
              </w:rPr>
            </w:pPr>
          </w:p>
          <w:p w14:paraId="2EE461F9"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La posición de Colombia es que el sentido de “vacío”</w:t>
            </w:r>
            <w:r w:rsidRPr="00462C51">
              <w:rPr>
                <w:rStyle w:val="Refdenotaalpie"/>
                <w:rFonts w:asciiTheme="majorHAnsi" w:hAnsiTheme="majorHAnsi" w:cs="Arial"/>
              </w:rPr>
              <w:footnoteReference w:id="5"/>
            </w:r>
            <w:r w:rsidRPr="00462C51">
              <w:rPr>
                <w:rFonts w:asciiTheme="majorHAnsi" w:hAnsiTheme="majorHAnsi" w:cs="Arial"/>
              </w:rPr>
              <w:t xml:space="preserve"> debe acotarse al contexto de las relaciones y el derecho internacional, y en tal medida algunos de los vacíos o retos que encontró el Reporte del Secretario General, no deben aproximarse como vacíos como tal, sino que:</w:t>
            </w:r>
          </w:p>
          <w:p w14:paraId="0A8F4DE6" w14:textId="77777777" w:rsidR="001D32DA" w:rsidRPr="00462C51" w:rsidRDefault="001D32DA" w:rsidP="001D32DA">
            <w:pPr>
              <w:pStyle w:val="Default"/>
              <w:spacing w:line="276" w:lineRule="auto"/>
              <w:jc w:val="both"/>
              <w:rPr>
                <w:rFonts w:asciiTheme="majorHAnsi" w:hAnsiTheme="majorHAnsi" w:cs="Arial"/>
              </w:rPr>
            </w:pPr>
          </w:p>
          <w:p w14:paraId="36AC2C20"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(i) son situaciones que los Estados han decidido no abordar en instrumentos internacionales en materia ambiental (por ejemplo, el CDB siguiendo la voluntad de los Estados no incluyó una regulación específica de áreas fuera de la jurisdicción nacional; o los Estados decidieron no incluir un enfoque top down en el Acuerdo de París, a diferencia del Protocolo de Kyoto);</w:t>
            </w:r>
          </w:p>
          <w:p w14:paraId="06258A9D" w14:textId="77777777" w:rsidR="001D32DA" w:rsidRPr="00462C51" w:rsidRDefault="001D32DA" w:rsidP="001D32DA">
            <w:pPr>
              <w:pStyle w:val="Default"/>
              <w:spacing w:line="276" w:lineRule="auto"/>
              <w:jc w:val="both"/>
              <w:rPr>
                <w:rFonts w:asciiTheme="majorHAnsi" w:hAnsiTheme="majorHAnsi" w:cs="Arial"/>
              </w:rPr>
            </w:pPr>
          </w:p>
          <w:p w14:paraId="69436B58"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lastRenderedPageBreak/>
              <w:t>(ii) son temas que aún están en proceso de negociación (por ejemplo, en materia de cambio climático los Estados tienen el compromiso de revisar sus NDC a 2020; o en temas de protección de biodiversidad en áreas fuera de la jurisdicción nacional, ya se están negociando dos instrumentos: Biodiversidad más allá de la jurisdicción nacional (BBNJ) y el proceso Comité Intergubernamental sobre Propiedad Intelectual y Recursos Genéticos, conocimientos tradicionales y folclor (IGC);</w:t>
            </w:r>
          </w:p>
          <w:p w14:paraId="5A7A05A7" w14:textId="77777777" w:rsidR="001D32DA" w:rsidRPr="00462C51" w:rsidRDefault="001D32DA" w:rsidP="001D32DA">
            <w:pPr>
              <w:pStyle w:val="Default"/>
              <w:spacing w:line="276" w:lineRule="auto"/>
              <w:jc w:val="both"/>
              <w:rPr>
                <w:rFonts w:asciiTheme="majorHAnsi" w:hAnsiTheme="majorHAnsi" w:cs="Arial"/>
              </w:rPr>
            </w:pPr>
          </w:p>
          <w:p w14:paraId="1637CD15"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(iii) son temas que los Estados han decidido no entrar a negociar (por ejemplo, un régimen vinculante de responsabilidad por daño ambiental transfronterizo, la responsabilidad e indemnización por daños por el clima; o la escasez de normas o principios relativos a los daños latentes, situación problemática habida cuenta del lapso, a menudo considerable, que media entre los actos y sus consecuencias para el medio ambiente como lo confirmó el caso Gabcikovo-Nagymaros</w:t>
            </w:r>
            <w:r w:rsidRPr="00462C51">
              <w:rPr>
                <w:rStyle w:val="Refdenotaalpie"/>
                <w:rFonts w:asciiTheme="majorHAnsi" w:hAnsiTheme="majorHAnsi" w:cs="Arial"/>
              </w:rPr>
              <w:footnoteReference w:id="6"/>
            </w:r>
            <w:r w:rsidRPr="00462C51">
              <w:rPr>
                <w:rFonts w:asciiTheme="majorHAnsi" w:hAnsiTheme="majorHAnsi" w:cs="Arial"/>
              </w:rPr>
              <w:t xml:space="preserve">); </w:t>
            </w:r>
          </w:p>
          <w:p w14:paraId="75C36A4E" w14:textId="77777777" w:rsidR="001D32DA" w:rsidRPr="00462C51" w:rsidRDefault="001D32DA" w:rsidP="001D32DA">
            <w:pPr>
              <w:pStyle w:val="Default"/>
              <w:spacing w:line="276" w:lineRule="auto"/>
              <w:jc w:val="both"/>
              <w:rPr>
                <w:rFonts w:asciiTheme="majorHAnsi" w:hAnsiTheme="majorHAnsi" w:cs="Arial"/>
              </w:rPr>
            </w:pPr>
          </w:p>
          <w:p w14:paraId="64D21DB5"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 xml:space="preserve">(iv) son dificultades en la implementación de los acuerdos ambientales a nivel nacional; </w:t>
            </w:r>
          </w:p>
          <w:p w14:paraId="6BCA8DD4" w14:textId="77777777" w:rsidR="001D32DA" w:rsidRPr="00462C51" w:rsidRDefault="001D32DA" w:rsidP="001D32DA">
            <w:pPr>
              <w:pStyle w:val="Default"/>
              <w:spacing w:line="276" w:lineRule="auto"/>
              <w:jc w:val="both"/>
              <w:rPr>
                <w:rFonts w:asciiTheme="majorHAnsi" w:hAnsiTheme="majorHAnsi" w:cs="Arial"/>
              </w:rPr>
            </w:pPr>
          </w:p>
          <w:p w14:paraId="54AFFF7E"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 xml:space="preserve">(iv) son el resultado de la falta de coordinación entre instrumentos ambientales. </w:t>
            </w:r>
          </w:p>
          <w:p w14:paraId="7EE959D0" w14:textId="77777777" w:rsidR="001D32DA" w:rsidRPr="00462C51" w:rsidRDefault="001D32DA" w:rsidP="001D32DA">
            <w:pPr>
              <w:pStyle w:val="Default"/>
              <w:spacing w:line="276" w:lineRule="auto"/>
              <w:jc w:val="both"/>
              <w:rPr>
                <w:rFonts w:asciiTheme="majorHAnsi" w:hAnsiTheme="majorHAnsi" w:cs="Arial"/>
              </w:rPr>
            </w:pPr>
          </w:p>
          <w:p w14:paraId="592786FC"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(v) Tampoco podría considerarse como vacío aquellos asuntos que puedan ser resueltos mediante la aplicación de los Art. 31 y 32 de la Convención de Viena sobre el Derecho de los Tratados de 1969, ya que ésta establece normas generales sobre la interpretación de los tratados y fija unas fuentes y métodos de interpretación para proceder en caso de que haya vacíos, contradicciones o términos ambiguos en los mismos.</w:t>
            </w:r>
          </w:p>
          <w:p w14:paraId="5C72464A" w14:textId="77777777" w:rsidR="001D32DA" w:rsidRPr="00462C51" w:rsidRDefault="001D32DA" w:rsidP="001D32DA">
            <w:pPr>
              <w:pStyle w:val="Default"/>
              <w:spacing w:line="276" w:lineRule="auto"/>
              <w:ind w:left="60"/>
              <w:jc w:val="both"/>
              <w:rPr>
                <w:rFonts w:asciiTheme="majorHAnsi" w:hAnsiTheme="majorHAnsi" w:cs="Arial"/>
              </w:rPr>
            </w:pPr>
          </w:p>
          <w:p w14:paraId="26FF6F6F" w14:textId="77777777" w:rsidR="001D32DA" w:rsidRPr="00462C51" w:rsidRDefault="001D32DA" w:rsidP="001D32DA">
            <w:pPr>
              <w:pStyle w:val="Default"/>
              <w:spacing w:line="276" w:lineRule="auto"/>
              <w:ind w:left="60"/>
              <w:jc w:val="both"/>
              <w:rPr>
                <w:rFonts w:asciiTheme="majorHAnsi" w:hAnsiTheme="majorHAnsi" w:cs="Arial"/>
              </w:rPr>
            </w:pPr>
            <w:r w:rsidRPr="00462C51">
              <w:rPr>
                <w:rFonts w:asciiTheme="majorHAnsi" w:hAnsiTheme="majorHAnsi" w:cs="Arial"/>
              </w:rPr>
              <w:t xml:space="preserve">Colombia responderá a las preguntas formuladas bajo este entendimiento y con el alcance explicado.  </w:t>
            </w:r>
          </w:p>
          <w:p w14:paraId="3062B40A" w14:textId="77777777" w:rsidR="001D32DA" w:rsidRPr="00462C51" w:rsidRDefault="001D32DA" w:rsidP="001D32DA">
            <w:pPr>
              <w:pStyle w:val="Default"/>
              <w:spacing w:line="276" w:lineRule="auto"/>
              <w:ind w:left="60"/>
              <w:jc w:val="both"/>
              <w:rPr>
                <w:rFonts w:asciiTheme="majorHAnsi" w:hAnsiTheme="majorHAnsi" w:cs="Arial"/>
              </w:rPr>
            </w:pPr>
          </w:p>
          <w:p w14:paraId="55A1BEBF" w14:textId="77777777" w:rsidR="001D32DA" w:rsidRPr="00462C51" w:rsidRDefault="001D32DA" w:rsidP="001D32DA">
            <w:pPr>
              <w:pStyle w:val="Default"/>
              <w:spacing w:line="276" w:lineRule="auto"/>
              <w:ind w:left="60"/>
              <w:jc w:val="both"/>
              <w:rPr>
                <w:rFonts w:asciiTheme="majorHAnsi" w:hAnsiTheme="majorHAnsi" w:cs="Arial"/>
              </w:rPr>
            </w:pPr>
            <w:r w:rsidRPr="00462C51">
              <w:rPr>
                <w:rFonts w:asciiTheme="majorHAnsi" w:hAnsiTheme="majorHAnsi" w:cs="Arial"/>
              </w:rPr>
              <w:t>En cuanto a las preguntas:</w:t>
            </w:r>
          </w:p>
          <w:p w14:paraId="391F7A6E" w14:textId="77777777" w:rsidR="001D32DA" w:rsidRPr="00462C51" w:rsidRDefault="001D32DA" w:rsidP="001D32DA">
            <w:pPr>
              <w:pStyle w:val="Default"/>
              <w:spacing w:line="276" w:lineRule="auto"/>
              <w:jc w:val="both"/>
              <w:rPr>
                <w:rFonts w:asciiTheme="majorHAnsi" w:hAnsiTheme="majorHAnsi" w:cs="Arial"/>
              </w:rPr>
            </w:pPr>
          </w:p>
          <w:p w14:paraId="07A8AE06" w14:textId="77777777" w:rsidR="001D32DA" w:rsidRPr="00A42AB8" w:rsidRDefault="001D32DA" w:rsidP="001D32DA">
            <w:pPr>
              <w:pStyle w:val="Default"/>
              <w:numPr>
                <w:ilvl w:val="0"/>
                <w:numId w:val="55"/>
              </w:numPr>
              <w:spacing w:line="276" w:lineRule="auto"/>
              <w:jc w:val="both"/>
              <w:rPr>
                <w:rFonts w:asciiTheme="majorHAnsi" w:hAnsiTheme="majorHAnsi" w:cs="Arial"/>
                <w:b/>
              </w:rPr>
            </w:pPr>
            <w:r w:rsidRPr="00A42AB8">
              <w:rPr>
                <w:rFonts w:asciiTheme="majorHAnsi" w:hAnsiTheme="majorHAnsi" w:cs="Arial"/>
                <w:b/>
              </w:rPr>
              <w:t>¿Qué opciones pueden considerarse para enfrentar posibles vacíos o retos relacionados con principios de derecho ambiental internacional mencionados por las delegaciones, sin duplicar ni subestimar el derecho existente o esfuerzos/procesos en desarrollo? ¿Cuál sería el objetivo de estas opciones? ¿Qué metodología debería utilizarse para desarrollar estas opciones?</w:t>
            </w:r>
          </w:p>
          <w:p w14:paraId="6D28CA68" w14:textId="77777777" w:rsidR="001D32DA" w:rsidRPr="00462C51" w:rsidRDefault="001D32DA" w:rsidP="001D32DA">
            <w:pPr>
              <w:pStyle w:val="Default"/>
              <w:spacing w:line="276" w:lineRule="auto"/>
              <w:jc w:val="both"/>
              <w:rPr>
                <w:rFonts w:asciiTheme="majorHAnsi" w:hAnsiTheme="majorHAnsi" w:cs="Arial"/>
              </w:rPr>
            </w:pPr>
          </w:p>
          <w:p w14:paraId="50E9FAC1"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lastRenderedPageBreak/>
              <w:t xml:space="preserve">Es importante resaltar que la protección del medio ambiente a escala global, regional, nacional y local requiere fortalecimiento, y que los esfuerzos multilaterales que los países desplieguen en este sentido deben obtener apoyo considerando la urgencia de la acción y la cantidad y complejidad de los retos globales en materia de medio ambiente. Cualquier opción que se ponga en consideración implicaría necesariamente la renovación del compromiso político de los países desde una visión de integralidad, progresividad y efectividad, que tenga en cuenta logros alcanzados en las últimas cinco décadas y, los retos identificados. </w:t>
            </w:r>
          </w:p>
          <w:p w14:paraId="3B45AB6F" w14:textId="77777777" w:rsidR="001D32DA" w:rsidRPr="00462C51" w:rsidRDefault="001D32DA" w:rsidP="001D32DA">
            <w:pPr>
              <w:pStyle w:val="Default"/>
              <w:spacing w:line="276" w:lineRule="auto"/>
              <w:jc w:val="both"/>
              <w:rPr>
                <w:rFonts w:asciiTheme="majorHAnsi" w:hAnsiTheme="majorHAnsi" w:cs="Arial"/>
              </w:rPr>
            </w:pPr>
          </w:p>
          <w:p w14:paraId="7ACE9BAF"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 xml:space="preserve">Colombia está abierta a evaluar distintas opciones que permitan abordar los puntos de preocupación. </w:t>
            </w:r>
            <w:r w:rsidRPr="00462C51">
              <w:rPr>
                <w:rStyle w:val="normaltextrun"/>
                <w:rFonts w:asciiTheme="majorHAnsi" w:hAnsiTheme="majorHAnsi" w:cs="Arial"/>
              </w:rPr>
              <w:t>Nuestra Delegación observa, a partir de las discusiones que se adelantaron en la sesión anterior del grupo de trabajo en enero de este año, que una de las propuestas para solucionar estas preocupaciones que puede encontrar mayor apoyo podría ser la de un instrumento de derecho blando, como, por ejemplo, una guía o una declaración comentada. </w:t>
            </w:r>
            <w:r w:rsidRPr="00462C51">
              <w:rPr>
                <w:rStyle w:val="eop"/>
                <w:rFonts w:asciiTheme="majorHAnsi" w:hAnsiTheme="majorHAnsi" w:cs="Arial"/>
              </w:rPr>
              <w:t> </w:t>
            </w:r>
            <w:r w:rsidRPr="00462C51">
              <w:rPr>
                <w:rFonts w:asciiTheme="majorHAnsi" w:hAnsiTheme="majorHAnsi" w:cs="Arial"/>
              </w:rPr>
              <w:t xml:space="preserve">Consideramos que un instrumento que guíe a los Estados en la aplicación de principios de derecho ambiental internacional sería de gran utilidad. Particularmente, una visión práctica de los principios podría promover su aplicación tanto de manera autónoma, como en el contexto de la aplicación de tratados ambientales o de tratados relativos a otras materias con cláusulas con contenido medioambiental. También visibilizaría su relevancia en el marco de negociaciones internacionales actuales y futuras, y en el marco de la solución de controversias internacionales. Esta guía podría aclarar también lo relativo a la posible obligatoriedad de los principios por estar consagrados en un tratado internacional o por considerarse costumbre internacional. Igualmente, si algunos de los llamados principios contienen como tal </w:t>
            </w:r>
            <w:r w:rsidRPr="00462C51">
              <w:rPr>
                <w:rFonts w:asciiTheme="majorHAnsi" w:hAnsiTheme="majorHAnsi" w:cs="Arial"/>
                <w:i/>
              </w:rPr>
              <w:t>reglas</w:t>
            </w:r>
            <w:r w:rsidRPr="00462C51">
              <w:rPr>
                <w:rFonts w:asciiTheme="majorHAnsi" w:hAnsiTheme="majorHAnsi" w:cs="Arial"/>
              </w:rPr>
              <w:t xml:space="preserve"> aplicables a situaciones concretas o si su rol dentro del derecho ambiental internacional es el de verdaderos </w:t>
            </w:r>
            <w:r w:rsidRPr="00462C51">
              <w:rPr>
                <w:rFonts w:asciiTheme="majorHAnsi" w:hAnsiTheme="majorHAnsi" w:cs="Arial"/>
                <w:i/>
              </w:rPr>
              <w:t>principios</w:t>
            </w:r>
            <w:r w:rsidRPr="00462C51">
              <w:rPr>
                <w:rFonts w:asciiTheme="majorHAnsi" w:hAnsiTheme="majorHAnsi" w:cs="Arial"/>
              </w:rPr>
              <w:t xml:space="preserve">, esto es, una formulación de carácter general que orienta el análisis interpretativo de obligaciones o que orienta la evaluación de cierto tipo de medidas o decisiones. </w:t>
            </w:r>
          </w:p>
          <w:p w14:paraId="63378B06" w14:textId="77777777" w:rsidR="001D32DA" w:rsidRPr="00462C51" w:rsidRDefault="001D32DA" w:rsidP="001D32DA">
            <w:pPr>
              <w:pStyle w:val="Default"/>
              <w:spacing w:line="276" w:lineRule="auto"/>
              <w:jc w:val="both"/>
              <w:rPr>
                <w:rFonts w:asciiTheme="majorHAnsi" w:hAnsiTheme="majorHAnsi" w:cs="Arial"/>
              </w:rPr>
            </w:pPr>
          </w:p>
          <w:p w14:paraId="64DD4828"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Colombia, en sus intervenciones durante la primera sesión, defendió que el valor agregado de un instrumento de estas características no es únicamente codificar los principios, sino plasmar su evolución desde Estocolmo y/o Río, o a partir de su inclusión en otros instrumentos de soft law relevantes, así como identificar otros posibles principios que hayan surgido desde entonces, buscando como objetivo final lograr una aplicación más uniforme del Derecho Internacional Público</w:t>
            </w:r>
            <w:r w:rsidRPr="00462C51">
              <w:rPr>
                <w:rStyle w:val="Refdenotaalpie"/>
                <w:rFonts w:asciiTheme="majorHAnsi" w:hAnsiTheme="majorHAnsi" w:cs="Arial"/>
              </w:rPr>
              <w:footnoteReference w:id="7"/>
            </w:r>
            <w:r w:rsidRPr="00462C51">
              <w:rPr>
                <w:rFonts w:asciiTheme="majorHAnsi" w:hAnsiTheme="majorHAnsi" w:cs="Arial"/>
              </w:rPr>
              <w:t xml:space="preserve">. Igualmente, un instrumento de esta </w:t>
            </w:r>
            <w:r w:rsidRPr="00462C51">
              <w:rPr>
                <w:rFonts w:asciiTheme="majorHAnsi" w:hAnsiTheme="majorHAnsi" w:cs="Arial"/>
              </w:rPr>
              <w:lastRenderedPageBreak/>
              <w:t>naturaleza podría servir para identificar concretamente el impacto que han tenido instrumentos de soft law sobre principios, en el diseño de estrategias y mecanismos de protección ambiental a nivel nacional e internacional.</w:t>
            </w:r>
          </w:p>
          <w:p w14:paraId="182624B7" w14:textId="77777777" w:rsidR="001D32DA" w:rsidRPr="00462C51" w:rsidRDefault="001D32DA" w:rsidP="001D32DA">
            <w:pPr>
              <w:pStyle w:val="Default"/>
              <w:spacing w:line="276" w:lineRule="auto"/>
              <w:jc w:val="both"/>
              <w:rPr>
                <w:rFonts w:asciiTheme="majorHAnsi" w:hAnsiTheme="majorHAnsi" w:cs="Arial"/>
              </w:rPr>
            </w:pPr>
          </w:p>
          <w:p w14:paraId="0A5B2F77"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Como lo afirma el Informe del Secretario General en su párrafo 10. “los principios ambientales pueden contribuir a unificar el actual enfoque sectorial del derecho internacional del medio ambiente”, aumentando su eficacia y reforzando su aplicación. Esa fue la opinión expresada por Colombia en la primera sesión, donde mencionó que un instrumento sobre los principios generales de DIA puede tener un papel en la interpretación de obligaciones internacionales, contribuir a la claridad jurídica y en tal medida, facilitar la implementación de estas obligaciones y posiblemente evitar posibles controversias.</w:t>
            </w:r>
          </w:p>
          <w:p w14:paraId="6738976F" w14:textId="77777777" w:rsidR="001D32DA" w:rsidRPr="00462C51" w:rsidRDefault="001D32DA" w:rsidP="001D32DA">
            <w:pPr>
              <w:pStyle w:val="Default"/>
              <w:spacing w:line="276" w:lineRule="auto"/>
              <w:jc w:val="both"/>
              <w:rPr>
                <w:rFonts w:asciiTheme="majorHAnsi" w:hAnsiTheme="majorHAnsi" w:cs="Arial"/>
              </w:rPr>
            </w:pPr>
          </w:p>
          <w:p w14:paraId="011667CD"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En cuanto a la segunda pregunta:</w:t>
            </w:r>
          </w:p>
          <w:p w14:paraId="5398DB38" w14:textId="77777777" w:rsidR="001D32DA" w:rsidRPr="00462C51" w:rsidRDefault="001D32DA" w:rsidP="001D32DA">
            <w:pPr>
              <w:pStyle w:val="Default"/>
              <w:spacing w:line="276" w:lineRule="auto"/>
              <w:jc w:val="both"/>
              <w:rPr>
                <w:rFonts w:asciiTheme="majorHAnsi" w:hAnsiTheme="majorHAnsi" w:cs="Arial"/>
              </w:rPr>
            </w:pPr>
          </w:p>
          <w:p w14:paraId="2A1ED295" w14:textId="77777777" w:rsidR="001D32DA" w:rsidRPr="00462C51" w:rsidRDefault="001D32DA" w:rsidP="001D32DA">
            <w:pPr>
              <w:pStyle w:val="Default"/>
              <w:numPr>
                <w:ilvl w:val="0"/>
                <w:numId w:val="55"/>
              </w:numPr>
              <w:spacing w:line="276" w:lineRule="auto"/>
              <w:jc w:val="both"/>
              <w:rPr>
                <w:rFonts w:asciiTheme="majorHAnsi" w:hAnsiTheme="majorHAnsi" w:cs="Arial"/>
                <w:b/>
              </w:rPr>
            </w:pPr>
            <w:r w:rsidRPr="00462C51">
              <w:rPr>
                <w:rFonts w:asciiTheme="majorHAnsi" w:hAnsiTheme="majorHAnsi" w:cs="Arial"/>
                <w:b/>
              </w:rPr>
              <w:t>Qué opciones podrían considerarse para enfrentar vacíos relacionados con la gobernanza del derecho ambiental internacional, incluyendo retos en la coordinación y el apoyo mutuo, así como los riesgos de incoherencia resaltados por las delegaciones?</w:t>
            </w:r>
          </w:p>
          <w:p w14:paraId="7B8157E5" w14:textId="77777777" w:rsidR="001D32DA" w:rsidRPr="00462C51" w:rsidRDefault="001D32DA" w:rsidP="001D32DA">
            <w:pPr>
              <w:pStyle w:val="Default"/>
              <w:spacing w:line="276" w:lineRule="auto"/>
              <w:jc w:val="both"/>
              <w:rPr>
                <w:rFonts w:asciiTheme="majorHAnsi" w:hAnsiTheme="majorHAnsi" w:cs="Arial"/>
              </w:rPr>
            </w:pPr>
          </w:p>
          <w:p w14:paraId="2C15EE1E"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Colombia considera pertinente que se discutan y propongan herramientas que permitan fortalecer la estructura de gobernanza ambiental. El Reporte del Secretario General en su párrafo 81 señala que la fragmentación institucional y la falta de coordinación son las dificultades más acuciantes en lo que respecta a la gobernanza ambiental a nivel internacional.</w:t>
            </w:r>
          </w:p>
          <w:p w14:paraId="605CCD89" w14:textId="77777777" w:rsidR="001D32DA" w:rsidRPr="00462C51" w:rsidRDefault="001D32DA" w:rsidP="001D32DA">
            <w:pPr>
              <w:pStyle w:val="Default"/>
              <w:spacing w:line="276" w:lineRule="auto"/>
              <w:jc w:val="both"/>
              <w:rPr>
                <w:rFonts w:asciiTheme="majorHAnsi" w:hAnsiTheme="majorHAnsi" w:cs="Arial"/>
              </w:rPr>
            </w:pPr>
          </w:p>
          <w:p w14:paraId="6345FC66"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El PNUMA</w:t>
            </w:r>
            <w:r w:rsidRPr="00462C51">
              <w:rPr>
                <w:rStyle w:val="Refdenotaalpie"/>
                <w:rFonts w:asciiTheme="majorHAnsi" w:hAnsiTheme="majorHAnsi" w:cs="Arial"/>
              </w:rPr>
              <w:footnoteReference w:id="8"/>
            </w:r>
            <w:r w:rsidRPr="00462C51">
              <w:rPr>
                <w:rFonts w:asciiTheme="majorHAnsi" w:hAnsiTheme="majorHAnsi" w:cs="Arial"/>
              </w:rPr>
              <w:t xml:space="preserve"> y la UNEA se han quedado cortos en esta capacidad y es hora de discutir alternativas para fortalecer la estructura del Programa (en el marco de lo acordado en Rio </w:t>
            </w:r>
            <w:r w:rsidRPr="00462C51">
              <w:rPr>
                <w:rFonts w:asciiTheme="majorHAnsi" w:hAnsiTheme="majorHAnsi" w:cs="Arial"/>
              </w:rPr>
              <w:lastRenderedPageBreak/>
              <w:t xml:space="preserve">+20, con mayores recursos y capacidad), de manera que la institucionalidad en materia ambiental cuente con una capacidad comprehensiva y técnica que pueda actuar como autoridad ambiental global y que pudiera servir de puente entre las diferentes institucionalidades creadas por los AMUMAs. </w:t>
            </w:r>
          </w:p>
          <w:p w14:paraId="0EF0CA05" w14:textId="77777777" w:rsidR="001D32DA" w:rsidRPr="00462C51" w:rsidRDefault="001D32DA" w:rsidP="001D32DA">
            <w:pPr>
              <w:pStyle w:val="Default"/>
              <w:spacing w:line="276" w:lineRule="auto"/>
              <w:jc w:val="both"/>
              <w:rPr>
                <w:rFonts w:asciiTheme="majorHAnsi" w:hAnsiTheme="majorHAnsi" w:cs="Arial"/>
              </w:rPr>
            </w:pPr>
          </w:p>
          <w:p w14:paraId="4682EA0C" w14:textId="77777777" w:rsidR="001D32DA" w:rsidRPr="00462C51" w:rsidRDefault="001D32DA" w:rsidP="001D32DA">
            <w:pPr>
              <w:pStyle w:val="Default"/>
              <w:spacing w:line="276" w:lineRule="auto"/>
              <w:jc w:val="both"/>
              <w:rPr>
                <w:rFonts w:asciiTheme="majorHAnsi" w:hAnsiTheme="majorHAnsi" w:cs="Arial"/>
              </w:rPr>
            </w:pPr>
            <w:r w:rsidRPr="00462C51">
              <w:rPr>
                <w:rFonts w:asciiTheme="majorHAnsi" w:hAnsiTheme="majorHAnsi" w:cs="Arial"/>
              </w:rPr>
              <w:t xml:space="preserve">Colombia ya desde su primera intervención durante la primera sesión defendió el fortalecimiento del PNUMA.  Incluso, para aquellos Convenios que no hacen parte del sistema de Naciones Unidas, se ha buscado una coordinación con el PNUMA, como es el caso de la Convención de Ramsar. Las consecuencias de que estos tratados no estén bajo la sombrilla del PNUMA se perciben no sólo en términos de coordinación de temas, sino en términos financieros. </w:t>
            </w:r>
          </w:p>
          <w:p w14:paraId="634C091F" w14:textId="77777777" w:rsidR="001D32DA" w:rsidRPr="001D32DA" w:rsidRDefault="001D32DA" w:rsidP="00913A14">
            <w:pPr>
              <w:pStyle w:val="Default"/>
              <w:spacing w:line="276" w:lineRule="auto"/>
              <w:jc w:val="both"/>
              <w:rPr>
                <w:rFonts w:asciiTheme="majorHAnsi" w:hAnsiTheme="majorHAnsi" w:cs="Arial"/>
                <w:b/>
              </w:rPr>
            </w:pPr>
            <w:bookmarkStart w:id="0" w:name="_GoBack"/>
            <w:bookmarkEnd w:id="0"/>
          </w:p>
          <w:p w14:paraId="06003C1C" w14:textId="77777777" w:rsidR="00CB235A" w:rsidRDefault="00CB235A" w:rsidP="00913A14">
            <w:pPr>
              <w:pStyle w:val="Default"/>
              <w:spacing w:line="276" w:lineRule="auto"/>
              <w:jc w:val="both"/>
              <w:rPr>
                <w:rFonts w:asciiTheme="majorHAnsi" w:hAnsiTheme="majorHAnsi" w:cs="Arial"/>
              </w:rPr>
            </w:pPr>
          </w:p>
          <w:p w14:paraId="402C34F3" w14:textId="373BB8F3" w:rsidR="00913A14" w:rsidRPr="00913A14" w:rsidRDefault="00913A14" w:rsidP="00A42AB8">
            <w:pPr>
              <w:pStyle w:val="Default"/>
              <w:spacing w:line="276" w:lineRule="auto"/>
              <w:jc w:val="both"/>
              <w:rPr>
                <w:rFonts w:asciiTheme="majorHAnsi" w:hAnsiTheme="majorHAnsi" w:cstheme="majorHAnsi"/>
                <w:b/>
                <w:u w:val="single"/>
              </w:rPr>
            </w:pPr>
          </w:p>
        </w:tc>
      </w:tr>
    </w:tbl>
    <w:p w14:paraId="2C7E35DA" w14:textId="77777777" w:rsidR="00462C51" w:rsidRDefault="00462C51" w:rsidP="00BE0D3A">
      <w:pPr>
        <w:pStyle w:val="NormalWeb"/>
        <w:rPr>
          <w:rFonts w:asciiTheme="majorHAnsi" w:hAnsiTheme="majorHAnsi" w:cstheme="majorHAnsi"/>
          <w:b/>
          <w:u w:val="single"/>
          <w:lang w:val="es-ES_tradnl"/>
        </w:rPr>
      </w:pPr>
    </w:p>
    <w:p w14:paraId="1FA1E488" w14:textId="77777777" w:rsidR="00287D66" w:rsidRPr="00C50403" w:rsidRDefault="00287D66" w:rsidP="00D7067A">
      <w:pPr>
        <w:pStyle w:val="NormalWeb"/>
        <w:jc w:val="both"/>
        <w:rPr>
          <w:rFonts w:asciiTheme="majorHAnsi" w:hAnsiTheme="majorHAnsi" w:cstheme="majorHAnsi"/>
        </w:rPr>
      </w:pPr>
    </w:p>
    <w:sectPr w:rsidR="00287D66" w:rsidRPr="00C50403" w:rsidSect="008823F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2BA68" w14:textId="77777777" w:rsidR="00986E59" w:rsidRDefault="00986E59" w:rsidP="001A286A">
      <w:r>
        <w:separator/>
      </w:r>
    </w:p>
  </w:endnote>
  <w:endnote w:type="continuationSeparator" w:id="0">
    <w:p w14:paraId="30F4A306" w14:textId="77777777" w:rsidR="00986E59" w:rsidRDefault="00986E59" w:rsidP="001A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0C5A1" w14:textId="77777777" w:rsidR="00462C51" w:rsidRDefault="00462C5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505780617"/>
      <w:docPartObj>
        <w:docPartGallery w:val="Page Numbers (Bottom of Page)"/>
        <w:docPartUnique/>
      </w:docPartObj>
    </w:sdtPr>
    <w:sdtEndPr/>
    <w:sdtContent>
      <w:p w14:paraId="62CC861A" w14:textId="0CABF70C" w:rsidR="00462C51" w:rsidRPr="00C50403" w:rsidRDefault="00462C51">
        <w:pPr>
          <w:pStyle w:val="Piedepgina"/>
          <w:jc w:val="right"/>
          <w:rPr>
            <w:rFonts w:ascii="Arial" w:hAnsi="Arial" w:cs="Arial"/>
            <w:sz w:val="20"/>
            <w:szCs w:val="20"/>
          </w:rPr>
        </w:pPr>
        <w:r w:rsidRPr="00C50403">
          <w:rPr>
            <w:rFonts w:ascii="Arial" w:hAnsi="Arial" w:cs="Arial"/>
            <w:sz w:val="20"/>
            <w:szCs w:val="20"/>
          </w:rPr>
          <w:fldChar w:fldCharType="begin"/>
        </w:r>
        <w:r w:rsidRPr="00C50403">
          <w:rPr>
            <w:rFonts w:ascii="Arial" w:hAnsi="Arial" w:cs="Arial"/>
            <w:sz w:val="20"/>
            <w:szCs w:val="20"/>
          </w:rPr>
          <w:instrText>PAGE   \* MERGEFORMAT</w:instrText>
        </w:r>
        <w:r w:rsidRPr="00C50403">
          <w:rPr>
            <w:rFonts w:ascii="Arial" w:hAnsi="Arial" w:cs="Arial"/>
            <w:sz w:val="20"/>
            <w:szCs w:val="20"/>
          </w:rPr>
          <w:fldChar w:fldCharType="separate"/>
        </w:r>
        <w:r w:rsidR="00B069EC" w:rsidRPr="00B069EC">
          <w:rPr>
            <w:rFonts w:ascii="Arial" w:hAnsi="Arial" w:cs="Arial"/>
            <w:noProof/>
            <w:sz w:val="20"/>
            <w:szCs w:val="20"/>
            <w:lang w:val="es-ES"/>
          </w:rPr>
          <w:t>2</w:t>
        </w:r>
        <w:r w:rsidRPr="00C50403">
          <w:rPr>
            <w:rFonts w:ascii="Arial" w:hAnsi="Arial" w:cs="Arial"/>
            <w:sz w:val="20"/>
            <w:szCs w:val="20"/>
          </w:rPr>
          <w:fldChar w:fldCharType="end"/>
        </w:r>
      </w:p>
    </w:sdtContent>
  </w:sdt>
  <w:p w14:paraId="5B416CC2" w14:textId="77777777" w:rsidR="00462C51" w:rsidRPr="00C50403" w:rsidRDefault="00462C51">
    <w:pPr>
      <w:pStyle w:val="Piedepgina"/>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D7B1F" w14:textId="77777777" w:rsidR="00462C51" w:rsidRDefault="00462C5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53F386" w14:textId="77777777" w:rsidR="00986E59" w:rsidRDefault="00986E59" w:rsidP="001A286A">
      <w:r>
        <w:separator/>
      </w:r>
    </w:p>
  </w:footnote>
  <w:footnote w:type="continuationSeparator" w:id="0">
    <w:p w14:paraId="59444B7B" w14:textId="77777777" w:rsidR="00986E59" w:rsidRDefault="00986E59" w:rsidP="001A286A">
      <w:r>
        <w:continuationSeparator/>
      </w:r>
    </w:p>
  </w:footnote>
  <w:footnote w:id="1">
    <w:p w14:paraId="5E6A1259" w14:textId="77777777" w:rsidR="00462C51" w:rsidRPr="00A82850" w:rsidRDefault="00462C51" w:rsidP="00F077BF">
      <w:pPr>
        <w:pStyle w:val="Textonotapie"/>
        <w:jc w:val="both"/>
        <w:rPr>
          <w:rFonts w:ascii="Arial" w:hAnsi="Arial" w:cs="Arial"/>
        </w:rPr>
      </w:pPr>
      <w:r w:rsidRPr="00A82850">
        <w:rPr>
          <w:rStyle w:val="Refdenotaalpie"/>
          <w:rFonts w:ascii="Arial" w:hAnsi="Arial" w:cs="Arial"/>
        </w:rPr>
        <w:footnoteRef/>
      </w:r>
      <w:r w:rsidRPr="00A82850">
        <w:rPr>
          <w:rFonts w:ascii="Arial" w:hAnsi="Arial" w:cs="Arial"/>
        </w:rPr>
        <w:t xml:space="preserve"> por ejemplo, el CDB siguiendo la voluntad de los Estados no incluyó una regulación específica de áreas fuera de la jurisdicción nacional; o los Estados decidieron no incluir un enfoque top down en el Acuerdo de París, a diferencia del Protocolo de Kyoto;</w:t>
      </w:r>
    </w:p>
  </w:footnote>
  <w:footnote w:id="2">
    <w:p w14:paraId="264EBC92" w14:textId="77777777" w:rsidR="00462C51" w:rsidRPr="00A82850" w:rsidRDefault="00462C51" w:rsidP="00F077BF">
      <w:pPr>
        <w:pStyle w:val="Textonotapie"/>
        <w:jc w:val="both"/>
        <w:rPr>
          <w:rFonts w:ascii="Arial" w:hAnsi="Arial" w:cs="Arial"/>
        </w:rPr>
      </w:pPr>
      <w:r w:rsidRPr="00A82850">
        <w:rPr>
          <w:rStyle w:val="Refdenotaalpie"/>
          <w:rFonts w:ascii="Arial" w:hAnsi="Arial" w:cs="Arial"/>
        </w:rPr>
        <w:footnoteRef/>
      </w:r>
      <w:r w:rsidRPr="00A82850">
        <w:rPr>
          <w:rFonts w:ascii="Arial" w:hAnsi="Arial" w:cs="Arial"/>
        </w:rPr>
        <w:t xml:space="preserve"> por ejemplo, en materia de cambio climático los Estados tienen el compromiso de revisar sus NDC a 2020; o en temas de protección de biodiversidad en áreas fuera de la jurisdicción nacional, ya se están negociando dos instrumentos: Biodiversidad más allá de la jurisdicción nacional (BBNJ) y el proceso Comité Intergubernamental sobre Propiedad Intelectual y Recursos Genéticos, conocimientos tradicionales y folclor (IGC);</w:t>
      </w:r>
    </w:p>
  </w:footnote>
  <w:footnote w:id="3">
    <w:p w14:paraId="35A4F785" w14:textId="77777777" w:rsidR="00462C51" w:rsidRPr="00A82850" w:rsidRDefault="00462C51" w:rsidP="00F077BF">
      <w:pPr>
        <w:pStyle w:val="Textonotapie"/>
        <w:jc w:val="both"/>
        <w:rPr>
          <w:rFonts w:ascii="Arial" w:hAnsi="Arial" w:cs="Arial"/>
        </w:rPr>
      </w:pPr>
      <w:r w:rsidRPr="00A82850">
        <w:rPr>
          <w:rStyle w:val="Refdenotaalpie"/>
          <w:rFonts w:ascii="Arial" w:hAnsi="Arial" w:cs="Arial"/>
        </w:rPr>
        <w:footnoteRef/>
      </w:r>
      <w:r w:rsidRPr="00A82850">
        <w:rPr>
          <w:rFonts w:ascii="Arial" w:hAnsi="Arial" w:cs="Arial"/>
        </w:rPr>
        <w:t xml:space="preserve"> por ejemplo, un régimen vinculante de responsabilidad por daño ambiental transfronterizo, la responsabilidad e indemnización por daños por el clima; o la escasez de normas o principios relativos a los daños latentes, situación problemática habida cuenta del lapso, a menudo considerable, que media entre los actos y sus consecuencias para el medio ambiente como lo confirmó el caso Gabcikovo-Nagymaros</w:t>
      </w:r>
    </w:p>
  </w:footnote>
  <w:footnote w:id="4">
    <w:p w14:paraId="14B871ED" w14:textId="77777777" w:rsidR="00462C51" w:rsidRDefault="00462C51" w:rsidP="00F077BF">
      <w:pPr>
        <w:pStyle w:val="Textonotapie"/>
        <w:jc w:val="both"/>
      </w:pPr>
      <w:r w:rsidRPr="00A82850">
        <w:rPr>
          <w:rStyle w:val="Refdenotaalpie"/>
          <w:rFonts w:ascii="Arial" w:hAnsi="Arial" w:cs="Arial"/>
        </w:rPr>
        <w:footnoteRef/>
      </w:r>
      <w:r w:rsidRPr="00A82850">
        <w:rPr>
          <w:rFonts w:ascii="Arial" w:hAnsi="Arial" w:cs="Arial"/>
        </w:rPr>
        <w:t xml:space="preserve"> Ver Informe Secretario General “Lagunas en el derecho internacional del medio ambiente y los instrumentos relacionados con el medio ambiente: hacia un pacto mundial por el medio ambiente”, para. 90.</w:t>
      </w:r>
    </w:p>
  </w:footnote>
  <w:footnote w:id="5">
    <w:p w14:paraId="2759AC19" w14:textId="77777777" w:rsidR="001D32DA" w:rsidRDefault="001D32DA" w:rsidP="001D32DA">
      <w:pPr>
        <w:pStyle w:val="Textocomentario"/>
      </w:pPr>
      <w:r>
        <w:rPr>
          <w:rStyle w:val="Refdenotaalpie"/>
        </w:rPr>
        <w:footnoteRef/>
      </w:r>
      <w:r>
        <w:t xml:space="preserve"> Un vacío puede considerarse como “un área del derecho </w:t>
      </w:r>
      <w:r w:rsidRPr="00384F6A">
        <w:t>incompleta o regulada de forma deficiente</w:t>
      </w:r>
      <w:r>
        <w:t>”</w:t>
      </w:r>
      <w:r w:rsidRPr="00384F6A">
        <w:t>.</w:t>
      </w:r>
      <w:r>
        <w:t xml:space="preserve"> Ahora bien, dicho vacíos</w:t>
      </w:r>
      <w:r w:rsidRPr="00384F6A">
        <w:t xml:space="preserve"> pueden ser </w:t>
      </w:r>
      <w:r w:rsidRPr="00384F6A">
        <w:rPr>
          <w:i/>
        </w:rPr>
        <w:t>voluntarios</w:t>
      </w:r>
      <w:r w:rsidRPr="00384F6A">
        <w:t xml:space="preserve"> o </w:t>
      </w:r>
      <w:r w:rsidRPr="00384F6A">
        <w:rPr>
          <w:i/>
        </w:rPr>
        <w:t>involuntarios</w:t>
      </w:r>
      <w:r w:rsidRPr="00384F6A">
        <w:t>. Vale decir, hay temas que los Estados no han querido o no han podido regular y este instrumento debería enfocarse en los vacíos involuntarios, por tratarse de aquellos asuntos que los Estados sí quieren regular pero aún no han regulado</w:t>
      </w:r>
      <w:r>
        <w:t xml:space="preserve"> pese a haberse identificado la necesidad de regular dicho tema. Esto lo diferencia de las discusiones emergentes en las cuales los Estados puede que quieran regular un tema pero aún no hay consenso sobre dicha necesidad o la necesidad de regular aún no ha surgido.</w:t>
      </w:r>
    </w:p>
    <w:p w14:paraId="362BF77A" w14:textId="77777777" w:rsidR="001D32DA" w:rsidRDefault="001D32DA" w:rsidP="001D32DA">
      <w:pPr>
        <w:pStyle w:val="Textonotapie"/>
      </w:pPr>
    </w:p>
  </w:footnote>
  <w:footnote w:id="6">
    <w:p w14:paraId="4FC1C63B" w14:textId="77777777" w:rsidR="001D32DA" w:rsidRPr="007C02A8" w:rsidRDefault="001D32DA" w:rsidP="001D32DA">
      <w:pPr>
        <w:pStyle w:val="Textonotapie"/>
      </w:pPr>
      <w:r w:rsidRPr="007C02A8">
        <w:rPr>
          <w:rStyle w:val="Refdenotaalpie"/>
        </w:rPr>
        <w:footnoteRef/>
      </w:r>
      <w:r w:rsidRPr="007C02A8">
        <w:t xml:space="preserve"> Ver Informe Secretario General “Lagunas en el derecho internacional del medio ambiente y los instrumentos relacionados con el medio ambiente: hacia un pacto mundial por el medio ambiente”, para. 90.</w:t>
      </w:r>
    </w:p>
  </w:footnote>
  <w:footnote w:id="7">
    <w:p w14:paraId="57DEA724" w14:textId="77777777" w:rsidR="001D32DA" w:rsidRPr="00F27E29" w:rsidRDefault="001D32DA" w:rsidP="001D32DA">
      <w:pPr>
        <w:pStyle w:val="Textonotapie"/>
      </w:pPr>
      <w:r w:rsidRPr="00F27E29">
        <w:rPr>
          <w:rStyle w:val="Refdenotaalpie"/>
        </w:rPr>
        <w:footnoteRef/>
      </w:r>
      <w:r w:rsidRPr="00F27E29">
        <w:t xml:space="preserve"> Un ejemplo claro de instrumentos no vinculantes que buscan orientar a los Estados en la aplicación de sus compromisos plasmados en Convenios Internacionales es el Manual para la aplicación del Convenio de Basilea. Como lo dice el prefacio del Manual: “ Este manual fue elaborado para ayudar a las Partes, a los Estados que no son Partes, al sector privado, a las organizaciones no gubernamentales y a las personas a comprender las obligaciones contenidas en el Convenio”. El Convenio de Estocolmo también cuenta con guías técnicas en este sentido. Ver por ejemplo: http://chm.pops.int/Implementation/IndustrialPOPs/PCBs/Guidance/tabid/665/Default.aspx</w:t>
      </w:r>
    </w:p>
  </w:footnote>
  <w:footnote w:id="8">
    <w:p w14:paraId="13BEE486" w14:textId="77777777" w:rsidR="001D32DA" w:rsidRPr="007C02A8" w:rsidRDefault="001D32DA" w:rsidP="001D32DA">
      <w:pPr>
        <w:pStyle w:val="Default"/>
        <w:jc w:val="both"/>
        <w:rPr>
          <w:sz w:val="20"/>
          <w:szCs w:val="20"/>
        </w:rPr>
      </w:pPr>
      <w:r w:rsidRPr="007C02A8">
        <w:rPr>
          <w:rStyle w:val="Refdenotaalpie"/>
          <w:sz w:val="20"/>
          <w:szCs w:val="20"/>
        </w:rPr>
        <w:footnoteRef/>
      </w:r>
      <w:r w:rsidRPr="007C02A8">
        <w:rPr>
          <w:sz w:val="20"/>
          <w:szCs w:val="20"/>
        </w:rPr>
        <w:t xml:space="preserve"> “El PNUMA, creado a raíz de la Conferencia de las Naciones Unidas sobre el Medio Humano (Conferencia de Estocolmo), se estableció para promover la cooperación internacional en la esfera del medio ambiente y ofrecer orientación normativa general para la dirección y coordinación de los programas sobre medio ambiente enmarcados en el sistema de las Naciones Unidas … La función del PNUMA, en cuanto principal autoridad ambiental mundial encargada de establecer el programa mundial sobre el medio ambiente, promover la ejecución coherente de los aspectos ambientales del desarrollo sostenible en el sistema de las Naciones Unidas y ejercer de defensor autorizado del medio ambiente mundial, se reafirmó en el Programa 21, la Declaración de Nairobi sobre el Papel y el Mandato del PNUMA213 y el documento final de la Conferencia Río+20, titulado “El futuro que queremos”. Ver Informe Secretario General “Lagunas en el derecho internacional del medio ambiente y los instrumentos relacionados con el medio ambiente: hacia un pacto mundial por el medio ambiente”, para. 79.</w:t>
      </w:r>
    </w:p>
    <w:p w14:paraId="1D51B75B" w14:textId="77777777" w:rsidR="001D32DA" w:rsidRPr="007C02A8" w:rsidRDefault="001D32DA" w:rsidP="001D32D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9FC5E" w14:textId="77777777" w:rsidR="00462C51" w:rsidRDefault="00462C5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80CC5" w14:textId="14285D46" w:rsidR="00462C51" w:rsidRDefault="00986E59">
    <w:pPr>
      <w:pStyle w:val="Encabezado"/>
    </w:pPr>
    <w:sdt>
      <w:sdtPr>
        <w:id w:val="-685911113"/>
        <w:docPartObj>
          <w:docPartGallery w:val="Watermarks"/>
          <w:docPartUnique/>
        </w:docPartObj>
      </w:sdtPr>
      <w:sdtEndPr/>
      <w:sdtContent>
        <w:r>
          <w:pict w14:anchorId="63EDC2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r w:rsidR="00462C51">
      <w:rPr>
        <w:noProof/>
        <w:lang w:eastAsia="es-CO"/>
      </w:rPr>
      <w:drawing>
        <wp:anchor distT="0" distB="0" distL="114300" distR="114300" simplePos="0" relativeHeight="251657216" behindDoc="0" locked="0" layoutInCell="1" allowOverlap="1" wp14:anchorId="23EA34C2" wp14:editId="6AF6C274">
          <wp:simplePos x="0" y="0"/>
          <wp:positionH relativeFrom="margin">
            <wp:posOffset>2867025</wp:posOffset>
          </wp:positionH>
          <wp:positionV relativeFrom="topMargin">
            <wp:posOffset>115570</wp:posOffset>
          </wp:positionV>
          <wp:extent cx="3362325" cy="666750"/>
          <wp:effectExtent l="0" t="0" r="9525" b="0"/>
          <wp:wrapSquare wrapText="bothSides"/>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62325" cy="6667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E8D01" w14:textId="77777777" w:rsidR="00462C51" w:rsidRDefault="00462C5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1F8D"/>
    <w:multiLevelType w:val="hybridMultilevel"/>
    <w:tmpl w:val="4DFC203E"/>
    <w:lvl w:ilvl="0" w:tplc="DFEC2654">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BF753F"/>
    <w:multiLevelType w:val="hybridMultilevel"/>
    <w:tmpl w:val="8EE0A30A"/>
    <w:lvl w:ilvl="0" w:tplc="15E66EC4">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80A28C9"/>
    <w:multiLevelType w:val="hybridMultilevel"/>
    <w:tmpl w:val="D23A774C"/>
    <w:lvl w:ilvl="0" w:tplc="15E66EC4">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ADA74AF"/>
    <w:multiLevelType w:val="hybridMultilevel"/>
    <w:tmpl w:val="F84E7218"/>
    <w:lvl w:ilvl="0" w:tplc="24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E6914AC"/>
    <w:multiLevelType w:val="hybridMultilevel"/>
    <w:tmpl w:val="55E808D8"/>
    <w:lvl w:ilvl="0" w:tplc="15E66EC4">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F5D0F16"/>
    <w:multiLevelType w:val="hybridMultilevel"/>
    <w:tmpl w:val="BD7499FA"/>
    <w:lvl w:ilvl="0" w:tplc="DFEC2654">
      <w:start w:val="1"/>
      <w:numFmt w:val="decimal"/>
      <w:lvlText w:val="%1."/>
      <w:lvlJc w:val="left"/>
      <w:pPr>
        <w:ind w:left="360" w:hanging="360"/>
      </w:pPr>
      <w:rPr>
        <w:rFonts w:hint="default"/>
        <w:b w:val="0"/>
      </w:rPr>
    </w:lvl>
    <w:lvl w:ilvl="1" w:tplc="0C0A0003">
      <w:start w:val="1"/>
      <w:numFmt w:val="bullet"/>
      <w:lvlText w:val="o"/>
      <w:lvlJc w:val="left"/>
      <w:pPr>
        <w:ind w:left="720" w:hanging="360"/>
      </w:pPr>
      <w:rPr>
        <w:rFonts w:ascii="Courier New" w:hAnsi="Courier New" w:cs="Courier New" w:hint="default"/>
      </w:rPr>
    </w:lvl>
    <w:lvl w:ilvl="2" w:tplc="0C0A0005">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6" w15:restartNumberingAfterBreak="0">
    <w:nsid w:val="14C33402"/>
    <w:multiLevelType w:val="hybridMultilevel"/>
    <w:tmpl w:val="D1565AA2"/>
    <w:lvl w:ilvl="0" w:tplc="15E66EC4">
      <w:start w:val="1"/>
      <w:numFmt w:val="decimal"/>
      <w:lvlText w:val="%1."/>
      <w:lvlJc w:val="left"/>
      <w:pPr>
        <w:ind w:left="360" w:hanging="360"/>
      </w:pPr>
      <w:rPr>
        <w:rFonts w:hint="default"/>
      </w:rPr>
    </w:lvl>
    <w:lvl w:ilvl="1" w:tplc="0C0A0019">
      <w:start w:val="1"/>
      <w:numFmt w:val="lowerLetter"/>
      <w:lvlText w:val="%2."/>
      <w:lvlJc w:val="left"/>
      <w:pPr>
        <w:ind w:left="1395" w:hanging="360"/>
      </w:pPr>
    </w:lvl>
    <w:lvl w:ilvl="2" w:tplc="0C0A001B" w:tentative="1">
      <w:start w:val="1"/>
      <w:numFmt w:val="lowerRoman"/>
      <w:lvlText w:val="%3."/>
      <w:lvlJc w:val="right"/>
      <w:pPr>
        <w:ind w:left="2115" w:hanging="180"/>
      </w:pPr>
    </w:lvl>
    <w:lvl w:ilvl="3" w:tplc="0C0A000F" w:tentative="1">
      <w:start w:val="1"/>
      <w:numFmt w:val="decimal"/>
      <w:lvlText w:val="%4."/>
      <w:lvlJc w:val="left"/>
      <w:pPr>
        <w:ind w:left="2835" w:hanging="360"/>
      </w:pPr>
    </w:lvl>
    <w:lvl w:ilvl="4" w:tplc="0C0A0019" w:tentative="1">
      <w:start w:val="1"/>
      <w:numFmt w:val="lowerLetter"/>
      <w:lvlText w:val="%5."/>
      <w:lvlJc w:val="left"/>
      <w:pPr>
        <w:ind w:left="3555" w:hanging="360"/>
      </w:pPr>
    </w:lvl>
    <w:lvl w:ilvl="5" w:tplc="0C0A001B" w:tentative="1">
      <w:start w:val="1"/>
      <w:numFmt w:val="lowerRoman"/>
      <w:lvlText w:val="%6."/>
      <w:lvlJc w:val="right"/>
      <w:pPr>
        <w:ind w:left="4275" w:hanging="180"/>
      </w:pPr>
    </w:lvl>
    <w:lvl w:ilvl="6" w:tplc="0C0A000F" w:tentative="1">
      <w:start w:val="1"/>
      <w:numFmt w:val="decimal"/>
      <w:lvlText w:val="%7."/>
      <w:lvlJc w:val="left"/>
      <w:pPr>
        <w:ind w:left="4995" w:hanging="360"/>
      </w:pPr>
    </w:lvl>
    <w:lvl w:ilvl="7" w:tplc="0C0A0019" w:tentative="1">
      <w:start w:val="1"/>
      <w:numFmt w:val="lowerLetter"/>
      <w:lvlText w:val="%8."/>
      <w:lvlJc w:val="left"/>
      <w:pPr>
        <w:ind w:left="5715" w:hanging="360"/>
      </w:pPr>
    </w:lvl>
    <w:lvl w:ilvl="8" w:tplc="0C0A001B" w:tentative="1">
      <w:start w:val="1"/>
      <w:numFmt w:val="lowerRoman"/>
      <w:lvlText w:val="%9."/>
      <w:lvlJc w:val="right"/>
      <w:pPr>
        <w:ind w:left="6435" w:hanging="180"/>
      </w:pPr>
    </w:lvl>
  </w:abstractNum>
  <w:abstractNum w:abstractNumId="7" w15:restartNumberingAfterBreak="0">
    <w:nsid w:val="15D957EC"/>
    <w:multiLevelType w:val="hybridMultilevel"/>
    <w:tmpl w:val="6FE08172"/>
    <w:lvl w:ilvl="0" w:tplc="0C0A000F">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16D93276"/>
    <w:multiLevelType w:val="hybridMultilevel"/>
    <w:tmpl w:val="D0F6F230"/>
    <w:lvl w:ilvl="0" w:tplc="240A0001">
      <w:start w:val="1"/>
      <w:numFmt w:val="bullet"/>
      <w:lvlText w:val=""/>
      <w:lvlJc w:val="left"/>
      <w:pPr>
        <w:ind w:left="360" w:hanging="360"/>
      </w:pPr>
      <w:rPr>
        <w:rFonts w:ascii="Symbol" w:hAnsi="Symbol" w:hint="default"/>
      </w:rPr>
    </w:lvl>
    <w:lvl w:ilvl="1" w:tplc="0C0A0003">
      <w:start w:val="1"/>
      <w:numFmt w:val="bullet"/>
      <w:lvlText w:val="o"/>
      <w:lvlJc w:val="left"/>
      <w:pPr>
        <w:ind w:left="720" w:hanging="360"/>
      </w:pPr>
      <w:rPr>
        <w:rFonts w:ascii="Courier New" w:hAnsi="Courier New" w:cs="Courier New" w:hint="default"/>
      </w:rPr>
    </w:lvl>
    <w:lvl w:ilvl="2" w:tplc="0C0A0005">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9" w15:restartNumberingAfterBreak="0">
    <w:nsid w:val="181218A6"/>
    <w:multiLevelType w:val="hybridMultilevel"/>
    <w:tmpl w:val="91BEB37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1D64C5D"/>
    <w:multiLevelType w:val="hybridMultilevel"/>
    <w:tmpl w:val="BC8CCE4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23471921"/>
    <w:multiLevelType w:val="hybridMultilevel"/>
    <w:tmpl w:val="6ADE625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27506E25"/>
    <w:multiLevelType w:val="hybridMultilevel"/>
    <w:tmpl w:val="8B0025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88070E8"/>
    <w:multiLevelType w:val="hybridMultilevel"/>
    <w:tmpl w:val="BB203DB6"/>
    <w:lvl w:ilvl="0" w:tplc="0C0A0001">
      <w:start w:val="1"/>
      <w:numFmt w:val="bullet"/>
      <w:lvlText w:val=""/>
      <w:lvlJc w:val="left"/>
      <w:pPr>
        <w:ind w:left="644"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28B15172"/>
    <w:multiLevelType w:val="hybridMultilevel"/>
    <w:tmpl w:val="D17E5732"/>
    <w:lvl w:ilvl="0" w:tplc="24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306B4544"/>
    <w:multiLevelType w:val="hybridMultilevel"/>
    <w:tmpl w:val="1DC6AB0A"/>
    <w:lvl w:ilvl="0" w:tplc="15E66EC4">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63C69C4"/>
    <w:multiLevelType w:val="hybridMultilevel"/>
    <w:tmpl w:val="B4546DEA"/>
    <w:styleLink w:val="Normallist1"/>
    <w:lvl w:ilvl="0" w:tplc="240A0013">
      <w:start w:val="1"/>
      <w:numFmt w:val="upperRoman"/>
      <w:lvlText w:val="%1."/>
      <w:lvlJc w:val="right"/>
      <w:pPr>
        <w:ind w:left="720" w:hanging="360"/>
      </w:pPr>
    </w:lvl>
    <w:lvl w:ilvl="1" w:tplc="84DC8388">
      <w:start w:val="1"/>
      <w:numFmt w:val="decimal"/>
      <w:lvlText w:val="%2)"/>
      <w:lvlJc w:val="left"/>
      <w:pPr>
        <w:ind w:left="1440" w:hanging="360"/>
      </w:pPr>
    </w:lvl>
    <w:lvl w:ilvl="2" w:tplc="4B80E008">
      <w:start w:val="1"/>
      <w:numFmt w:val="decimal"/>
      <w:lvlText w:val="%3."/>
      <w:lvlJc w:val="left"/>
      <w:pPr>
        <w:ind w:left="2685" w:hanging="705"/>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364959FD"/>
    <w:multiLevelType w:val="hybridMultilevel"/>
    <w:tmpl w:val="32ECD46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372419D3"/>
    <w:multiLevelType w:val="hybridMultilevel"/>
    <w:tmpl w:val="D410E3F6"/>
    <w:lvl w:ilvl="0" w:tplc="FEFA7528">
      <w:start w:val="1"/>
      <w:numFmt w:val="lowerLetter"/>
      <w:lvlText w:val="%1)"/>
      <w:lvlJc w:val="left"/>
      <w:pPr>
        <w:tabs>
          <w:tab w:val="num" w:pos="1068"/>
        </w:tabs>
        <w:ind w:left="1068" w:hanging="360"/>
      </w:pPr>
    </w:lvl>
    <w:lvl w:ilvl="1" w:tplc="0F06DCC8" w:tentative="1">
      <w:start w:val="1"/>
      <w:numFmt w:val="lowerLetter"/>
      <w:lvlText w:val="%2)"/>
      <w:lvlJc w:val="left"/>
      <w:pPr>
        <w:tabs>
          <w:tab w:val="num" w:pos="1788"/>
        </w:tabs>
        <w:ind w:left="1788" w:hanging="360"/>
      </w:pPr>
    </w:lvl>
    <w:lvl w:ilvl="2" w:tplc="7D06F0F6" w:tentative="1">
      <w:start w:val="1"/>
      <w:numFmt w:val="lowerLetter"/>
      <w:lvlText w:val="%3)"/>
      <w:lvlJc w:val="left"/>
      <w:pPr>
        <w:tabs>
          <w:tab w:val="num" w:pos="2508"/>
        </w:tabs>
        <w:ind w:left="2508" w:hanging="360"/>
      </w:pPr>
    </w:lvl>
    <w:lvl w:ilvl="3" w:tplc="BFE0711C" w:tentative="1">
      <w:start w:val="1"/>
      <w:numFmt w:val="lowerLetter"/>
      <w:lvlText w:val="%4)"/>
      <w:lvlJc w:val="left"/>
      <w:pPr>
        <w:tabs>
          <w:tab w:val="num" w:pos="3228"/>
        </w:tabs>
        <w:ind w:left="3228" w:hanging="360"/>
      </w:pPr>
    </w:lvl>
    <w:lvl w:ilvl="4" w:tplc="E0ACCD98" w:tentative="1">
      <w:start w:val="1"/>
      <w:numFmt w:val="lowerLetter"/>
      <w:lvlText w:val="%5)"/>
      <w:lvlJc w:val="left"/>
      <w:pPr>
        <w:tabs>
          <w:tab w:val="num" w:pos="3948"/>
        </w:tabs>
        <w:ind w:left="3948" w:hanging="360"/>
      </w:pPr>
    </w:lvl>
    <w:lvl w:ilvl="5" w:tplc="E4A2B93A" w:tentative="1">
      <w:start w:val="1"/>
      <w:numFmt w:val="lowerLetter"/>
      <w:lvlText w:val="%6)"/>
      <w:lvlJc w:val="left"/>
      <w:pPr>
        <w:tabs>
          <w:tab w:val="num" w:pos="4668"/>
        </w:tabs>
        <w:ind w:left="4668" w:hanging="360"/>
      </w:pPr>
    </w:lvl>
    <w:lvl w:ilvl="6" w:tplc="8C6C95F8" w:tentative="1">
      <w:start w:val="1"/>
      <w:numFmt w:val="lowerLetter"/>
      <w:lvlText w:val="%7)"/>
      <w:lvlJc w:val="left"/>
      <w:pPr>
        <w:tabs>
          <w:tab w:val="num" w:pos="5388"/>
        </w:tabs>
        <w:ind w:left="5388" w:hanging="360"/>
      </w:pPr>
    </w:lvl>
    <w:lvl w:ilvl="7" w:tplc="AFDAE5E8" w:tentative="1">
      <w:start w:val="1"/>
      <w:numFmt w:val="lowerLetter"/>
      <w:lvlText w:val="%8)"/>
      <w:lvlJc w:val="left"/>
      <w:pPr>
        <w:tabs>
          <w:tab w:val="num" w:pos="6108"/>
        </w:tabs>
        <w:ind w:left="6108" w:hanging="360"/>
      </w:pPr>
    </w:lvl>
    <w:lvl w:ilvl="8" w:tplc="849CB57A" w:tentative="1">
      <w:start w:val="1"/>
      <w:numFmt w:val="lowerLetter"/>
      <w:lvlText w:val="%9)"/>
      <w:lvlJc w:val="left"/>
      <w:pPr>
        <w:tabs>
          <w:tab w:val="num" w:pos="6828"/>
        </w:tabs>
        <w:ind w:left="6828" w:hanging="360"/>
      </w:pPr>
    </w:lvl>
  </w:abstractNum>
  <w:abstractNum w:abstractNumId="19" w15:restartNumberingAfterBreak="0">
    <w:nsid w:val="3C09571C"/>
    <w:multiLevelType w:val="hybridMultilevel"/>
    <w:tmpl w:val="652A8A06"/>
    <w:lvl w:ilvl="0" w:tplc="040A000F">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3DCC7321"/>
    <w:multiLevelType w:val="hybridMultilevel"/>
    <w:tmpl w:val="1F16D540"/>
    <w:lvl w:ilvl="0" w:tplc="0C0A000F">
      <w:start w:val="1"/>
      <w:numFmt w:val="decimal"/>
      <w:lvlText w:val="%1."/>
      <w:lvlJc w:val="left"/>
      <w:pPr>
        <w:ind w:left="360" w:hanging="360"/>
      </w:pPr>
      <w:rPr>
        <w:rFonts w:hint="default"/>
      </w:rPr>
    </w:lvl>
    <w:lvl w:ilvl="1" w:tplc="240A001B">
      <w:start w:val="1"/>
      <w:numFmt w:val="lowerRoman"/>
      <w:lvlText w:val="%2."/>
      <w:lvlJc w:val="righ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E922569"/>
    <w:multiLevelType w:val="hybridMultilevel"/>
    <w:tmpl w:val="DD7C6500"/>
    <w:lvl w:ilvl="0" w:tplc="15E66EC4">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F2816DB"/>
    <w:multiLevelType w:val="hybridMultilevel"/>
    <w:tmpl w:val="A4D65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7770B3"/>
    <w:multiLevelType w:val="hybridMultilevel"/>
    <w:tmpl w:val="A6C20932"/>
    <w:lvl w:ilvl="0" w:tplc="240A0001">
      <w:start w:val="1"/>
      <w:numFmt w:val="bullet"/>
      <w:lvlText w:val=""/>
      <w:lvlJc w:val="left"/>
      <w:pPr>
        <w:ind w:left="360" w:hanging="360"/>
      </w:pPr>
      <w:rPr>
        <w:rFonts w:ascii="Symbol" w:hAnsi="Symbol" w:hint="default"/>
        <w:b w:val="0"/>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4" w15:restartNumberingAfterBreak="0">
    <w:nsid w:val="3FDA5F41"/>
    <w:multiLevelType w:val="hybridMultilevel"/>
    <w:tmpl w:val="43464BB6"/>
    <w:lvl w:ilvl="0" w:tplc="71AC305A">
      <w:start w:val="1"/>
      <w:numFmt w:val="decimal"/>
      <w:lvlText w:val="%1."/>
      <w:lvlJc w:val="left"/>
      <w:pPr>
        <w:ind w:left="360" w:hanging="360"/>
      </w:pPr>
      <w:rPr>
        <w:rFonts w:hint="default"/>
        <w:b w:val="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421C5C2D"/>
    <w:multiLevelType w:val="hybridMultilevel"/>
    <w:tmpl w:val="DC22B0E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2434C0C"/>
    <w:multiLevelType w:val="hybridMultilevel"/>
    <w:tmpl w:val="D1263ADC"/>
    <w:lvl w:ilvl="0" w:tplc="34BA315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6F74748"/>
    <w:multiLevelType w:val="hybridMultilevel"/>
    <w:tmpl w:val="A6FC9F70"/>
    <w:lvl w:ilvl="0" w:tplc="15E66EC4">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4B9C53BF"/>
    <w:multiLevelType w:val="hybridMultilevel"/>
    <w:tmpl w:val="B590CBC6"/>
    <w:lvl w:ilvl="0" w:tplc="EC6807D4">
      <w:start w:val="1"/>
      <w:numFmt w:val="decimal"/>
      <w:lvlText w:val="%1."/>
      <w:lvlJc w:val="left"/>
      <w:pPr>
        <w:ind w:left="360" w:hanging="360"/>
      </w:pPr>
      <w:rPr>
        <w:b w:val="0"/>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9" w15:restartNumberingAfterBreak="0">
    <w:nsid w:val="4D1449A4"/>
    <w:multiLevelType w:val="hybridMultilevel"/>
    <w:tmpl w:val="A03E17C0"/>
    <w:lvl w:ilvl="0" w:tplc="0C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525F5246"/>
    <w:multiLevelType w:val="hybridMultilevel"/>
    <w:tmpl w:val="F8BE3CF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5494046B"/>
    <w:multiLevelType w:val="hybridMultilevel"/>
    <w:tmpl w:val="6B16A15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32" w15:restartNumberingAfterBreak="0">
    <w:nsid w:val="55AC6E6A"/>
    <w:multiLevelType w:val="hybridMultilevel"/>
    <w:tmpl w:val="2F8ED49A"/>
    <w:lvl w:ilvl="0" w:tplc="15E66EC4">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57163E97"/>
    <w:multiLevelType w:val="hybridMultilevel"/>
    <w:tmpl w:val="CC5C9698"/>
    <w:lvl w:ilvl="0" w:tplc="DFEC2654">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90C5978"/>
    <w:multiLevelType w:val="hybridMultilevel"/>
    <w:tmpl w:val="2B8E6C52"/>
    <w:lvl w:ilvl="0" w:tplc="DFEC2654">
      <w:start w:val="1"/>
      <w:numFmt w:val="decimal"/>
      <w:lvlText w:val="%1."/>
      <w:lvlJc w:val="left"/>
      <w:pPr>
        <w:ind w:left="360" w:hanging="360"/>
      </w:pPr>
      <w:rPr>
        <w:rFonts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B1329CA"/>
    <w:multiLevelType w:val="hybridMultilevel"/>
    <w:tmpl w:val="85D00694"/>
    <w:lvl w:ilvl="0" w:tplc="BFF24D14">
      <w:start w:val="7"/>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BB61607"/>
    <w:multiLevelType w:val="hybridMultilevel"/>
    <w:tmpl w:val="9926F0E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37" w15:restartNumberingAfterBreak="0">
    <w:nsid w:val="5E176B28"/>
    <w:multiLevelType w:val="hybridMultilevel"/>
    <w:tmpl w:val="331AED4A"/>
    <w:lvl w:ilvl="0" w:tplc="0C0A000F">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5F6B51D8"/>
    <w:multiLevelType w:val="hybridMultilevel"/>
    <w:tmpl w:val="0B8EB3E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39" w15:restartNumberingAfterBreak="0">
    <w:nsid w:val="600D29FD"/>
    <w:multiLevelType w:val="hybridMultilevel"/>
    <w:tmpl w:val="7ACEC2A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0" w15:restartNumberingAfterBreak="0">
    <w:nsid w:val="62077ED7"/>
    <w:multiLevelType w:val="hybridMultilevel"/>
    <w:tmpl w:val="91061DCC"/>
    <w:lvl w:ilvl="0" w:tplc="240A0001">
      <w:start w:val="1"/>
      <w:numFmt w:val="bullet"/>
      <w:lvlText w:val=""/>
      <w:lvlJc w:val="left"/>
      <w:pPr>
        <w:ind w:left="360" w:hanging="360"/>
      </w:pPr>
      <w:rPr>
        <w:rFonts w:ascii="Symbol" w:hAnsi="Symbol" w:hint="default"/>
        <w:b w:val="0"/>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1" w15:restartNumberingAfterBreak="0">
    <w:nsid w:val="633365D6"/>
    <w:multiLevelType w:val="hybridMultilevel"/>
    <w:tmpl w:val="FE2C9C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34A57EB"/>
    <w:multiLevelType w:val="hybridMultilevel"/>
    <w:tmpl w:val="CD303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9A1417"/>
    <w:multiLevelType w:val="hybridMultilevel"/>
    <w:tmpl w:val="B3904D1C"/>
    <w:lvl w:ilvl="0" w:tplc="DFEC2654">
      <w:start w:val="1"/>
      <w:numFmt w:val="decimal"/>
      <w:lvlText w:val="%1."/>
      <w:lvlJc w:val="left"/>
      <w:pPr>
        <w:ind w:left="360" w:hanging="360"/>
      </w:pPr>
      <w:rPr>
        <w:rFonts w:hint="default"/>
        <w:b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4" w15:restartNumberingAfterBreak="0">
    <w:nsid w:val="661163DE"/>
    <w:multiLevelType w:val="hybridMultilevel"/>
    <w:tmpl w:val="F2347F1E"/>
    <w:lvl w:ilvl="0" w:tplc="0C0A000F">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7DFCAD4C">
      <w:start w:val="10"/>
      <w:numFmt w:val="bullet"/>
      <w:lvlText w:val="•"/>
      <w:lvlJc w:val="left"/>
      <w:pPr>
        <w:ind w:left="2520" w:hanging="360"/>
      </w:pPr>
      <w:rPr>
        <w:rFonts w:ascii="Calibri Light" w:eastAsia="Times New Roman" w:hAnsi="Calibri Light" w:cs="Calibri Light"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5" w15:restartNumberingAfterBreak="0">
    <w:nsid w:val="698026D8"/>
    <w:multiLevelType w:val="hybridMultilevel"/>
    <w:tmpl w:val="DB562AFC"/>
    <w:lvl w:ilvl="0" w:tplc="15E66EC4">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6" w15:restartNumberingAfterBreak="0">
    <w:nsid w:val="6B0911A2"/>
    <w:multiLevelType w:val="hybridMultilevel"/>
    <w:tmpl w:val="74C05F8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7" w15:restartNumberingAfterBreak="0">
    <w:nsid w:val="6BD218CB"/>
    <w:multiLevelType w:val="hybridMultilevel"/>
    <w:tmpl w:val="CBBC64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8" w15:restartNumberingAfterBreak="0">
    <w:nsid w:val="6BF72677"/>
    <w:multiLevelType w:val="hybridMultilevel"/>
    <w:tmpl w:val="2B50EBA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7DFCAD4C">
      <w:start w:val="10"/>
      <w:numFmt w:val="bullet"/>
      <w:lvlText w:val="•"/>
      <w:lvlJc w:val="left"/>
      <w:pPr>
        <w:ind w:left="2520" w:hanging="360"/>
      </w:pPr>
      <w:rPr>
        <w:rFonts w:ascii="Calibri Light" w:eastAsia="Times New Roman" w:hAnsi="Calibri Light" w:cs="Calibri Light"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9" w15:restartNumberingAfterBreak="0">
    <w:nsid w:val="6EB84BC9"/>
    <w:multiLevelType w:val="hybridMultilevel"/>
    <w:tmpl w:val="2162175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50" w15:restartNumberingAfterBreak="0">
    <w:nsid w:val="6F6A781E"/>
    <w:multiLevelType w:val="hybridMultilevel"/>
    <w:tmpl w:val="C05AD244"/>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1" w15:restartNumberingAfterBreak="0">
    <w:nsid w:val="72F43B43"/>
    <w:multiLevelType w:val="hybridMultilevel"/>
    <w:tmpl w:val="8E84DD0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52" w15:restartNumberingAfterBreak="0">
    <w:nsid w:val="73BD7C18"/>
    <w:multiLevelType w:val="hybridMultilevel"/>
    <w:tmpl w:val="CD303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FF74BD"/>
    <w:multiLevelType w:val="hybridMultilevel"/>
    <w:tmpl w:val="D23A774C"/>
    <w:lvl w:ilvl="0" w:tplc="15E66EC4">
      <w:start w:val="1"/>
      <w:numFmt w:val="decimal"/>
      <w:lvlText w:val="%1."/>
      <w:lvlJc w:val="left"/>
      <w:pPr>
        <w:ind w:left="360" w:hanging="360"/>
      </w:pPr>
      <w:rPr>
        <w:rFont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4" w15:restartNumberingAfterBreak="0">
    <w:nsid w:val="7F287672"/>
    <w:multiLevelType w:val="hybridMultilevel"/>
    <w:tmpl w:val="692E8AEE"/>
    <w:lvl w:ilvl="0" w:tplc="DFEC2654">
      <w:start w:val="1"/>
      <w:numFmt w:val="decimal"/>
      <w:lvlText w:val="%1."/>
      <w:lvlJc w:val="left"/>
      <w:pPr>
        <w:ind w:left="360" w:hanging="360"/>
      </w:pPr>
      <w:rPr>
        <w:rFonts w:hint="default"/>
        <w:b w:val="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5" w15:restartNumberingAfterBreak="0">
    <w:nsid w:val="7F582DB0"/>
    <w:multiLevelType w:val="hybridMultilevel"/>
    <w:tmpl w:val="BCD6F0FE"/>
    <w:lvl w:ilvl="0" w:tplc="DFEC2654">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9"/>
  </w:num>
  <w:num w:numId="2">
    <w:abstractNumId w:val="29"/>
  </w:num>
  <w:num w:numId="3">
    <w:abstractNumId w:val="39"/>
  </w:num>
  <w:num w:numId="4">
    <w:abstractNumId w:val="48"/>
  </w:num>
  <w:num w:numId="5">
    <w:abstractNumId w:val="18"/>
  </w:num>
  <w:num w:numId="6">
    <w:abstractNumId w:val="35"/>
  </w:num>
  <w:num w:numId="7">
    <w:abstractNumId w:val="47"/>
  </w:num>
  <w:num w:numId="8">
    <w:abstractNumId w:val="53"/>
  </w:num>
  <w:num w:numId="9">
    <w:abstractNumId w:val="4"/>
  </w:num>
  <w:num w:numId="10">
    <w:abstractNumId w:val="32"/>
  </w:num>
  <w:num w:numId="11">
    <w:abstractNumId w:val="9"/>
  </w:num>
  <w:num w:numId="12">
    <w:abstractNumId w:val="7"/>
  </w:num>
  <w:num w:numId="13">
    <w:abstractNumId w:val="16"/>
  </w:num>
  <w:num w:numId="14">
    <w:abstractNumId w:val="13"/>
  </w:num>
  <w:num w:numId="15">
    <w:abstractNumId w:val="38"/>
  </w:num>
  <w:num w:numId="16">
    <w:abstractNumId w:val="17"/>
  </w:num>
  <w:num w:numId="17">
    <w:abstractNumId w:val="12"/>
  </w:num>
  <w:num w:numId="18">
    <w:abstractNumId w:val="14"/>
  </w:num>
  <w:num w:numId="19">
    <w:abstractNumId w:val="3"/>
  </w:num>
  <w:num w:numId="20">
    <w:abstractNumId w:val="28"/>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31"/>
  </w:num>
  <w:num w:numId="23">
    <w:abstractNumId w:val="40"/>
  </w:num>
  <w:num w:numId="24">
    <w:abstractNumId w:val="23"/>
  </w:num>
  <w:num w:numId="25">
    <w:abstractNumId w:val="11"/>
  </w:num>
  <w:num w:numId="26">
    <w:abstractNumId w:val="49"/>
  </w:num>
  <w:num w:numId="27">
    <w:abstractNumId w:val="51"/>
  </w:num>
  <w:num w:numId="28">
    <w:abstractNumId w:val="46"/>
  </w:num>
  <w:num w:numId="29">
    <w:abstractNumId w:val="8"/>
  </w:num>
  <w:num w:numId="30">
    <w:abstractNumId w:val="26"/>
  </w:num>
  <w:num w:numId="31">
    <w:abstractNumId w:val="45"/>
  </w:num>
  <w:num w:numId="32">
    <w:abstractNumId w:val="21"/>
  </w:num>
  <w:num w:numId="33">
    <w:abstractNumId w:val="1"/>
  </w:num>
  <w:num w:numId="34">
    <w:abstractNumId w:val="6"/>
  </w:num>
  <w:num w:numId="35">
    <w:abstractNumId w:val="2"/>
  </w:num>
  <w:num w:numId="36">
    <w:abstractNumId w:val="15"/>
  </w:num>
  <w:num w:numId="37">
    <w:abstractNumId w:val="27"/>
  </w:num>
  <w:num w:numId="38">
    <w:abstractNumId w:val="37"/>
  </w:num>
  <w:num w:numId="39">
    <w:abstractNumId w:val="10"/>
  </w:num>
  <w:num w:numId="40">
    <w:abstractNumId w:val="44"/>
  </w:num>
  <w:num w:numId="41">
    <w:abstractNumId w:val="50"/>
  </w:num>
  <w:num w:numId="42">
    <w:abstractNumId w:val="41"/>
  </w:num>
  <w:num w:numId="43">
    <w:abstractNumId w:val="20"/>
  </w:num>
  <w:num w:numId="44">
    <w:abstractNumId w:val="33"/>
  </w:num>
  <w:num w:numId="45">
    <w:abstractNumId w:val="54"/>
  </w:num>
  <w:num w:numId="46">
    <w:abstractNumId w:val="43"/>
  </w:num>
  <w:num w:numId="47">
    <w:abstractNumId w:val="0"/>
  </w:num>
  <w:num w:numId="48">
    <w:abstractNumId w:val="5"/>
  </w:num>
  <w:num w:numId="49">
    <w:abstractNumId w:val="34"/>
  </w:num>
  <w:num w:numId="50">
    <w:abstractNumId w:val="55"/>
  </w:num>
  <w:num w:numId="51">
    <w:abstractNumId w:val="25"/>
  </w:num>
  <w:num w:numId="52">
    <w:abstractNumId w:val="30"/>
  </w:num>
  <w:num w:numId="53">
    <w:abstractNumId w:val="24"/>
  </w:num>
  <w:num w:numId="54">
    <w:abstractNumId w:val="42"/>
  </w:num>
  <w:num w:numId="55">
    <w:abstractNumId w:val="52"/>
  </w:num>
  <w:num w:numId="56">
    <w:abstractNumId w:val="2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xMzQ0NzewMDS2NDNU0lEKTi0uzszPAykwqgUAun0pHywAAAA="/>
  </w:docVars>
  <w:rsids>
    <w:rsidRoot w:val="001A286A"/>
    <w:rsid w:val="000129C5"/>
    <w:rsid w:val="00012A82"/>
    <w:rsid w:val="00014BFC"/>
    <w:rsid w:val="000223B7"/>
    <w:rsid w:val="00047516"/>
    <w:rsid w:val="00071461"/>
    <w:rsid w:val="00085C3C"/>
    <w:rsid w:val="00090928"/>
    <w:rsid w:val="000A17DD"/>
    <w:rsid w:val="000D7673"/>
    <w:rsid w:val="000F09BA"/>
    <w:rsid w:val="000F0E32"/>
    <w:rsid w:val="00144CEF"/>
    <w:rsid w:val="00146841"/>
    <w:rsid w:val="00170A59"/>
    <w:rsid w:val="001926AB"/>
    <w:rsid w:val="0019574B"/>
    <w:rsid w:val="001A0B68"/>
    <w:rsid w:val="001A286A"/>
    <w:rsid w:val="001D182B"/>
    <w:rsid w:val="001D32DA"/>
    <w:rsid w:val="002166E1"/>
    <w:rsid w:val="0023380D"/>
    <w:rsid w:val="00276334"/>
    <w:rsid w:val="0027697F"/>
    <w:rsid w:val="00285D9C"/>
    <w:rsid w:val="00287CE5"/>
    <w:rsid w:val="00287D66"/>
    <w:rsid w:val="002B56F9"/>
    <w:rsid w:val="002C0A53"/>
    <w:rsid w:val="002D2077"/>
    <w:rsid w:val="002D4FAC"/>
    <w:rsid w:val="002D6C97"/>
    <w:rsid w:val="002F427D"/>
    <w:rsid w:val="002F59B8"/>
    <w:rsid w:val="00314A08"/>
    <w:rsid w:val="00320637"/>
    <w:rsid w:val="00333836"/>
    <w:rsid w:val="0034201C"/>
    <w:rsid w:val="00394BAF"/>
    <w:rsid w:val="003C1FF9"/>
    <w:rsid w:val="003C6F39"/>
    <w:rsid w:val="003D18C0"/>
    <w:rsid w:val="003E0D46"/>
    <w:rsid w:val="003E659F"/>
    <w:rsid w:val="003F1D78"/>
    <w:rsid w:val="0040140C"/>
    <w:rsid w:val="00402B12"/>
    <w:rsid w:val="004030AA"/>
    <w:rsid w:val="00414235"/>
    <w:rsid w:val="00446764"/>
    <w:rsid w:val="00451CA6"/>
    <w:rsid w:val="00462C51"/>
    <w:rsid w:val="00497BAA"/>
    <w:rsid w:val="004A4728"/>
    <w:rsid w:val="004B0941"/>
    <w:rsid w:val="004C5A7E"/>
    <w:rsid w:val="004D35A8"/>
    <w:rsid w:val="004E3126"/>
    <w:rsid w:val="0050326E"/>
    <w:rsid w:val="00546907"/>
    <w:rsid w:val="0056321F"/>
    <w:rsid w:val="005842D4"/>
    <w:rsid w:val="0058524D"/>
    <w:rsid w:val="00587BD5"/>
    <w:rsid w:val="005A1BBA"/>
    <w:rsid w:val="005C2E12"/>
    <w:rsid w:val="005C7046"/>
    <w:rsid w:val="005D28B6"/>
    <w:rsid w:val="006077F4"/>
    <w:rsid w:val="0061444B"/>
    <w:rsid w:val="00616E2F"/>
    <w:rsid w:val="00622A10"/>
    <w:rsid w:val="00632C9B"/>
    <w:rsid w:val="00632FF1"/>
    <w:rsid w:val="00646EB7"/>
    <w:rsid w:val="00660EB0"/>
    <w:rsid w:val="00693359"/>
    <w:rsid w:val="006A4C23"/>
    <w:rsid w:val="006B3E38"/>
    <w:rsid w:val="006B5A45"/>
    <w:rsid w:val="006C4EF4"/>
    <w:rsid w:val="006D0BC8"/>
    <w:rsid w:val="006D3046"/>
    <w:rsid w:val="006D3B01"/>
    <w:rsid w:val="006F5667"/>
    <w:rsid w:val="006F595B"/>
    <w:rsid w:val="00702D73"/>
    <w:rsid w:val="0071498F"/>
    <w:rsid w:val="00721A95"/>
    <w:rsid w:val="007306A3"/>
    <w:rsid w:val="00754454"/>
    <w:rsid w:val="0075710E"/>
    <w:rsid w:val="00773BAF"/>
    <w:rsid w:val="007939BA"/>
    <w:rsid w:val="00797278"/>
    <w:rsid w:val="007B1B20"/>
    <w:rsid w:val="007C0E48"/>
    <w:rsid w:val="007C5ED3"/>
    <w:rsid w:val="007C6352"/>
    <w:rsid w:val="007F21E0"/>
    <w:rsid w:val="00805C50"/>
    <w:rsid w:val="008067EE"/>
    <w:rsid w:val="00815DDA"/>
    <w:rsid w:val="00836582"/>
    <w:rsid w:val="008423AE"/>
    <w:rsid w:val="008548F4"/>
    <w:rsid w:val="008554AE"/>
    <w:rsid w:val="00861188"/>
    <w:rsid w:val="00871042"/>
    <w:rsid w:val="00873150"/>
    <w:rsid w:val="00875E9E"/>
    <w:rsid w:val="008823FF"/>
    <w:rsid w:val="008A4EA4"/>
    <w:rsid w:val="008C3790"/>
    <w:rsid w:val="008E6BAB"/>
    <w:rsid w:val="00913A14"/>
    <w:rsid w:val="00955611"/>
    <w:rsid w:val="00962278"/>
    <w:rsid w:val="00971D4F"/>
    <w:rsid w:val="00986E59"/>
    <w:rsid w:val="009930ED"/>
    <w:rsid w:val="009A1E65"/>
    <w:rsid w:val="009C5106"/>
    <w:rsid w:val="009E4A85"/>
    <w:rsid w:val="009E63DF"/>
    <w:rsid w:val="00A00A0A"/>
    <w:rsid w:val="00A1670A"/>
    <w:rsid w:val="00A42AB8"/>
    <w:rsid w:val="00A4459F"/>
    <w:rsid w:val="00A96422"/>
    <w:rsid w:val="00AB0BF3"/>
    <w:rsid w:val="00AB0D83"/>
    <w:rsid w:val="00AD0485"/>
    <w:rsid w:val="00AE3E8E"/>
    <w:rsid w:val="00AF1DAC"/>
    <w:rsid w:val="00B069EC"/>
    <w:rsid w:val="00B10CAB"/>
    <w:rsid w:val="00B47974"/>
    <w:rsid w:val="00B50BCE"/>
    <w:rsid w:val="00B51698"/>
    <w:rsid w:val="00B57DF8"/>
    <w:rsid w:val="00B73729"/>
    <w:rsid w:val="00B916BF"/>
    <w:rsid w:val="00B9295E"/>
    <w:rsid w:val="00BC244D"/>
    <w:rsid w:val="00BC2DF6"/>
    <w:rsid w:val="00BE0D3A"/>
    <w:rsid w:val="00C02B1B"/>
    <w:rsid w:val="00C133BE"/>
    <w:rsid w:val="00C34B48"/>
    <w:rsid w:val="00C44B07"/>
    <w:rsid w:val="00C50403"/>
    <w:rsid w:val="00C51031"/>
    <w:rsid w:val="00C53E82"/>
    <w:rsid w:val="00C5453B"/>
    <w:rsid w:val="00C84924"/>
    <w:rsid w:val="00CA17DE"/>
    <w:rsid w:val="00CA3D61"/>
    <w:rsid w:val="00CB235A"/>
    <w:rsid w:val="00CC4CA0"/>
    <w:rsid w:val="00CE0C02"/>
    <w:rsid w:val="00D00D7F"/>
    <w:rsid w:val="00D220E8"/>
    <w:rsid w:val="00D52161"/>
    <w:rsid w:val="00D7067A"/>
    <w:rsid w:val="00D94F96"/>
    <w:rsid w:val="00DC7F49"/>
    <w:rsid w:val="00DD156A"/>
    <w:rsid w:val="00DD2428"/>
    <w:rsid w:val="00DE23EE"/>
    <w:rsid w:val="00E046AA"/>
    <w:rsid w:val="00E15A52"/>
    <w:rsid w:val="00E1681E"/>
    <w:rsid w:val="00E27B06"/>
    <w:rsid w:val="00E31F7F"/>
    <w:rsid w:val="00E37D8A"/>
    <w:rsid w:val="00E437A5"/>
    <w:rsid w:val="00E5052F"/>
    <w:rsid w:val="00E62849"/>
    <w:rsid w:val="00E65B46"/>
    <w:rsid w:val="00E71285"/>
    <w:rsid w:val="00E73EE6"/>
    <w:rsid w:val="00E77A31"/>
    <w:rsid w:val="00EC5CD8"/>
    <w:rsid w:val="00EF6DE6"/>
    <w:rsid w:val="00F01FA5"/>
    <w:rsid w:val="00F03489"/>
    <w:rsid w:val="00F077BF"/>
    <w:rsid w:val="00F07F83"/>
    <w:rsid w:val="00F33048"/>
    <w:rsid w:val="00F41D17"/>
    <w:rsid w:val="00F50699"/>
    <w:rsid w:val="00F646EE"/>
    <w:rsid w:val="00F73383"/>
    <w:rsid w:val="00F923C1"/>
    <w:rsid w:val="00FB1116"/>
    <w:rsid w:val="00FB520A"/>
    <w:rsid w:val="00FB7BCB"/>
    <w:rsid w:val="00FC25BF"/>
    <w:rsid w:val="00FE68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972CAA"/>
  <w15:chartTrackingRefBased/>
  <w15:docId w15:val="{8056AAEA-CF6D-4F44-A1B0-B00A19554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9C5"/>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Ha,titulo 3,HOJA,Bolita,Párrafo de lista4,BOLADEF,Párrafo de lista3,Párrafo de lista21,BOLA,Nivel 1 OS,Bullets,Dot pt,No Spacing1,List Paragraph Char Char Char,Indicator Text,List Paragraph1,Numbered Para 1,Bullet 1,List Paragraph,items"/>
    <w:basedOn w:val="Normal"/>
    <w:link w:val="PrrafodelistaCar"/>
    <w:uiPriority w:val="34"/>
    <w:qFormat/>
    <w:rsid w:val="001A286A"/>
    <w:pPr>
      <w:ind w:left="720"/>
      <w:contextualSpacing/>
    </w:pPr>
  </w:style>
  <w:style w:type="character" w:customStyle="1" w:styleId="PrrafodelistaCar">
    <w:name w:val="Párrafo de lista Car"/>
    <w:aliases w:val="Ha Car,titulo 3 Car,HOJA Car,Bolita Car,Párrafo de lista4 Car,BOLADEF Car,Párrafo de lista3 Car,Párrafo de lista21 Car,BOLA Car,Nivel 1 OS Car,Bullets Car,Dot pt Car,No Spacing1 Car,List Paragraph Char Char Char Car,Bullet 1 Car"/>
    <w:link w:val="Prrafodelista"/>
    <w:uiPriority w:val="34"/>
    <w:qFormat/>
    <w:rsid w:val="001A286A"/>
    <w:rPr>
      <w:rFonts w:ascii="Times New Roman" w:eastAsia="Times New Roman" w:hAnsi="Times New Roman" w:cs="Times New Roman"/>
      <w:lang w:eastAsia="es-ES_tradnl"/>
    </w:rPr>
  </w:style>
  <w:style w:type="paragraph" w:styleId="NormalWeb">
    <w:name w:val="Normal (Web)"/>
    <w:basedOn w:val="Normal"/>
    <w:uiPriority w:val="99"/>
    <w:unhideWhenUsed/>
    <w:rsid w:val="001A286A"/>
    <w:pPr>
      <w:spacing w:before="100" w:beforeAutospacing="1" w:after="100" w:afterAutospacing="1"/>
    </w:pPr>
  </w:style>
  <w:style w:type="table" w:styleId="Tablaconcuadrcula">
    <w:name w:val="Table Grid"/>
    <w:basedOn w:val="Tablanormal"/>
    <w:uiPriority w:val="39"/>
    <w:rsid w:val="001A28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1A286A"/>
    <w:rPr>
      <w:sz w:val="20"/>
      <w:szCs w:val="20"/>
    </w:rPr>
  </w:style>
  <w:style w:type="character" w:customStyle="1" w:styleId="TextonotapieCar">
    <w:name w:val="Texto nota pie Car"/>
    <w:basedOn w:val="Fuentedeprrafopredeter"/>
    <w:link w:val="Textonotapie"/>
    <w:uiPriority w:val="99"/>
    <w:semiHidden/>
    <w:rsid w:val="001A286A"/>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1A286A"/>
    <w:rPr>
      <w:vertAlign w:val="superscript"/>
    </w:rPr>
  </w:style>
  <w:style w:type="paragraph" w:styleId="Encabezado">
    <w:name w:val="header"/>
    <w:basedOn w:val="Normal"/>
    <w:link w:val="EncabezadoCar"/>
    <w:uiPriority w:val="99"/>
    <w:unhideWhenUsed/>
    <w:rsid w:val="00702D73"/>
    <w:pPr>
      <w:tabs>
        <w:tab w:val="center" w:pos="4419"/>
        <w:tab w:val="right" w:pos="8838"/>
      </w:tabs>
    </w:pPr>
  </w:style>
  <w:style w:type="character" w:customStyle="1" w:styleId="EncabezadoCar">
    <w:name w:val="Encabezado Car"/>
    <w:basedOn w:val="Fuentedeprrafopredeter"/>
    <w:link w:val="Encabezado"/>
    <w:uiPriority w:val="99"/>
    <w:rsid w:val="00702D73"/>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702D73"/>
    <w:pPr>
      <w:tabs>
        <w:tab w:val="center" w:pos="4419"/>
        <w:tab w:val="right" w:pos="8838"/>
      </w:tabs>
    </w:pPr>
  </w:style>
  <w:style w:type="character" w:customStyle="1" w:styleId="PiedepginaCar">
    <w:name w:val="Pie de página Car"/>
    <w:basedOn w:val="Fuentedeprrafopredeter"/>
    <w:link w:val="Piedepgina"/>
    <w:uiPriority w:val="99"/>
    <w:rsid w:val="00702D73"/>
    <w:rPr>
      <w:rFonts w:ascii="Times New Roman" w:eastAsia="Times New Roman" w:hAnsi="Times New Roman" w:cs="Times New Roman"/>
      <w:lang w:eastAsia="es-ES_tradnl"/>
    </w:rPr>
  </w:style>
  <w:style w:type="paragraph" w:styleId="Textoindependiente">
    <w:name w:val="Body Text"/>
    <w:basedOn w:val="Normal"/>
    <w:link w:val="TextoindependienteCar"/>
    <w:uiPriority w:val="1"/>
    <w:semiHidden/>
    <w:unhideWhenUsed/>
    <w:rsid w:val="000223B7"/>
    <w:pPr>
      <w:autoSpaceDE w:val="0"/>
      <w:autoSpaceDN w:val="0"/>
    </w:pPr>
    <w:rPr>
      <w:rFonts w:ascii="Arial" w:eastAsiaTheme="minorHAnsi" w:hAnsi="Arial" w:cs="Arial"/>
      <w:sz w:val="22"/>
      <w:szCs w:val="22"/>
      <w:lang w:eastAsia="es-ES"/>
    </w:rPr>
  </w:style>
  <w:style w:type="character" w:customStyle="1" w:styleId="TextoindependienteCar">
    <w:name w:val="Texto independiente Car"/>
    <w:basedOn w:val="Fuentedeprrafopredeter"/>
    <w:link w:val="Textoindependiente"/>
    <w:uiPriority w:val="1"/>
    <w:semiHidden/>
    <w:rsid w:val="000223B7"/>
    <w:rPr>
      <w:rFonts w:ascii="Arial" w:hAnsi="Arial" w:cs="Arial"/>
      <w:sz w:val="22"/>
      <w:szCs w:val="22"/>
      <w:lang w:eastAsia="es-ES"/>
    </w:rPr>
  </w:style>
  <w:style w:type="paragraph" w:styleId="Sinespaciado">
    <w:name w:val="No Spacing"/>
    <w:basedOn w:val="Normal"/>
    <w:uiPriority w:val="1"/>
    <w:qFormat/>
    <w:rsid w:val="00B50BCE"/>
    <w:rPr>
      <w:rFonts w:ascii="Calibri" w:eastAsiaTheme="minorHAnsi" w:hAnsi="Calibri"/>
      <w:sz w:val="22"/>
      <w:szCs w:val="22"/>
      <w:lang w:eastAsia="en-US"/>
    </w:rPr>
  </w:style>
  <w:style w:type="character" w:styleId="Hipervnculo">
    <w:name w:val="Hyperlink"/>
    <w:uiPriority w:val="99"/>
    <w:unhideWhenUsed/>
    <w:rsid w:val="001D182B"/>
    <w:rPr>
      <w:color w:val="0000FF"/>
      <w:u w:val="single"/>
    </w:rPr>
  </w:style>
  <w:style w:type="numbering" w:customStyle="1" w:styleId="Normallist1">
    <w:name w:val="Normal_list1"/>
    <w:rsid w:val="001D182B"/>
    <w:pPr>
      <w:numPr>
        <w:numId w:val="13"/>
      </w:numPr>
    </w:pPr>
  </w:style>
  <w:style w:type="character" w:styleId="Mencinsinresolver">
    <w:name w:val="Unresolved Mention"/>
    <w:basedOn w:val="Fuentedeprrafopredeter"/>
    <w:uiPriority w:val="99"/>
    <w:semiHidden/>
    <w:unhideWhenUsed/>
    <w:rsid w:val="00AB0BF3"/>
    <w:rPr>
      <w:color w:val="808080"/>
      <w:shd w:val="clear" w:color="auto" w:fill="E6E6E6"/>
    </w:rPr>
  </w:style>
  <w:style w:type="paragraph" w:customStyle="1" w:styleId="xmsonormal">
    <w:name w:val="x_msonormal"/>
    <w:basedOn w:val="Normal"/>
    <w:rsid w:val="00FB520A"/>
    <w:rPr>
      <w:rFonts w:ascii="Calibri" w:eastAsiaTheme="minorHAnsi" w:hAnsi="Calibri" w:cs="Calibri"/>
      <w:sz w:val="22"/>
      <w:szCs w:val="22"/>
      <w:lang w:val="es-ES" w:eastAsia="es-ES"/>
    </w:rPr>
  </w:style>
  <w:style w:type="character" w:styleId="Refdecomentario">
    <w:name w:val="annotation reference"/>
    <w:basedOn w:val="Fuentedeprrafopredeter"/>
    <w:uiPriority w:val="99"/>
    <w:semiHidden/>
    <w:unhideWhenUsed/>
    <w:rsid w:val="0075710E"/>
    <w:rPr>
      <w:sz w:val="16"/>
      <w:szCs w:val="16"/>
    </w:rPr>
  </w:style>
  <w:style w:type="paragraph" w:styleId="Textocomentario">
    <w:name w:val="annotation text"/>
    <w:basedOn w:val="Normal"/>
    <w:link w:val="TextocomentarioCar"/>
    <w:uiPriority w:val="99"/>
    <w:unhideWhenUsed/>
    <w:rsid w:val="0075710E"/>
    <w:rPr>
      <w:sz w:val="20"/>
      <w:szCs w:val="20"/>
    </w:rPr>
  </w:style>
  <w:style w:type="character" w:customStyle="1" w:styleId="TextocomentarioCar">
    <w:name w:val="Texto comentario Car"/>
    <w:basedOn w:val="Fuentedeprrafopredeter"/>
    <w:link w:val="Textocomentario"/>
    <w:uiPriority w:val="99"/>
    <w:rsid w:val="0075710E"/>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75710E"/>
    <w:rPr>
      <w:b/>
      <w:bCs/>
    </w:rPr>
  </w:style>
  <w:style w:type="character" w:customStyle="1" w:styleId="AsuntodelcomentarioCar">
    <w:name w:val="Asunto del comentario Car"/>
    <w:basedOn w:val="TextocomentarioCar"/>
    <w:link w:val="Asuntodelcomentario"/>
    <w:uiPriority w:val="99"/>
    <w:semiHidden/>
    <w:rsid w:val="0075710E"/>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75710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710E"/>
    <w:rPr>
      <w:rFonts w:ascii="Segoe UI" w:eastAsia="Times New Roman" w:hAnsi="Segoe UI" w:cs="Segoe UI"/>
      <w:sz w:val="18"/>
      <w:szCs w:val="18"/>
      <w:lang w:eastAsia="es-ES_tradnl"/>
    </w:rPr>
  </w:style>
  <w:style w:type="paragraph" w:customStyle="1" w:styleId="Default">
    <w:name w:val="Default"/>
    <w:rsid w:val="00913A14"/>
    <w:pPr>
      <w:autoSpaceDE w:val="0"/>
      <w:autoSpaceDN w:val="0"/>
      <w:adjustRightInd w:val="0"/>
    </w:pPr>
    <w:rPr>
      <w:rFonts w:ascii="Times New Roman" w:hAnsi="Times New Roman" w:cs="Times New Roman"/>
      <w:color w:val="000000"/>
    </w:rPr>
  </w:style>
  <w:style w:type="character" w:customStyle="1" w:styleId="normaltextrun">
    <w:name w:val="normaltextrun"/>
    <w:basedOn w:val="Fuentedeprrafopredeter"/>
    <w:rsid w:val="00462C51"/>
  </w:style>
  <w:style w:type="character" w:customStyle="1" w:styleId="eop">
    <w:name w:val="eop"/>
    <w:basedOn w:val="Fuentedeprrafopredeter"/>
    <w:rsid w:val="00462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3628">
      <w:bodyDiv w:val="1"/>
      <w:marLeft w:val="0"/>
      <w:marRight w:val="0"/>
      <w:marTop w:val="0"/>
      <w:marBottom w:val="0"/>
      <w:divBdr>
        <w:top w:val="none" w:sz="0" w:space="0" w:color="auto"/>
        <w:left w:val="none" w:sz="0" w:space="0" w:color="auto"/>
        <w:bottom w:val="none" w:sz="0" w:space="0" w:color="auto"/>
        <w:right w:val="none" w:sz="0" w:space="0" w:color="auto"/>
      </w:divBdr>
    </w:div>
    <w:div w:id="26804821">
      <w:bodyDiv w:val="1"/>
      <w:marLeft w:val="0"/>
      <w:marRight w:val="0"/>
      <w:marTop w:val="0"/>
      <w:marBottom w:val="0"/>
      <w:divBdr>
        <w:top w:val="none" w:sz="0" w:space="0" w:color="auto"/>
        <w:left w:val="none" w:sz="0" w:space="0" w:color="auto"/>
        <w:bottom w:val="none" w:sz="0" w:space="0" w:color="auto"/>
        <w:right w:val="none" w:sz="0" w:space="0" w:color="auto"/>
      </w:divBdr>
    </w:div>
    <w:div w:id="82383886">
      <w:bodyDiv w:val="1"/>
      <w:marLeft w:val="0"/>
      <w:marRight w:val="0"/>
      <w:marTop w:val="0"/>
      <w:marBottom w:val="0"/>
      <w:divBdr>
        <w:top w:val="none" w:sz="0" w:space="0" w:color="auto"/>
        <w:left w:val="none" w:sz="0" w:space="0" w:color="auto"/>
        <w:bottom w:val="none" w:sz="0" w:space="0" w:color="auto"/>
        <w:right w:val="none" w:sz="0" w:space="0" w:color="auto"/>
      </w:divBdr>
    </w:div>
    <w:div w:id="158355276">
      <w:bodyDiv w:val="1"/>
      <w:marLeft w:val="0"/>
      <w:marRight w:val="0"/>
      <w:marTop w:val="0"/>
      <w:marBottom w:val="0"/>
      <w:divBdr>
        <w:top w:val="none" w:sz="0" w:space="0" w:color="auto"/>
        <w:left w:val="none" w:sz="0" w:space="0" w:color="auto"/>
        <w:bottom w:val="none" w:sz="0" w:space="0" w:color="auto"/>
        <w:right w:val="none" w:sz="0" w:space="0" w:color="auto"/>
      </w:divBdr>
      <w:divsChild>
        <w:div w:id="1214079171">
          <w:marLeft w:val="446"/>
          <w:marRight w:val="0"/>
          <w:marTop w:val="80"/>
          <w:marBottom w:val="0"/>
          <w:divBdr>
            <w:top w:val="none" w:sz="0" w:space="0" w:color="auto"/>
            <w:left w:val="none" w:sz="0" w:space="0" w:color="auto"/>
            <w:bottom w:val="none" w:sz="0" w:space="0" w:color="auto"/>
            <w:right w:val="none" w:sz="0" w:space="0" w:color="auto"/>
          </w:divBdr>
        </w:div>
        <w:div w:id="2029746032">
          <w:marLeft w:val="446"/>
          <w:marRight w:val="0"/>
          <w:marTop w:val="80"/>
          <w:marBottom w:val="0"/>
          <w:divBdr>
            <w:top w:val="none" w:sz="0" w:space="0" w:color="auto"/>
            <w:left w:val="none" w:sz="0" w:space="0" w:color="auto"/>
            <w:bottom w:val="none" w:sz="0" w:space="0" w:color="auto"/>
            <w:right w:val="none" w:sz="0" w:space="0" w:color="auto"/>
          </w:divBdr>
        </w:div>
        <w:div w:id="1230843052">
          <w:marLeft w:val="446"/>
          <w:marRight w:val="0"/>
          <w:marTop w:val="80"/>
          <w:marBottom w:val="0"/>
          <w:divBdr>
            <w:top w:val="none" w:sz="0" w:space="0" w:color="auto"/>
            <w:left w:val="none" w:sz="0" w:space="0" w:color="auto"/>
            <w:bottom w:val="none" w:sz="0" w:space="0" w:color="auto"/>
            <w:right w:val="none" w:sz="0" w:space="0" w:color="auto"/>
          </w:divBdr>
        </w:div>
        <w:div w:id="292256736">
          <w:marLeft w:val="446"/>
          <w:marRight w:val="0"/>
          <w:marTop w:val="80"/>
          <w:marBottom w:val="0"/>
          <w:divBdr>
            <w:top w:val="none" w:sz="0" w:space="0" w:color="auto"/>
            <w:left w:val="none" w:sz="0" w:space="0" w:color="auto"/>
            <w:bottom w:val="none" w:sz="0" w:space="0" w:color="auto"/>
            <w:right w:val="none" w:sz="0" w:space="0" w:color="auto"/>
          </w:divBdr>
        </w:div>
        <w:div w:id="548305207">
          <w:marLeft w:val="446"/>
          <w:marRight w:val="0"/>
          <w:marTop w:val="80"/>
          <w:marBottom w:val="0"/>
          <w:divBdr>
            <w:top w:val="none" w:sz="0" w:space="0" w:color="auto"/>
            <w:left w:val="none" w:sz="0" w:space="0" w:color="auto"/>
            <w:bottom w:val="none" w:sz="0" w:space="0" w:color="auto"/>
            <w:right w:val="none" w:sz="0" w:space="0" w:color="auto"/>
          </w:divBdr>
        </w:div>
        <w:div w:id="2081706687">
          <w:marLeft w:val="446"/>
          <w:marRight w:val="0"/>
          <w:marTop w:val="80"/>
          <w:marBottom w:val="0"/>
          <w:divBdr>
            <w:top w:val="none" w:sz="0" w:space="0" w:color="auto"/>
            <w:left w:val="none" w:sz="0" w:space="0" w:color="auto"/>
            <w:bottom w:val="none" w:sz="0" w:space="0" w:color="auto"/>
            <w:right w:val="none" w:sz="0" w:space="0" w:color="auto"/>
          </w:divBdr>
        </w:div>
        <w:div w:id="332223737">
          <w:marLeft w:val="446"/>
          <w:marRight w:val="0"/>
          <w:marTop w:val="80"/>
          <w:marBottom w:val="0"/>
          <w:divBdr>
            <w:top w:val="none" w:sz="0" w:space="0" w:color="auto"/>
            <w:left w:val="none" w:sz="0" w:space="0" w:color="auto"/>
            <w:bottom w:val="none" w:sz="0" w:space="0" w:color="auto"/>
            <w:right w:val="none" w:sz="0" w:space="0" w:color="auto"/>
          </w:divBdr>
        </w:div>
        <w:div w:id="970751071">
          <w:marLeft w:val="446"/>
          <w:marRight w:val="0"/>
          <w:marTop w:val="80"/>
          <w:marBottom w:val="0"/>
          <w:divBdr>
            <w:top w:val="none" w:sz="0" w:space="0" w:color="auto"/>
            <w:left w:val="none" w:sz="0" w:space="0" w:color="auto"/>
            <w:bottom w:val="none" w:sz="0" w:space="0" w:color="auto"/>
            <w:right w:val="none" w:sz="0" w:space="0" w:color="auto"/>
          </w:divBdr>
        </w:div>
        <w:div w:id="284040698">
          <w:marLeft w:val="446"/>
          <w:marRight w:val="0"/>
          <w:marTop w:val="80"/>
          <w:marBottom w:val="0"/>
          <w:divBdr>
            <w:top w:val="none" w:sz="0" w:space="0" w:color="auto"/>
            <w:left w:val="none" w:sz="0" w:space="0" w:color="auto"/>
            <w:bottom w:val="none" w:sz="0" w:space="0" w:color="auto"/>
            <w:right w:val="none" w:sz="0" w:space="0" w:color="auto"/>
          </w:divBdr>
        </w:div>
      </w:divsChild>
    </w:div>
    <w:div w:id="174002209">
      <w:bodyDiv w:val="1"/>
      <w:marLeft w:val="0"/>
      <w:marRight w:val="0"/>
      <w:marTop w:val="0"/>
      <w:marBottom w:val="0"/>
      <w:divBdr>
        <w:top w:val="none" w:sz="0" w:space="0" w:color="auto"/>
        <w:left w:val="none" w:sz="0" w:space="0" w:color="auto"/>
        <w:bottom w:val="none" w:sz="0" w:space="0" w:color="auto"/>
        <w:right w:val="none" w:sz="0" w:space="0" w:color="auto"/>
      </w:divBdr>
    </w:div>
    <w:div w:id="218632071">
      <w:bodyDiv w:val="1"/>
      <w:marLeft w:val="0"/>
      <w:marRight w:val="0"/>
      <w:marTop w:val="0"/>
      <w:marBottom w:val="0"/>
      <w:divBdr>
        <w:top w:val="none" w:sz="0" w:space="0" w:color="auto"/>
        <w:left w:val="none" w:sz="0" w:space="0" w:color="auto"/>
        <w:bottom w:val="none" w:sz="0" w:space="0" w:color="auto"/>
        <w:right w:val="none" w:sz="0" w:space="0" w:color="auto"/>
      </w:divBdr>
    </w:div>
    <w:div w:id="226184163">
      <w:bodyDiv w:val="1"/>
      <w:marLeft w:val="0"/>
      <w:marRight w:val="0"/>
      <w:marTop w:val="0"/>
      <w:marBottom w:val="0"/>
      <w:divBdr>
        <w:top w:val="none" w:sz="0" w:space="0" w:color="auto"/>
        <w:left w:val="none" w:sz="0" w:space="0" w:color="auto"/>
        <w:bottom w:val="none" w:sz="0" w:space="0" w:color="auto"/>
        <w:right w:val="none" w:sz="0" w:space="0" w:color="auto"/>
      </w:divBdr>
    </w:div>
    <w:div w:id="228273449">
      <w:bodyDiv w:val="1"/>
      <w:marLeft w:val="0"/>
      <w:marRight w:val="0"/>
      <w:marTop w:val="0"/>
      <w:marBottom w:val="0"/>
      <w:divBdr>
        <w:top w:val="none" w:sz="0" w:space="0" w:color="auto"/>
        <w:left w:val="none" w:sz="0" w:space="0" w:color="auto"/>
        <w:bottom w:val="none" w:sz="0" w:space="0" w:color="auto"/>
        <w:right w:val="none" w:sz="0" w:space="0" w:color="auto"/>
      </w:divBdr>
      <w:divsChild>
        <w:div w:id="24528492">
          <w:marLeft w:val="547"/>
          <w:marRight w:val="0"/>
          <w:marTop w:val="0"/>
          <w:marBottom w:val="0"/>
          <w:divBdr>
            <w:top w:val="none" w:sz="0" w:space="0" w:color="auto"/>
            <w:left w:val="none" w:sz="0" w:space="0" w:color="auto"/>
            <w:bottom w:val="none" w:sz="0" w:space="0" w:color="auto"/>
            <w:right w:val="none" w:sz="0" w:space="0" w:color="auto"/>
          </w:divBdr>
        </w:div>
        <w:div w:id="979844325">
          <w:marLeft w:val="547"/>
          <w:marRight w:val="0"/>
          <w:marTop w:val="0"/>
          <w:marBottom w:val="0"/>
          <w:divBdr>
            <w:top w:val="none" w:sz="0" w:space="0" w:color="auto"/>
            <w:left w:val="none" w:sz="0" w:space="0" w:color="auto"/>
            <w:bottom w:val="none" w:sz="0" w:space="0" w:color="auto"/>
            <w:right w:val="none" w:sz="0" w:space="0" w:color="auto"/>
          </w:divBdr>
        </w:div>
        <w:div w:id="1657297402">
          <w:marLeft w:val="720"/>
          <w:marRight w:val="0"/>
          <w:marTop w:val="0"/>
          <w:marBottom w:val="0"/>
          <w:divBdr>
            <w:top w:val="none" w:sz="0" w:space="0" w:color="auto"/>
            <w:left w:val="none" w:sz="0" w:space="0" w:color="auto"/>
            <w:bottom w:val="none" w:sz="0" w:space="0" w:color="auto"/>
            <w:right w:val="none" w:sz="0" w:space="0" w:color="auto"/>
          </w:divBdr>
        </w:div>
        <w:div w:id="2045590380">
          <w:marLeft w:val="720"/>
          <w:marRight w:val="0"/>
          <w:marTop w:val="0"/>
          <w:marBottom w:val="0"/>
          <w:divBdr>
            <w:top w:val="none" w:sz="0" w:space="0" w:color="auto"/>
            <w:left w:val="none" w:sz="0" w:space="0" w:color="auto"/>
            <w:bottom w:val="none" w:sz="0" w:space="0" w:color="auto"/>
            <w:right w:val="none" w:sz="0" w:space="0" w:color="auto"/>
          </w:divBdr>
        </w:div>
        <w:div w:id="1829051519">
          <w:marLeft w:val="720"/>
          <w:marRight w:val="0"/>
          <w:marTop w:val="0"/>
          <w:marBottom w:val="0"/>
          <w:divBdr>
            <w:top w:val="none" w:sz="0" w:space="0" w:color="auto"/>
            <w:left w:val="none" w:sz="0" w:space="0" w:color="auto"/>
            <w:bottom w:val="none" w:sz="0" w:space="0" w:color="auto"/>
            <w:right w:val="none" w:sz="0" w:space="0" w:color="auto"/>
          </w:divBdr>
        </w:div>
        <w:div w:id="1087308921">
          <w:marLeft w:val="720"/>
          <w:marRight w:val="0"/>
          <w:marTop w:val="0"/>
          <w:marBottom w:val="0"/>
          <w:divBdr>
            <w:top w:val="none" w:sz="0" w:space="0" w:color="auto"/>
            <w:left w:val="none" w:sz="0" w:space="0" w:color="auto"/>
            <w:bottom w:val="none" w:sz="0" w:space="0" w:color="auto"/>
            <w:right w:val="none" w:sz="0" w:space="0" w:color="auto"/>
          </w:divBdr>
        </w:div>
        <w:div w:id="23411390">
          <w:marLeft w:val="720"/>
          <w:marRight w:val="0"/>
          <w:marTop w:val="0"/>
          <w:marBottom w:val="0"/>
          <w:divBdr>
            <w:top w:val="none" w:sz="0" w:space="0" w:color="auto"/>
            <w:left w:val="none" w:sz="0" w:space="0" w:color="auto"/>
            <w:bottom w:val="none" w:sz="0" w:space="0" w:color="auto"/>
            <w:right w:val="none" w:sz="0" w:space="0" w:color="auto"/>
          </w:divBdr>
        </w:div>
        <w:div w:id="515392320">
          <w:marLeft w:val="720"/>
          <w:marRight w:val="0"/>
          <w:marTop w:val="0"/>
          <w:marBottom w:val="0"/>
          <w:divBdr>
            <w:top w:val="none" w:sz="0" w:space="0" w:color="auto"/>
            <w:left w:val="none" w:sz="0" w:space="0" w:color="auto"/>
            <w:bottom w:val="none" w:sz="0" w:space="0" w:color="auto"/>
            <w:right w:val="none" w:sz="0" w:space="0" w:color="auto"/>
          </w:divBdr>
        </w:div>
      </w:divsChild>
    </w:div>
    <w:div w:id="258410439">
      <w:bodyDiv w:val="1"/>
      <w:marLeft w:val="0"/>
      <w:marRight w:val="0"/>
      <w:marTop w:val="0"/>
      <w:marBottom w:val="0"/>
      <w:divBdr>
        <w:top w:val="none" w:sz="0" w:space="0" w:color="auto"/>
        <w:left w:val="none" w:sz="0" w:space="0" w:color="auto"/>
        <w:bottom w:val="none" w:sz="0" w:space="0" w:color="auto"/>
        <w:right w:val="none" w:sz="0" w:space="0" w:color="auto"/>
      </w:divBdr>
    </w:div>
    <w:div w:id="269826838">
      <w:bodyDiv w:val="1"/>
      <w:marLeft w:val="0"/>
      <w:marRight w:val="0"/>
      <w:marTop w:val="0"/>
      <w:marBottom w:val="0"/>
      <w:divBdr>
        <w:top w:val="none" w:sz="0" w:space="0" w:color="auto"/>
        <w:left w:val="none" w:sz="0" w:space="0" w:color="auto"/>
        <w:bottom w:val="none" w:sz="0" w:space="0" w:color="auto"/>
        <w:right w:val="none" w:sz="0" w:space="0" w:color="auto"/>
      </w:divBdr>
    </w:div>
    <w:div w:id="302128107">
      <w:bodyDiv w:val="1"/>
      <w:marLeft w:val="0"/>
      <w:marRight w:val="0"/>
      <w:marTop w:val="0"/>
      <w:marBottom w:val="0"/>
      <w:divBdr>
        <w:top w:val="none" w:sz="0" w:space="0" w:color="auto"/>
        <w:left w:val="none" w:sz="0" w:space="0" w:color="auto"/>
        <w:bottom w:val="none" w:sz="0" w:space="0" w:color="auto"/>
        <w:right w:val="none" w:sz="0" w:space="0" w:color="auto"/>
      </w:divBdr>
    </w:div>
    <w:div w:id="393235986">
      <w:bodyDiv w:val="1"/>
      <w:marLeft w:val="0"/>
      <w:marRight w:val="0"/>
      <w:marTop w:val="0"/>
      <w:marBottom w:val="0"/>
      <w:divBdr>
        <w:top w:val="none" w:sz="0" w:space="0" w:color="auto"/>
        <w:left w:val="none" w:sz="0" w:space="0" w:color="auto"/>
        <w:bottom w:val="none" w:sz="0" w:space="0" w:color="auto"/>
        <w:right w:val="none" w:sz="0" w:space="0" w:color="auto"/>
      </w:divBdr>
    </w:div>
    <w:div w:id="401566868">
      <w:bodyDiv w:val="1"/>
      <w:marLeft w:val="0"/>
      <w:marRight w:val="0"/>
      <w:marTop w:val="0"/>
      <w:marBottom w:val="0"/>
      <w:divBdr>
        <w:top w:val="none" w:sz="0" w:space="0" w:color="auto"/>
        <w:left w:val="none" w:sz="0" w:space="0" w:color="auto"/>
        <w:bottom w:val="none" w:sz="0" w:space="0" w:color="auto"/>
        <w:right w:val="none" w:sz="0" w:space="0" w:color="auto"/>
      </w:divBdr>
    </w:div>
    <w:div w:id="453721089">
      <w:bodyDiv w:val="1"/>
      <w:marLeft w:val="0"/>
      <w:marRight w:val="0"/>
      <w:marTop w:val="0"/>
      <w:marBottom w:val="0"/>
      <w:divBdr>
        <w:top w:val="none" w:sz="0" w:space="0" w:color="auto"/>
        <w:left w:val="none" w:sz="0" w:space="0" w:color="auto"/>
        <w:bottom w:val="none" w:sz="0" w:space="0" w:color="auto"/>
        <w:right w:val="none" w:sz="0" w:space="0" w:color="auto"/>
      </w:divBdr>
    </w:div>
    <w:div w:id="493451511">
      <w:bodyDiv w:val="1"/>
      <w:marLeft w:val="0"/>
      <w:marRight w:val="0"/>
      <w:marTop w:val="0"/>
      <w:marBottom w:val="0"/>
      <w:divBdr>
        <w:top w:val="none" w:sz="0" w:space="0" w:color="auto"/>
        <w:left w:val="none" w:sz="0" w:space="0" w:color="auto"/>
        <w:bottom w:val="none" w:sz="0" w:space="0" w:color="auto"/>
        <w:right w:val="none" w:sz="0" w:space="0" w:color="auto"/>
      </w:divBdr>
    </w:div>
    <w:div w:id="513686157">
      <w:bodyDiv w:val="1"/>
      <w:marLeft w:val="0"/>
      <w:marRight w:val="0"/>
      <w:marTop w:val="0"/>
      <w:marBottom w:val="0"/>
      <w:divBdr>
        <w:top w:val="none" w:sz="0" w:space="0" w:color="auto"/>
        <w:left w:val="none" w:sz="0" w:space="0" w:color="auto"/>
        <w:bottom w:val="none" w:sz="0" w:space="0" w:color="auto"/>
        <w:right w:val="none" w:sz="0" w:space="0" w:color="auto"/>
      </w:divBdr>
    </w:div>
    <w:div w:id="527329161">
      <w:bodyDiv w:val="1"/>
      <w:marLeft w:val="0"/>
      <w:marRight w:val="0"/>
      <w:marTop w:val="0"/>
      <w:marBottom w:val="0"/>
      <w:divBdr>
        <w:top w:val="none" w:sz="0" w:space="0" w:color="auto"/>
        <w:left w:val="none" w:sz="0" w:space="0" w:color="auto"/>
        <w:bottom w:val="none" w:sz="0" w:space="0" w:color="auto"/>
        <w:right w:val="none" w:sz="0" w:space="0" w:color="auto"/>
      </w:divBdr>
    </w:div>
    <w:div w:id="583608772">
      <w:bodyDiv w:val="1"/>
      <w:marLeft w:val="0"/>
      <w:marRight w:val="0"/>
      <w:marTop w:val="0"/>
      <w:marBottom w:val="0"/>
      <w:divBdr>
        <w:top w:val="none" w:sz="0" w:space="0" w:color="auto"/>
        <w:left w:val="none" w:sz="0" w:space="0" w:color="auto"/>
        <w:bottom w:val="none" w:sz="0" w:space="0" w:color="auto"/>
        <w:right w:val="none" w:sz="0" w:space="0" w:color="auto"/>
      </w:divBdr>
    </w:div>
    <w:div w:id="626860741">
      <w:bodyDiv w:val="1"/>
      <w:marLeft w:val="0"/>
      <w:marRight w:val="0"/>
      <w:marTop w:val="0"/>
      <w:marBottom w:val="0"/>
      <w:divBdr>
        <w:top w:val="none" w:sz="0" w:space="0" w:color="auto"/>
        <w:left w:val="none" w:sz="0" w:space="0" w:color="auto"/>
        <w:bottom w:val="none" w:sz="0" w:space="0" w:color="auto"/>
        <w:right w:val="none" w:sz="0" w:space="0" w:color="auto"/>
      </w:divBdr>
    </w:div>
    <w:div w:id="674454374">
      <w:bodyDiv w:val="1"/>
      <w:marLeft w:val="0"/>
      <w:marRight w:val="0"/>
      <w:marTop w:val="0"/>
      <w:marBottom w:val="0"/>
      <w:divBdr>
        <w:top w:val="none" w:sz="0" w:space="0" w:color="auto"/>
        <w:left w:val="none" w:sz="0" w:space="0" w:color="auto"/>
        <w:bottom w:val="none" w:sz="0" w:space="0" w:color="auto"/>
        <w:right w:val="none" w:sz="0" w:space="0" w:color="auto"/>
      </w:divBdr>
      <w:divsChild>
        <w:div w:id="932516652">
          <w:marLeft w:val="547"/>
          <w:marRight w:val="0"/>
          <w:marTop w:val="0"/>
          <w:marBottom w:val="0"/>
          <w:divBdr>
            <w:top w:val="none" w:sz="0" w:space="0" w:color="auto"/>
            <w:left w:val="none" w:sz="0" w:space="0" w:color="auto"/>
            <w:bottom w:val="none" w:sz="0" w:space="0" w:color="auto"/>
            <w:right w:val="none" w:sz="0" w:space="0" w:color="auto"/>
          </w:divBdr>
        </w:div>
        <w:div w:id="733893345">
          <w:marLeft w:val="547"/>
          <w:marRight w:val="0"/>
          <w:marTop w:val="0"/>
          <w:marBottom w:val="0"/>
          <w:divBdr>
            <w:top w:val="none" w:sz="0" w:space="0" w:color="auto"/>
            <w:left w:val="none" w:sz="0" w:space="0" w:color="auto"/>
            <w:bottom w:val="none" w:sz="0" w:space="0" w:color="auto"/>
            <w:right w:val="none" w:sz="0" w:space="0" w:color="auto"/>
          </w:divBdr>
        </w:div>
        <w:div w:id="820542137">
          <w:marLeft w:val="547"/>
          <w:marRight w:val="0"/>
          <w:marTop w:val="0"/>
          <w:marBottom w:val="0"/>
          <w:divBdr>
            <w:top w:val="none" w:sz="0" w:space="0" w:color="auto"/>
            <w:left w:val="none" w:sz="0" w:space="0" w:color="auto"/>
            <w:bottom w:val="none" w:sz="0" w:space="0" w:color="auto"/>
            <w:right w:val="none" w:sz="0" w:space="0" w:color="auto"/>
          </w:divBdr>
        </w:div>
        <w:div w:id="537743344">
          <w:marLeft w:val="547"/>
          <w:marRight w:val="0"/>
          <w:marTop w:val="0"/>
          <w:marBottom w:val="0"/>
          <w:divBdr>
            <w:top w:val="none" w:sz="0" w:space="0" w:color="auto"/>
            <w:left w:val="none" w:sz="0" w:space="0" w:color="auto"/>
            <w:bottom w:val="none" w:sz="0" w:space="0" w:color="auto"/>
            <w:right w:val="none" w:sz="0" w:space="0" w:color="auto"/>
          </w:divBdr>
        </w:div>
        <w:div w:id="592395687">
          <w:marLeft w:val="547"/>
          <w:marRight w:val="0"/>
          <w:marTop w:val="0"/>
          <w:marBottom w:val="0"/>
          <w:divBdr>
            <w:top w:val="none" w:sz="0" w:space="0" w:color="auto"/>
            <w:left w:val="none" w:sz="0" w:space="0" w:color="auto"/>
            <w:bottom w:val="none" w:sz="0" w:space="0" w:color="auto"/>
            <w:right w:val="none" w:sz="0" w:space="0" w:color="auto"/>
          </w:divBdr>
        </w:div>
        <w:div w:id="1768623676">
          <w:marLeft w:val="547"/>
          <w:marRight w:val="0"/>
          <w:marTop w:val="0"/>
          <w:marBottom w:val="0"/>
          <w:divBdr>
            <w:top w:val="none" w:sz="0" w:space="0" w:color="auto"/>
            <w:left w:val="none" w:sz="0" w:space="0" w:color="auto"/>
            <w:bottom w:val="none" w:sz="0" w:space="0" w:color="auto"/>
            <w:right w:val="none" w:sz="0" w:space="0" w:color="auto"/>
          </w:divBdr>
        </w:div>
        <w:div w:id="281306724">
          <w:marLeft w:val="547"/>
          <w:marRight w:val="0"/>
          <w:marTop w:val="0"/>
          <w:marBottom w:val="0"/>
          <w:divBdr>
            <w:top w:val="none" w:sz="0" w:space="0" w:color="auto"/>
            <w:left w:val="none" w:sz="0" w:space="0" w:color="auto"/>
            <w:bottom w:val="none" w:sz="0" w:space="0" w:color="auto"/>
            <w:right w:val="none" w:sz="0" w:space="0" w:color="auto"/>
          </w:divBdr>
        </w:div>
      </w:divsChild>
    </w:div>
    <w:div w:id="803619051">
      <w:bodyDiv w:val="1"/>
      <w:marLeft w:val="0"/>
      <w:marRight w:val="0"/>
      <w:marTop w:val="0"/>
      <w:marBottom w:val="0"/>
      <w:divBdr>
        <w:top w:val="none" w:sz="0" w:space="0" w:color="auto"/>
        <w:left w:val="none" w:sz="0" w:space="0" w:color="auto"/>
        <w:bottom w:val="none" w:sz="0" w:space="0" w:color="auto"/>
        <w:right w:val="none" w:sz="0" w:space="0" w:color="auto"/>
      </w:divBdr>
    </w:div>
    <w:div w:id="847207894">
      <w:bodyDiv w:val="1"/>
      <w:marLeft w:val="0"/>
      <w:marRight w:val="0"/>
      <w:marTop w:val="0"/>
      <w:marBottom w:val="0"/>
      <w:divBdr>
        <w:top w:val="none" w:sz="0" w:space="0" w:color="auto"/>
        <w:left w:val="none" w:sz="0" w:space="0" w:color="auto"/>
        <w:bottom w:val="none" w:sz="0" w:space="0" w:color="auto"/>
        <w:right w:val="none" w:sz="0" w:space="0" w:color="auto"/>
      </w:divBdr>
    </w:div>
    <w:div w:id="943881929">
      <w:bodyDiv w:val="1"/>
      <w:marLeft w:val="0"/>
      <w:marRight w:val="0"/>
      <w:marTop w:val="0"/>
      <w:marBottom w:val="0"/>
      <w:divBdr>
        <w:top w:val="none" w:sz="0" w:space="0" w:color="auto"/>
        <w:left w:val="none" w:sz="0" w:space="0" w:color="auto"/>
        <w:bottom w:val="none" w:sz="0" w:space="0" w:color="auto"/>
        <w:right w:val="none" w:sz="0" w:space="0" w:color="auto"/>
      </w:divBdr>
    </w:div>
    <w:div w:id="975184443">
      <w:bodyDiv w:val="1"/>
      <w:marLeft w:val="0"/>
      <w:marRight w:val="0"/>
      <w:marTop w:val="0"/>
      <w:marBottom w:val="0"/>
      <w:divBdr>
        <w:top w:val="none" w:sz="0" w:space="0" w:color="auto"/>
        <w:left w:val="none" w:sz="0" w:space="0" w:color="auto"/>
        <w:bottom w:val="none" w:sz="0" w:space="0" w:color="auto"/>
        <w:right w:val="none" w:sz="0" w:space="0" w:color="auto"/>
      </w:divBdr>
    </w:div>
    <w:div w:id="992031474">
      <w:bodyDiv w:val="1"/>
      <w:marLeft w:val="0"/>
      <w:marRight w:val="0"/>
      <w:marTop w:val="0"/>
      <w:marBottom w:val="0"/>
      <w:divBdr>
        <w:top w:val="none" w:sz="0" w:space="0" w:color="auto"/>
        <w:left w:val="none" w:sz="0" w:space="0" w:color="auto"/>
        <w:bottom w:val="none" w:sz="0" w:space="0" w:color="auto"/>
        <w:right w:val="none" w:sz="0" w:space="0" w:color="auto"/>
      </w:divBdr>
    </w:div>
    <w:div w:id="1075979769">
      <w:bodyDiv w:val="1"/>
      <w:marLeft w:val="0"/>
      <w:marRight w:val="0"/>
      <w:marTop w:val="0"/>
      <w:marBottom w:val="0"/>
      <w:divBdr>
        <w:top w:val="none" w:sz="0" w:space="0" w:color="auto"/>
        <w:left w:val="none" w:sz="0" w:space="0" w:color="auto"/>
        <w:bottom w:val="none" w:sz="0" w:space="0" w:color="auto"/>
        <w:right w:val="none" w:sz="0" w:space="0" w:color="auto"/>
      </w:divBdr>
      <w:divsChild>
        <w:div w:id="1844930669">
          <w:marLeft w:val="547"/>
          <w:marRight w:val="0"/>
          <w:marTop w:val="0"/>
          <w:marBottom w:val="0"/>
          <w:divBdr>
            <w:top w:val="none" w:sz="0" w:space="0" w:color="auto"/>
            <w:left w:val="none" w:sz="0" w:space="0" w:color="auto"/>
            <w:bottom w:val="none" w:sz="0" w:space="0" w:color="auto"/>
            <w:right w:val="none" w:sz="0" w:space="0" w:color="auto"/>
          </w:divBdr>
        </w:div>
        <w:div w:id="1248540190">
          <w:marLeft w:val="547"/>
          <w:marRight w:val="0"/>
          <w:marTop w:val="0"/>
          <w:marBottom w:val="0"/>
          <w:divBdr>
            <w:top w:val="none" w:sz="0" w:space="0" w:color="auto"/>
            <w:left w:val="none" w:sz="0" w:space="0" w:color="auto"/>
            <w:bottom w:val="none" w:sz="0" w:space="0" w:color="auto"/>
            <w:right w:val="none" w:sz="0" w:space="0" w:color="auto"/>
          </w:divBdr>
        </w:div>
        <w:div w:id="501697322">
          <w:marLeft w:val="547"/>
          <w:marRight w:val="0"/>
          <w:marTop w:val="0"/>
          <w:marBottom w:val="0"/>
          <w:divBdr>
            <w:top w:val="none" w:sz="0" w:space="0" w:color="auto"/>
            <w:left w:val="none" w:sz="0" w:space="0" w:color="auto"/>
            <w:bottom w:val="none" w:sz="0" w:space="0" w:color="auto"/>
            <w:right w:val="none" w:sz="0" w:space="0" w:color="auto"/>
          </w:divBdr>
        </w:div>
        <w:div w:id="812524701">
          <w:marLeft w:val="547"/>
          <w:marRight w:val="0"/>
          <w:marTop w:val="0"/>
          <w:marBottom w:val="0"/>
          <w:divBdr>
            <w:top w:val="none" w:sz="0" w:space="0" w:color="auto"/>
            <w:left w:val="none" w:sz="0" w:space="0" w:color="auto"/>
            <w:bottom w:val="none" w:sz="0" w:space="0" w:color="auto"/>
            <w:right w:val="none" w:sz="0" w:space="0" w:color="auto"/>
          </w:divBdr>
        </w:div>
      </w:divsChild>
    </w:div>
    <w:div w:id="1278103751">
      <w:bodyDiv w:val="1"/>
      <w:marLeft w:val="0"/>
      <w:marRight w:val="0"/>
      <w:marTop w:val="0"/>
      <w:marBottom w:val="0"/>
      <w:divBdr>
        <w:top w:val="none" w:sz="0" w:space="0" w:color="auto"/>
        <w:left w:val="none" w:sz="0" w:space="0" w:color="auto"/>
        <w:bottom w:val="none" w:sz="0" w:space="0" w:color="auto"/>
        <w:right w:val="none" w:sz="0" w:space="0" w:color="auto"/>
      </w:divBdr>
    </w:div>
    <w:div w:id="1292635676">
      <w:bodyDiv w:val="1"/>
      <w:marLeft w:val="0"/>
      <w:marRight w:val="0"/>
      <w:marTop w:val="0"/>
      <w:marBottom w:val="0"/>
      <w:divBdr>
        <w:top w:val="none" w:sz="0" w:space="0" w:color="auto"/>
        <w:left w:val="none" w:sz="0" w:space="0" w:color="auto"/>
        <w:bottom w:val="none" w:sz="0" w:space="0" w:color="auto"/>
        <w:right w:val="none" w:sz="0" w:space="0" w:color="auto"/>
      </w:divBdr>
    </w:div>
    <w:div w:id="1296137148">
      <w:bodyDiv w:val="1"/>
      <w:marLeft w:val="0"/>
      <w:marRight w:val="0"/>
      <w:marTop w:val="0"/>
      <w:marBottom w:val="0"/>
      <w:divBdr>
        <w:top w:val="none" w:sz="0" w:space="0" w:color="auto"/>
        <w:left w:val="none" w:sz="0" w:space="0" w:color="auto"/>
        <w:bottom w:val="none" w:sz="0" w:space="0" w:color="auto"/>
        <w:right w:val="none" w:sz="0" w:space="0" w:color="auto"/>
      </w:divBdr>
    </w:div>
    <w:div w:id="1314719961">
      <w:bodyDiv w:val="1"/>
      <w:marLeft w:val="0"/>
      <w:marRight w:val="0"/>
      <w:marTop w:val="0"/>
      <w:marBottom w:val="0"/>
      <w:divBdr>
        <w:top w:val="none" w:sz="0" w:space="0" w:color="auto"/>
        <w:left w:val="none" w:sz="0" w:space="0" w:color="auto"/>
        <w:bottom w:val="none" w:sz="0" w:space="0" w:color="auto"/>
        <w:right w:val="none" w:sz="0" w:space="0" w:color="auto"/>
      </w:divBdr>
    </w:div>
    <w:div w:id="1366366435">
      <w:bodyDiv w:val="1"/>
      <w:marLeft w:val="0"/>
      <w:marRight w:val="0"/>
      <w:marTop w:val="0"/>
      <w:marBottom w:val="0"/>
      <w:divBdr>
        <w:top w:val="none" w:sz="0" w:space="0" w:color="auto"/>
        <w:left w:val="none" w:sz="0" w:space="0" w:color="auto"/>
        <w:bottom w:val="none" w:sz="0" w:space="0" w:color="auto"/>
        <w:right w:val="none" w:sz="0" w:space="0" w:color="auto"/>
      </w:divBdr>
    </w:div>
    <w:div w:id="1366906645">
      <w:bodyDiv w:val="1"/>
      <w:marLeft w:val="0"/>
      <w:marRight w:val="0"/>
      <w:marTop w:val="0"/>
      <w:marBottom w:val="0"/>
      <w:divBdr>
        <w:top w:val="none" w:sz="0" w:space="0" w:color="auto"/>
        <w:left w:val="none" w:sz="0" w:space="0" w:color="auto"/>
        <w:bottom w:val="none" w:sz="0" w:space="0" w:color="auto"/>
        <w:right w:val="none" w:sz="0" w:space="0" w:color="auto"/>
      </w:divBdr>
    </w:div>
    <w:div w:id="1412432462">
      <w:bodyDiv w:val="1"/>
      <w:marLeft w:val="0"/>
      <w:marRight w:val="0"/>
      <w:marTop w:val="0"/>
      <w:marBottom w:val="0"/>
      <w:divBdr>
        <w:top w:val="none" w:sz="0" w:space="0" w:color="auto"/>
        <w:left w:val="none" w:sz="0" w:space="0" w:color="auto"/>
        <w:bottom w:val="none" w:sz="0" w:space="0" w:color="auto"/>
        <w:right w:val="none" w:sz="0" w:space="0" w:color="auto"/>
      </w:divBdr>
    </w:div>
    <w:div w:id="1464732721">
      <w:bodyDiv w:val="1"/>
      <w:marLeft w:val="0"/>
      <w:marRight w:val="0"/>
      <w:marTop w:val="0"/>
      <w:marBottom w:val="0"/>
      <w:divBdr>
        <w:top w:val="none" w:sz="0" w:space="0" w:color="auto"/>
        <w:left w:val="none" w:sz="0" w:space="0" w:color="auto"/>
        <w:bottom w:val="none" w:sz="0" w:space="0" w:color="auto"/>
        <w:right w:val="none" w:sz="0" w:space="0" w:color="auto"/>
      </w:divBdr>
    </w:div>
    <w:div w:id="1493519730">
      <w:bodyDiv w:val="1"/>
      <w:marLeft w:val="0"/>
      <w:marRight w:val="0"/>
      <w:marTop w:val="0"/>
      <w:marBottom w:val="0"/>
      <w:divBdr>
        <w:top w:val="none" w:sz="0" w:space="0" w:color="auto"/>
        <w:left w:val="none" w:sz="0" w:space="0" w:color="auto"/>
        <w:bottom w:val="none" w:sz="0" w:space="0" w:color="auto"/>
        <w:right w:val="none" w:sz="0" w:space="0" w:color="auto"/>
      </w:divBdr>
    </w:div>
    <w:div w:id="1567951608">
      <w:bodyDiv w:val="1"/>
      <w:marLeft w:val="0"/>
      <w:marRight w:val="0"/>
      <w:marTop w:val="0"/>
      <w:marBottom w:val="0"/>
      <w:divBdr>
        <w:top w:val="none" w:sz="0" w:space="0" w:color="auto"/>
        <w:left w:val="none" w:sz="0" w:space="0" w:color="auto"/>
        <w:bottom w:val="none" w:sz="0" w:space="0" w:color="auto"/>
        <w:right w:val="none" w:sz="0" w:space="0" w:color="auto"/>
      </w:divBdr>
    </w:div>
    <w:div w:id="1680230491">
      <w:bodyDiv w:val="1"/>
      <w:marLeft w:val="0"/>
      <w:marRight w:val="0"/>
      <w:marTop w:val="0"/>
      <w:marBottom w:val="0"/>
      <w:divBdr>
        <w:top w:val="none" w:sz="0" w:space="0" w:color="auto"/>
        <w:left w:val="none" w:sz="0" w:space="0" w:color="auto"/>
        <w:bottom w:val="none" w:sz="0" w:space="0" w:color="auto"/>
        <w:right w:val="none" w:sz="0" w:space="0" w:color="auto"/>
      </w:divBdr>
    </w:div>
    <w:div w:id="1707634290">
      <w:bodyDiv w:val="1"/>
      <w:marLeft w:val="0"/>
      <w:marRight w:val="0"/>
      <w:marTop w:val="0"/>
      <w:marBottom w:val="0"/>
      <w:divBdr>
        <w:top w:val="none" w:sz="0" w:space="0" w:color="auto"/>
        <w:left w:val="none" w:sz="0" w:space="0" w:color="auto"/>
        <w:bottom w:val="none" w:sz="0" w:space="0" w:color="auto"/>
        <w:right w:val="none" w:sz="0" w:space="0" w:color="auto"/>
      </w:divBdr>
    </w:div>
    <w:div w:id="1763183914">
      <w:bodyDiv w:val="1"/>
      <w:marLeft w:val="0"/>
      <w:marRight w:val="0"/>
      <w:marTop w:val="0"/>
      <w:marBottom w:val="0"/>
      <w:divBdr>
        <w:top w:val="none" w:sz="0" w:space="0" w:color="auto"/>
        <w:left w:val="none" w:sz="0" w:space="0" w:color="auto"/>
        <w:bottom w:val="none" w:sz="0" w:space="0" w:color="auto"/>
        <w:right w:val="none" w:sz="0" w:space="0" w:color="auto"/>
      </w:divBdr>
    </w:div>
    <w:div w:id="1774475857">
      <w:bodyDiv w:val="1"/>
      <w:marLeft w:val="0"/>
      <w:marRight w:val="0"/>
      <w:marTop w:val="0"/>
      <w:marBottom w:val="0"/>
      <w:divBdr>
        <w:top w:val="none" w:sz="0" w:space="0" w:color="auto"/>
        <w:left w:val="none" w:sz="0" w:space="0" w:color="auto"/>
        <w:bottom w:val="none" w:sz="0" w:space="0" w:color="auto"/>
        <w:right w:val="none" w:sz="0" w:space="0" w:color="auto"/>
      </w:divBdr>
    </w:div>
    <w:div w:id="1850212838">
      <w:bodyDiv w:val="1"/>
      <w:marLeft w:val="0"/>
      <w:marRight w:val="0"/>
      <w:marTop w:val="0"/>
      <w:marBottom w:val="0"/>
      <w:divBdr>
        <w:top w:val="none" w:sz="0" w:space="0" w:color="auto"/>
        <w:left w:val="none" w:sz="0" w:space="0" w:color="auto"/>
        <w:bottom w:val="none" w:sz="0" w:space="0" w:color="auto"/>
        <w:right w:val="none" w:sz="0" w:space="0" w:color="auto"/>
      </w:divBdr>
      <w:divsChild>
        <w:div w:id="823471191">
          <w:marLeft w:val="547"/>
          <w:marRight w:val="0"/>
          <w:marTop w:val="0"/>
          <w:marBottom w:val="0"/>
          <w:divBdr>
            <w:top w:val="none" w:sz="0" w:space="0" w:color="auto"/>
            <w:left w:val="none" w:sz="0" w:space="0" w:color="auto"/>
            <w:bottom w:val="none" w:sz="0" w:space="0" w:color="auto"/>
            <w:right w:val="none" w:sz="0" w:space="0" w:color="auto"/>
          </w:divBdr>
        </w:div>
        <w:div w:id="76825679">
          <w:marLeft w:val="547"/>
          <w:marRight w:val="0"/>
          <w:marTop w:val="0"/>
          <w:marBottom w:val="0"/>
          <w:divBdr>
            <w:top w:val="none" w:sz="0" w:space="0" w:color="auto"/>
            <w:left w:val="none" w:sz="0" w:space="0" w:color="auto"/>
            <w:bottom w:val="none" w:sz="0" w:space="0" w:color="auto"/>
            <w:right w:val="none" w:sz="0" w:space="0" w:color="auto"/>
          </w:divBdr>
        </w:div>
        <w:div w:id="458256852">
          <w:marLeft w:val="547"/>
          <w:marRight w:val="0"/>
          <w:marTop w:val="0"/>
          <w:marBottom w:val="0"/>
          <w:divBdr>
            <w:top w:val="none" w:sz="0" w:space="0" w:color="auto"/>
            <w:left w:val="none" w:sz="0" w:space="0" w:color="auto"/>
            <w:bottom w:val="none" w:sz="0" w:space="0" w:color="auto"/>
            <w:right w:val="none" w:sz="0" w:space="0" w:color="auto"/>
          </w:divBdr>
        </w:div>
        <w:div w:id="2146461081">
          <w:marLeft w:val="547"/>
          <w:marRight w:val="0"/>
          <w:marTop w:val="0"/>
          <w:marBottom w:val="0"/>
          <w:divBdr>
            <w:top w:val="none" w:sz="0" w:space="0" w:color="auto"/>
            <w:left w:val="none" w:sz="0" w:space="0" w:color="auto"/>
            <w:bottom w:val="none" w:sz="0" w:space="0" w:color="auto"/>
            <w:right w:val="none" w:sz="0" w:space="0" w:color="auto"/>
          </w:divBdr>
        </w:div>
        <w:div w:id="1869634074">
          <w:marLeft w:val="547"/>
          <w:marRight w:val="0"/>
          <w:marTop w:val="0"/>
          <w:marBottom w:val="0"/>
          <w:divBdr>
            <w:top w:val="none" w:sz="0" w:space="0" w:color="auto"/>
            <w:left w:val="none" w:sz="0" w:space="0" w:color="auto"/>
            <w:bottom w:val="none" w:sz="0" w:space="0" w:color="auto"/>
            <w:right w:val="none" w:sz="0" w:space="0" w:color="auto"/>
          </w:divBdr>
        </w:div>
        <w:div w:id="919293718">
          <w:marLeft w:val="547"/>
          <w:marRight w:val="0"/>
          <w:marTop w:val="0"/>
          <w:marBottom w:val="0"/>
          <w:divBdr>
            <w:top w:val="none" w:sz="0" w:space="0" w:color="auto"/>
            <w:left w:val="none" w:sz="0" w:space="0" w:color="auto"/>
            <w:bottom w:val="none" w:sz="0" w:space="0" w:color="auto"/>
            <w:right w:val="none" w:sz="0" w:space="0" w:color="auto"/>
          </w:divBdr>
        </w:div>
        <w:div w:id="216359876">
          <w:marLeft w:val="547"/>
          <w:marRight w:val="0"/>
          <w:marTop w:val="0"/>
          <w:marBottom w:val="0"/>
          <w:divBdr>
            <w:top w:val="none" w:sz="0" w:space="0" w:color="auto"/>
            <w:left w:val="none" w:sz="0" w:space="0" w:color="auto"/>
            <w:bottom w:val="none" w:sz="0" w:space="0" w:color="auto"/>
            <w:right w:val="none" w:sz="0" w:space="0" w:color="auto"/>
          </w:divBdr>
        </w:div>
      </w:divsChild>
    </w:div>
    <w:div w:id="2133087945">
      <w:bodyDiv w:val="1"/>
      <w:marLeft w:val="0"/>
      <w:marRight w:val="0"/>
      <w:marTop w:val="0"/>
      <w:marBottom w:val="0"/>
      <w:divBdr>
        <w:top w:val="none" w:sz="0" w:space="0" w:color="auto"/>
        <w:left w:val="none" w:sz="0" w:space="0" w:color="auto"/>
        <w:bottom w:val="none" w:sz="0" w:space="0" w:color="auto"/>
        <w:right w:val="none" w:sz="0" w:space="0" w:color="auto"/>
      </w:divBdr>
    </w:div>
    <w:div w:id="21425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DBB53-C517-4A70-A501-93DF98EF1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1989</Words>
  <Characters>10944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Lemos G</dc:creator>
  <cp:keywords/>
  <dc:description/>
  <cp:lastModifiedBy>SERGIO SALAZAR ALZATE</cp:lastModifiedBy>
  <cp:revision>3</cp:revision>
  <dcterms:created xsi:type="dcterms:W3CDTF">2019-03-19T09:32:00Z</dcterms:created>
  <dcterms:modified xsi:type="dcterms:W3CDTF">2019-03-19T09:37:00Z</dcterms:modified>
</cp:coreProperties>
</file>