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5E2C76" w14:textId="07DBE951" w:rsidR="000613BA" w:rsidRDefault="000613BA" w:rsidP="00B674EF">
      <w:pPr>
        <w:tabs>
          <w:tab w:val="left" w:pos="816"/>
        </w:tabs>
      </w:pPr>
      <w:bookmarkStart w:id="0" w:name="_GoBack"/>
      <w:bookmarkEnd w:id="0"/>
    </w:p>
    <w:p w14:paraId="7ADC7C63" w14:textId="4ACA00D6" w:rsidR="000613BA" w:rsidRDefault="00B674EF" w:rsidP="000613BA">
      <w:pPr>
        <w:jc w:val="center"/>
        <w:rPr>
          <w:rFonts w:ascii="Calibri" w:hAnsi="Calibri" w:cs="Calibri"/>
          <w:b/>
          <w:bCs/>
        </w:rPr>
      </w:pPr>
      <w:r>
        <w:rPr>
          <w:rFonts w:ascii="Calibri" w:hAnsi="Calibri" w:cs="Calibri"/>
          <w:b/>
          <w:bCs/>
        </w:rPr>
        <w:t>Health Care Without Harm</w:t>
      </w:r>
    </w:p>
    <w:p w14:paraId="1B7336AF" w14:textId="77777777" w:rsidR="00B674EF" w:rsidRPr="008C3842" w:rsidRDefault="00B674EF" w:rsidP="00B674EF">
      <w:pPr>
        <w:widowControl w:val="0"/>
        <w:tabs>
          <w:tab w:val="left" w:pos="6984"/>
        </w:tabs>
        <w:autoSpaceDE w:val="0"/>
        <w:autoSpaceDN w:val="0"/>
        <w:adjustRightInd w:val="0"/>
        <w:jc w:val="center"/>
        <w:rPr>
          <w:rFonts w:ascii="Calibri" w:hAnsi="Calibri" w:cs="Calibri"/>
          <w:b/>
          <w:bCs/>
        </w:rPr>
      </w:pPr>
      <w:r>
        <w:rPr>
          <w:rFonts w:ascii="Calibri" w:hAnsi="Calibri" w:cs="Calibri"/>
          <w:b/>
          <w:bCs/>
        </w:rPr>
        <w:t>PHASE-OUT OF MERCURY FEVER THERMOMETERS AND BLOOD PRESSURE DEVICES IN HEALTH CARE IN BRAZIL AND SOUTH AFRICA</w:t>
      </w:r>
      <w:r w:rsidRPr="008C3842">
        <w:rPr>
          <w:rFonts w:ascii="Calibri" w:hAnsi="Calibri" w:cs="Calibri"/>
          <w:b/>
          <w:bCs/>
        </w:rPr>
        <w:t xml:space="preserve"> </w:t>
      </w:r>
    </w:p>
    <w:p w14:paraId="0251E963" w14:textId="77777777" w:rsidR="00B674EF" w:rsidRDefault="00B674EF" w:rsidP="000613BA">
      <w:pPr>
        <w:jc w:val="center"/>
        <w:rPr>
          <w:rFonts w:ascii="Calibri" w:hAnsi="Calibri" w:cs="Calibri"/>
          <w:b/>
          <w:bCs/>
        </w:rPr>
      </w:pPr>
    </w:p>
    <w:p w14:paraId="2E05A880" w14:textId="2A1E0793" w:rsidR="00B674EF" w:rsidRDefault="00B674EF" w:rsidP="000613BA">
      <w:pPr>
        <w:jc w:val="center"/>
        <w:rPr>
          <w:rFonts w:ascii="Calibri" w:hAnsi="Calibri" w:cs="Calibri"/>
          <w:b/>
          <w:bCs/>
        </w:rPr>
      </w:pPr>
      <w:r>
        <w:rPr>
          <w:rFonts w:ascii="Calibri" w:hAnsi="Calibri" w:cs="Calibri"/>
          <w:b/>
          <w:bCs/>
        </w:rPr>
        <w:t xml:space="preserve">Final Report </w:t>
      </w:r>
    </w:p>
    <w:p w14:paraId="056690B4" w14:textId="77777777" w:rsidR="00B674EF" w:rsidRPr="008C3842" w:rsidRDefault="00B674EF" w:rsidP="000613BA">
      <w:pPr>
        <w:jc w:val="center"/>
        <w:rPr>
          <w:rFonts w:ascii="Calibri" w:hAnsi="Calibri" w:cs="Calibri"/>
          <w:b/>
          <w:bCs/>
        </w:rPr>
      </w:pPr>
    </w:p>
    <w:p w14:paraId="779CD3C7" w14:textId="77777777" w:rsidR="000613BA" w:rsidRPr="00604BCC" w:rsidRDefault="000613BA" w:rsidP="000613BA">
      <w:pPr>
        <w:widowControl w:val="0"/>
        <w:autoSpaceDE w:val="0"/>
        <w:autoSpaceDN w:val="0"/>
        <w:adjustRightInd w:val="0"/>
        <w:rPr>
          <w:bCs/>
          <w:iCs/>
        </w:rPr>
      </w:pPr>
      <w:r w:rsidRPr="00604BCC">
        <w:rPr>
          <w:rFonts w:cs="Calibri"/>
          <w:bCs/>
        </w:rPr>
        <w:t xml:space="preserve">HCWH </w:t>
      </w:r>
      <w:r w:rsidR="00596D18">
        <w:rPr>
          <w:rFonts w:cs="Calibri"/>
          <w:bCs/>
        </w:rPr>
        <w:t xml:space="preserve">with the support of UNEP and in collaboration with two partner NGOs in South Africa and Brazil implemented </w:t>
      </w:r>
      <w:r w:rsidRPr="00604BCC">
        <w:rPr>
          <w:bCs/>
          <w:iCs/>
        </w:rPr>
        <w:t xml:space="preserve">a series of activities designed to encourage the emergence of national policies for implementing the phase-out of mercury fever thermometers and blood pressure devices </w:t>
      </w:r>
      <w:r w:rsidR="00596D18">
        <w:rPr>
          <w:bCs/>
          <w:iCs/>
        </w:rPr>
        <w:t xml:space="preserve">under the Minamata Convention and to provide technical assistance to hospitals to phase-out the use of mercury-containing measuring devices.  </w:t>
      </w:r>
    </w:p>
    <w:p w14:paraId="56757633" w14:textId="77777777" w:rsidR="000613BA" w:rsidRPr="00604BCC" w:rsidRDefault="000613BA" w:rsidP="000613BA">
      <w:pPr>
        <w:widowControl w:val="0"/>
        <w:autoSpaceDE w:val="0"/>
        <w:autoSpaceDN w:val="0"/>
        <w:adjustRightInd w:val="0"/>
        <w:rPr>
          <w:bCs/>
          <w:iCs/>
        </w:rPr>
      </w:pPr>
    </w:p>
    <w:p w14:paraId="73445492" w14:textId="77777777" w:rsidR="000613BA" w:rsidRDefault="000613BA" w:rsidP="000613BA">
      <w:pPr>
        <w:widowControl w:val="0"/>
        <w:autoSpaceDE w:val="0"/>
        <w:autoSpaceDN w:val="0"/>
        <w:adjustRightInd w:val="0"/>
        <w:rPr>
          <w:bCs/>
          <w:iCs/>
        </w:rPr>
      </w:pPr>
      <w:r>
        <w:rPr>
          <w:bCs/>
          <w:iCs/>
        </w:rPr>
        <w:t xml:space="preserve">This work was </w:t>
      </w:r>
      <w:r w:rsidRPr="00604BCC">
        <w:rPr>
          <w:bCs/>
          <w:iCs/>
        </w:rPr>
        <w:t>undertaken as part of the WHO-HCWH Mercury-Free 2020 initiative, a component of the UNEP Mercur</w:t>
      </w:r>
      <w:r>
        <w:rPr>
          <w:bCs/>
          <w:iCs/>
        </w:rPr>
        <w:t xml:space="preserve">y Products Partnership. It </w:t>
      </w:r>
      <w:r w:rsidRPr="00604BCC">
        <w:rPr>
          <w:bCs/>
          <w:iCs/>
        </w:rPr>
        <w:t>utilize</w:t>
      </w:r>
      <w:r>
        <w:rPr>
          <w:bCs/>
          <w:iCs/>
        </w:rPr>
        <w:t xml:space="preserve">d the </w:t>
      </w:r>
      <w:r w:rsidRPr="00604BCC">
        <w:rPr>
          <w:bCs/>
          <w:iCs/>
        </w:rPr>
        <w:t>WHO guidance for ministries of health on the implementation of the Minamata Convention as it relates to thermometers and sphygmomanometers and other materials developed both by WHO and HCWH.</w:t>
      </w:r>
    </w:p>
    <w:p w14:paraId="1F6D6146" w14:textId="77777777" w:rsidR="00992BF0" w:rsidRDefault="00992BF0" w:rsidP="00992BF0">
      <w:pPr>
        <w:widowControl w:val="0"/>
        <w:tabs>
          <w:tab w:val="left" w:pos="906"/>
        </w:tabs>
        <w:autoSpaceDE w:val="0"/>
        <w:autoSpaceDN w:val="0"/>
        <w:adjustRightInd w:val="0"/>
        <w:rPr>
          <w:bCs/>
          <w:iCs/>
        </w:rPr>
      </w:pPr>
      <w:r>
        <w:rPr>
          <w:bCs/>
          <w:iCs/>
        </w:rPr>
        <w:tab/>
      </w:r>
    </w:p>
    <w:p w14:paraId="312BA417" w14:textId="10B8FE04" w:rsidR="00992BF0" w:rsidRDefault="00992BF0" w:rsidP="000613BA">
      <w:pPr>
        <w:widowControl w:val="0"/>
        <w:autoSpaceDE w:val="0"/>
        <w:autoSpaceDN w:val="0"/>
        <w:adjustRightInd w:val="0"/>
        <w:rPr>
          <w:bCs/>
          <w:iCs/>
        </w:rPr>
      </w:pPr>
      <w:r>
        <w:rPr>
          <w:bCs/>
          <w:iCs/>
        </w:rPr>
        <w:t xml:space="preserve">Key Outcomes </w:t>
      </w:r>
    </w:p>
    <w:p w14:paraId="7242DED8" w14:textId="77777777" w:rsidR="00992BF0" w:rsidRDefault="00992BF0" w:rsidP="00B674EF">
      <w:pPr>
        <w:pStyle w:val="Heading1"/>
      </w:pPr>
      <w:r w:rsidRPr="00B674EF">
        <w:t xml:space="preserve">South Africa </w:t>
      </w:r>
    </w:p>
    <w:p w14:paraId="4A90963A" w14:textId="77777777" w:rsidR="00702C8A" w:rsidRPr="00702C8A" w:rsidRDefault="00702C8A" w:rsidP="00702C8A"/>
    <w:p w14:paraId="61CB3569" w14:textId="27E01C3E" w:rsidR="00B674EF" w:rsidRPr="00B674EF" w:rsidRDefault="00702C8A" w:rsidP="00B674EF">
      <w:r>
        <w:t xml:space="preserve">National Policy </w:t>
      </w:r>
    </w:p>
    <w:p w14:paraId="0A6BF22B" w14:textId="10E42AC0" w:rsidR="00992BF0" w:rsidRDefault="00992BF0" w:rsidP="000613BA">
      <w:pPr>
        <w:widowControl w:val="0"/>
        <w:autoSpaceDE w:val="0"/>
        <w:autoSpaceDN w:val="0"/>
        <w:adjustRightInd w:val="0"/>
        <w:rPr>
          <w:bCs/>
          <w:iCs/>
        </w:rPr>
      </w:pPr>
      <w:r>
        <w:rPr>
          <w:bCs/>
          <w:iCs/>
        </w:rPr>
        <w:t xml:space="preserve">Meetings were held with the </w:t>
      </w:r>
      <w:r w:rsidRPr="000613BA">
        <w:rPr>
          <w:rFonts w:ascii="Calibri" w:eastAsia="Times New Roman" w:hAnsi="Calibri" w:cs="Times New Roman"/>
          <w:color w:val="222222"/>
          <w:sz w:val="24"/>
          <w:szCs w:val="24"/>
        </w:rPr>
        <w:t>Environmental Health Directorate, National Department of Health</w:t>
      </w:r>
      <w:r w:rsidR="007F386C">
        <w:rPr>
          <w:rFonts w:ascii="Calibri" w:eastAsia="Times New Roman" w:hAnsi="Calibri" w:cs="Times New Roman"/>
          <w:color w:val="222222"/>
          <w:sz w:val="24"/>
          <w:szCs w:val="24"/>
        </w:rPr>
        <w:t xml:space="preserve"> (NDoH)</w:t>
      </w:r>
      <w:r w:rsidRPr="000613BA">
        <w:rPr>
          <w:rFonts w:ascii="Calibri" w:eastAsia="Times New Roman" w:hAnsi="Calibri" w:cs="Times New Roman"/>
          <w:color w:val="222222"/>
          <w:sz w:val="24"/>
          <w:szCs w:val="24"/>
        </w:rPr>
        <w:t xml:space="preserve"> </w:t>
      </w:r>
      <w:r>
        <w:rPr>
          <w:bCs/>
          <w:iCs/>
        </w:rPr>
        <w:t xml:space="preserve">in February and March 2015 who suggested the way forward was to create a national steering committee to be developed to implement Minamata.  This national steering committee required signature at the Director level and has not yet occurred.  In the absence of </w:t>
      </w:r>
      <w:r w:rsidRPr="000613BA">
        <w:rPr>
          <w:rFonts w:ascii="Calibri" w:eastAsia="Times New Roman" w:hAnsi="Calibri" w:cs="Times New Roman"/>
          <w:color w:val="222222"/>
        </w:rPr>
        <w:t>official</w:t>
      </w:r>
      <w:r>
        <w:rPr>
          <w:rFonts w:ascii="Calibri" w:eastAsia="Times New Roman" w:hAnsi="Calibri" w:cs="Times New Roman"/>
          <w:color w:val="222222"/>
        </w:rPr>
        <w:t xml:space="preserve"> NDoH endorsement from the D</w:t>
      </w:r>
      <w:r w:rsidR="007F386C">
        <w:rPr>
          <w:rFonts w:ascii="Calibri" w:eastAsia="Times New Roman" w:hAnsi="Calibri" w:cs="Times New Roman"/>
          <w:color w:val="222222"/>
        </w:rPr>
        <w:t xml:space="preserve">irector </w:t>
      </w:r>
      <w:r>
        <w:rPr>
          <w:rFonts w:ascii="Calibri" w:eastAsia="Times New Roman" w:hAnsi="Calibri" w:cs="Times New Roman"/>
          <w:color w:val="222222"/>
        </w:rPr>
        <w:t>G</w:t>
      </w:r>
      <w:r w:rsidR="007F386C">
        <w:rPr>
          <w:rFonts w:ascii="Calibri" w:eastAsia="Times New Roman" w:hAnsi="Calibri" w:cs="Times New Roman"/>
          <w:color w:val="222222"/>
        </w:rPr>
        <w:t>eneral</w:t>
      </w:r>
      <w:r>
        <w:rPr>
          <w:rFonts w:ascii="Calibri" w:eastAsia="Times New Roman" w:hAnsi="Calibri" w:cs="Times New Roman"/>
          <w:color w:val="222222"/>
        </w:rPr>
        <w:t>, informal advice suggested and the plan focused instead on a work plan that approaching</w:t>
      </w:r>
      <w:r w:rsidRPr="000613BA">
        <w:rPr>
          <w:rFonts w:ascii="Calibri" w:eastAsia="Times New Roman" w:hAnsi="Calibri" w:cs="Times New Roman"/>
          <w:color w:val="222222"/>
        </w:rPr>
        <w:t xml:space="preserve"> the Provincial DoH individually or collectively and develop work p</w:t>
      </w:r>
      <w:r>
        <w:rPr>
          <w:rFonts w:ascii="Calibri" w:eastAsia="Times New Roman" w:hAnsi="Calibri" w:cs="Times New Roman"/>
          <w:color w:val="222222"/>
        </w:rPr>
        <w:t xml:space="preserve">lans with them instead of </w:t>
      </w:r>
      <w:r>
        <w:rPr>
          <w:bCs/>
          <w:iCs/>
        </w:rPr>
        <w:t xml:space="preserve">with the National Department of Health.  </w:t>
      </w:r>
    </w:p>
    <w:p w14:paraId="22400189" w14:textId="77777777" w:rsidR="00702C8A" w:rsidRDefault="00702C8A" w:rsidP="000613BA">
      <w:pPr>
        <w:widowControl w:val="0"/>
        <w:autoSpaceDE w:val="0"/>
        <w:autoSpaceDN w:val="0"/>
        <w:adjustRightInd w:val="0"/>
        <w:rPr>
          <w:bCs/>
          <w:iCs/>
        </w:rPr>
      </w:pPr>
    </w:p>
    <w:p w14:paraId="73DFDB4B" w14:textId="77777777" w:rsidR="00702C8A" w:rsidRDefault="00702C8A" w:rsidP="00702C8A">
      <w:pPr>
        <w:shd w:val="clear" w:color="auto" w:fill="FFFFFF"/>
        <w:rPr>
          <w:rFonts w:ascii="Calibri" w:eastAsia="Times New Roman" w:hAnsi="Calibri" w:cs="Arial"/>
          <w:color w:val="222222"/>
        </w:rPr>
      </w:pPr>
      <w:r>
        <w:rPr>
          <w:rFonts w:ascii="Calibri" w:eastAsia="Times New Roman" w:hAnsi="Calibri" w:cs="Arial"/>
          <w:color w:val="222222"/>
        </w:rPr>
        <w:t xml:space="preserve">Efforts to advocate with the </w:t>
      </w:r>
      <w:r w:rsidRPr="00702C8A">
        <w:rPr>
          <w:rFonts w:ascii="Calibri" w:eastAsia="Times New Roman" w:hAnsi="Calibri" w:cs="Arial"/>
          <w:color w:val="222222"/>
        </w:rPr>
        <w:t>National Commit</w:t>
      </w:r>
      <w:r>
        <w:rPr>
          <w:rFonts w:ascii="Calibri" w:eastAsia="Times New Roman" w:hAnsi="Calibri" w:cs="Arial"/>
          <w:color w:val="222222"/>
        </w:rPr>
        <w:t xml:space="preserve">tee on Chemicals Management resulted in the </w:t>
      </w:r>
      <w:r w:rsidRPr="00702C8A">
        <w:rPr>
          <w:rFonts w:ascii="Calibri" w:eastAsia="Times New Roman" w:hAnsi="Calibri" w:cs="Arial"/>
          <w:color w:val="222222"/>
        </w:rPr>
        <w:t>D</w:t>
      </w:r>
      <w:r>
        <w:rPr>
          <w:rFonts w:ascii="Calibri" w:eastAsia="Times New Roman" w:hAnsi="Calibri" w:cs="Arial"/>
          <w:color w:val="222222"/>
        </w:rPr>
        <w:t xml:space="preserve">epartment of </w:t>
      </w:r>
      <w:r w:rsidRPr="00702C8A">
        <w:rPr>
          <w:rFonts w:ascii="Calibri" w:eastAsia="Times New Roman" w:hAnsi="Calibri" w:cs="Arial"/>
          <w:color w:val="222222"/>
        </w:rPr>
        <w:t>E</w:t>
      </w:r>
      <w:r>
        <w:rPr>
          <w:rFonts w:ascii="Calibri" w:eastAsia="Times New Roman" w:hAnsi="Calibri" w:cs="Arial"/>
          <w:color w:val="222222"/>
        </w:rPr>
        <w:t xml:space="preserve">nvironmental </w:t>
      </w:r>
      <w:r w:rsidRPr="00702C8A">
        <w:rPr>
          <w:rFonts w:ascii="Calibri" w:eastAsia="Times New Roman" w:hAnsi="Calibri" w:cs="Arial"/>
          <w:color w:val="222222"/>
        </w:rPr>
        <w:t>A</w:t>
      </w:r>
      <w:r>
        <w:rPr>
          <w:rFonts w:ascii="Calibri" w:eastAsia="Times New Roman" w:hAnsi="Calibri" w:cs="Arial"/>
          <w:color w:val="222222"/>
        </w:rPr>
        <w:t>ffairs agreement and submission of a Minamata Initial Assessment and a</w:t>
      </w:r>
      <w:r w:rsidRPr="00702C8A">
        <w:rPr>
          <w:rFonts w:ascii="Calibri" w:eastAsia="Times New Roman" w:hAnsi="Calibri" w:cs="Arial"/>
          <w:color w:val="222222"/>
        </w:rPr>
        <w:t>pplication to the GEF which was appr</w:t>
      </w:r>
      <w:r>
        <w:rPr>
          <w:rFonts w:ascii="Calibri" w:eastAsia="Times New Roman" w:hAnsi="Calibri" w:cs="Arial"/>
          <w:color w:val="222222"/>
        </w:rPr>
        <w:t xml:space="preserve">oved. As part of the MIA, the establishment of </w:t>
      </w:r>
      <w:r w:rsidRPr="00702C8A">
        <w:rPr>
          <w:rFonts w:ascii="Calibri" w:eastAsia="Times New Roman" w:hAnsi="Calibri" w:cs="Arial"/>
          <w:color w:val="222222"/>
        </w:rPr>
        <w:t>a National Coordination</w:t>
      </w:r>
      <w:r>
        <w:rPr>
          <w:rFonts w:ascii="Calibri" w:eastAsia="Times New Roman" w:hAnsi="Calibri" w:cs="Arial"/>
          <w:color w:val="222222"/>
        </w:rPr>
        <w:t xml:space="preserve"> Mechanism towards organizing the</w:t>
      </w:r>
      <w:r w:rsidRPr="00702C8A">
        <w:rPr>
          <w:rFonts w:ascii="Calibri" w:eastAsia="Times New Roman" w:hAnsi="Calibri" w:cs="Arial"/>
          <w:color w:val="222222"/>
        </w:rPr>
        <w:t xml:space="preserve"> national work on mercury</w:t>
      </w:r>
      <w:r>
        <w:rPr>
          <w:rFonts w:ascii="Calibri" w:eastAsia="Times New Roman" w:hAnsi="Calibri" w:cs="Arial"/>
          <w:color w:val="222222"/>
        </w:rPr>
        <w:t xml:space="preserve"> to include HCWH and strengthen collaboration with other key stakeholders such as </w:t>
      </w:r>
      <w:r w:rsidRPr="00702C8A">
        <w:rPr>
          <w:rFonts w:ascii="Calibri" w:eastAsia="Times New Roman" w:hAnsi="Calibri" w:cs="Arial"/>
          <w:color w:val="222222"/>
        </w:rPr>
        <w:t>the National Department of Health more formally into this framew</w:t>
      </w:r>
      <w:r>
        <w:rPr>
          <w:rFonts w:ascii="Calibri" w:eastAsia="Times New Roman" w:hAnsi="Calibri" w:cs="Arial"/>
          <w:color w:val="222222"/>
        </w:rPr>
        <w:t xml:space="preserve">ork. </w:t>
      </w:r>
    </w:p>
    <w:p w14:paraId="2EB73D2F" w14:textId="77777777" w:rsidR="00702C8A" w:rsidRDefault="00702C8A" w:rsidP="00702C8A">
      <w:pPr>
        <w:shd w:val="clear" w:color="auto" w:fill="FFFFFF"/>
        <w:rPr>
          <w:rFonts w:ascii="Calibri" w:eastAsia="Times New Roman" w:hAnsi="Calibri" w:cs="Arial"/>
          <w:color w:val="222222"/>
        </w:rPr>
      </w:pPr>
    </w:p>
    <w:p w14:paraId="6BE7DD31" w14:textId="473E9B49" w:rsidR="00702C8A" w:rsidRPr="00702C8A" w:rsidRDefault="00702C8A" w:rsidP="00702C8A">
      <w:pPr>
        <w:shd w:val="clear" w:color="auto" w:fill="FFFFFF"/>
        <w:rPr>
          <w:rFonts w:ascii="Arial" w:eastAsia="Times New Roman" w:hAnsi="Arial" w:cs="Arial"/>
          <w:color w:val="222222"/>
          <w:sz w:val="19"/>
          <w:szCs w:val="19"/>
        </w:rPr>
      </w:pPr>
      <w:r>
        <w:rPr>
          <w:rFonts w:ascii="Calibri" w:eastAsia="Times New Roman" w:hAnsi="Calibri" w:cs="Arial"/>
          <w:color w:val="222222"/>
        </w:rPr>
        <w:t>The</w:t>
      </w:r>
      <w:r w:rsidRPr="00702C8A">
        <w:rPr>
          <w:rFonts w:ascii="Calibri" w:eastAsia="Times New Roman" w:hAnsi="Calibri" w:cs="Arial"/>
          <w:color w:val="222222"/>
        </w:rPr>
        <w:t xml:space="preserve"> </w:t>
      </w:r>
      <w:r>
        <w:rPr>
          <w:rFonts w:ascii="Calibri" w:eastAsia="Times New Roman" w:hAnsi="Calibri" w:cs="Arial"/>
          <w:color w:val="222222"/>
        </w:rPr>
        <w:t xml:space="preserve">first National meeting will take place on 13 </w:t>
      </w:r>
      <w:r w:rsidRPr="00702C8A">
        <w:rPr>
          <w:rFonts w:ascii="Calibri" w:eastAsia="Times New Roman" w:hAnsi="Calibri" w:cs="Arial"/>
          <w:color w:val="222222"/>
        </w:rPr>
        <w:t>June 2016 and one part of this agenda will be to discuss and agree the national phase out of mercury in health care as per project agreement, in keeping with the output:</w:t>
      </w:r>
    </w:p>
    <w:p w14:paraId="391D7E89" w14:textId="47D82858" w:rsidR="00702C8A" w:rsidRPr="00702C8A" w:rsidRDefault="00702C8A" w:rsidP="00702C8A">
      <w:pPr>
        <w:shd w:val="clear" w:color="auto" w:fill="FFFFFF"/>
        <w:rPr>
          <w:rFonts w:ascii="Arial" w:eastAsia="Times New Roman" w:hAnsi="Arial" w:cs="Arial"/>
          <w:color w:val="222222"/>
          <w:sz w:val="19"/>
          <w:szCs w:val="19"/>
        </w:rPr>
      </w:pPr>
      <w:r w:rsidRPr="00702C8A">
        <w:rPr>
          <w:rFonts w:ascii="Calibri" w:eastAsia="Times New Roman" w:hAnsi="Calibri" w:cs="Arial"/>
          <w:i/>
          <w:iCs/>
          <w:color w:val="222222"/>
        </w:rPr>
        <w:t>“Motivates the development of a National Action Plan with a guiding steps document that is to be followed by the national department of health, provincial departments of health, municipal departments of health in eliminating and substituting mercury in the health sector (NAP developed and executed in the second phase, 2015 – 2017)”</w:t>
      </w:r>
      <w:r w:rsidRPr="00702C8A">
        <w:rPr>
          <w:rFonts w:ascii="Calibri" w:eastAsia="Times New Roman" w:hAnsi="Calibri" w:cs="Arial"/>
          <w:color w:val="222222"/>
        </w:rPr>
        <w:t>. P</w:t>
      </w:r>
      <w:r>
        <w:rPr>
          <w:rFonts w:ascii="Calibri" w:eastAsia="Times New Roman" w:hAnsi="Calibri" w:cs="Arial"/>
          <w:color w:val="222222"/>
        </w:rPr>
        <w:t>a</w:t>
      </w:r>
      <w:r w:rsidRPr="00702C8A">
        <w:rPr>
          <w:rFonts w:ascii="Calibri" w:eastAsia="Times New Roman" w:hAnsi="Calibri" w:cs="Arial"/>
          <w:color w:val="222222"/>
        </w:rPr>
        <w:t>rt of the MIA project will be an assessment of the national infrastructure and capacity for the management of mercury, including national legislation.</w:t>
      </w:r>
    </w:p>
    <w:p w14:paraId="3B8C309A" w14:textId="77777777" w:rsidR="00702C8A" w:rsidRPr="00702C8A" w:rsidRDefault="00702C8A" w:rsidP="00702C8A">
      <w:pPr>
        <w:shd w:val="clear" w:color="auto" w:fill="FFFFFF"/>
        <w:rPr>
          <w:rFonts w:ascii="Arial" w:eastAsia="Times New Roman" w:hAnsi="Arial" w:cs="Arial"/>
          <w:color w:val="222222"/>
          <w:sz w:val="19"/>
          <w:szCs w:val="19"/>
        </w:rPr>
      </w:pPr>
      <w:r w:rsidRPr="00702C8A">
        <w:rPr>
          <w:rFonts w:ascii="Calibri" w:eastAsia="Times New Roman" w:hAnsi="Calibri" w:cs="Arial"/>
          <w:color w:val="222222"/>
        </w:rPr>
        <w:t> </w:t>
      </w:r>
    </w:p>
    <w:p w14:paraId="6A360C19" w14:textId="0AF08B43" w:rsidR="00992BF0" w:rsidRPr="001317D2" w:rsidRDefault="001317D2" w:rsidP="000613BA">
      <w:pPr>
        <w:widowControl w:val="0"/>
        <w:autoSpaceDE w:val="0"/>
        <w:autoSpaceDN w:val="0"/>
        <w:adjustRightInd w:val="0"/>
        <w:rPr>
          <w:b/>
          <w:bCs/>
          <w:iCs/>
        </w:rPr>
      </w:pPr>
      <w:r w:rsidRPr="001317D2">
        <w:rPr>
          <w:b/>
          <w:bCs/>
          <w:iCs/>
        </w:rPr>
        <w:lastRenderedPageBreak/>
        <w:t>Implementation in health facilities and regional policy</w:t>
      </w:r>
    </w:p>
    <w:p w14:paraId="367B08EE" w14:textId="2828F627" w:rsidR="00992BF0" w:rsidRDefault="001317D2" w:rsidP="000613BA">
      <w:pPr>
        <w:widowControl w:val="0"/>
        <w:autoSpaceDE w:val="0"/>
        <w:autoSpaceDN w:val="0"/>
        <w:adjustRightInd w:val="0"/>
        <w:rPr>
          <w:bCs/>
          <w:iCs/>
        </w:rPr>
      </w:pPr>
      <w:r>
        <w:rPr>
          <w:bCs/>
          <w:iCs/>
        </w:rPr>
        <w:t xml:space="preserve">Significant progress has been achieved </w:t>
      </w:r>
      <w:r w:rsidR="00992BF0">
        <w:rPr>
          <w:bCs/>
          <w:iCs/>
        </w:rPr>
        <w:t>in the 3 largest Provinces:  Gauteng, Western Cape and Kwa Zula Natal (KZN).  Summary of the number of hospitals in these three provinces below.  In addition, a campaign to extending to the private sector resulted in large primate health care providers becoming entirely mercury-free of medical devices includ</w:t>
      </w:r>
      <w:r w:rsidR="005773A7">
        <w:rPr>
          <w:bCs/>
          <w:iCs/>
        </w:rPr>
        <w:t xml:space="preserve">ing Netcare, Medi-Clinic and Life Healthcare (three major medical providers in South Africa’s private health care system).  A summary of activities in the private sector follows the Provincial results.  </w:t>
      </w:r>
    </w:p>
    <w:p w14:paraId="291250E1" w14:textId="77777777" w:rsidR="005773A7" w:rsidRDefault="005773A7" w:rsidP="000613BA">
      <w:pPr>
        <w:widowControl w:val="0"/>
        <w:autoSpaceDE w:val="0"/>
        <w:autoSpaceDN w:val="0"/>
        <w:adjustRightInd w:val="0"/>
        <w:rPr>
          <w:bCs/>
          <w:iCs/>
        </w:rPr>
      </w:pPr>
    </w:p>
    <w:p w14:paraId="3EB586FA"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color w:val="222222"/>
        </w:rPr>
        <w:t>Summary of the </w:t>
      </w:r>
      <w:r w:rsidRPr="00771352">
        <w:rPr>
          <w:rFonts w:ascii="Calibri" w:eastAsia="Times New Roman" w:hAnsi="Calibri" w:cs="Arial"/>
          <w:b/>
          <w:bCs/>
          <w:color w:val="222222"/>
        </w:rPr>
        <w:t>KZN Provincial Health Department</w:t>
      </w:r>
      <w:r w:rsidRPr="00771352">
        <w:rPr>
          <w:rFonts w:ascii="Calibri" w:eastAsia="Times New Roman" w:hAnsi="Calibri" w:cs="Arial"/>
          <w:color w:val="222222"/>
        </w:rPr>
        <w:t>:</w:t>
      </w:r>
    </w:p>
    <w:p w14:paraId="55080A59"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KZN Department of health is almost 100% mercury free</w:t>
      </w:r>
    </w:p>
    <w:p w14:paraId="3081D6E5"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Small pockets of thermometer use in rural district hospitals</w:t>
      </w:r>
    </w:p>
    <w:p w14:paraId="001DCB83" w14:textId="13D79861"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00B674EF">
        <w:rPr>
          <w:rFonts w:ascii="Calibri" w:eastAsia="Times New Roman" w:hAnsi="Calibri" w:cs="Arial"/>
          <w:color w:val="222222"/>
        </w:rPr>
        <w:t xml:space="preserve">Work is ongoing </w:t>
      </w:r>
      <w:r w:rsidRPr="00771352">
        <w:rPr>
          <w:rFonts w:ascii="Calibri" w:eastAsia="Times New Roman" w:hAnsi="Calibri" w:cs="Arial"/>
          <w:color w:val="222222"/>
        </w:rPr>
        <w:t xml:space="preserve">with the </w:t>
      </w:r>
      <w:r w:rsidR="00B674EF">
        <w:rPr>
          <w:rFonts w:ascii="Calibri" w:eastAsia="Times New Roman" w:hAnsi="Calibri" w:cs="Arial"/>
          <w:color w:val="222222"/>
        </w:rPr>
        <w:t xml:space="preserve">KZN </w:t>
      </w:r>
      <w:r w:rsidRPr="00771352">
        <w:rPr>
          <w:rFonts w:ascii="Calibri" w:eastAsia="Times New Roman" w:hAnsi="Calibri" w:cs="Arial"/>
          <w:color w:val="222222"/>
        </w:rPr>
        <w:t>DoH mainly through the GGHH outreach project</w:t>
      </w:r>
    </w:p>
    <w:p w14:paraId="12151C89"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color w:val="222222"/>
        </w:rPr>
        <w:t> </w:t>
      </w:r>
    </w:p>
    <w:tbl>
      <w:tblPr>
        <w:tblW w:w="0" w:type="auto"/>
        <w:shd w:val="clear" w:color="auto" w:fill="FFFFFF"/>
        <w:tblCellMar>
          <w:left w:w="0" w:type="dxa"/>
          <w:right w:w="0" w:type="dxa"/>
        </w:tblCellMar>
        <w:tblLook w:val="04A0" w:firstRow="1" w:lastRow="0" w:firstColumn="1" w:lastColumn="0" w:noHBand="0" w:noVBand="1"/>
      </w:tblPr>
      <w:tblGrid>
        <w:gridCol w:w="48"/>
        <w:gridCol w:w="1949"/>
        <w:gridCol w:w="48"/>
        <w:gridCol w:w="1949"/>
        <w:gridCol w:w="144"/>
      </w:tblGrid>
      <w:tr w:rsidR="00596D18" w:rsidRPr="00771352" w14:paraId="751D7E10" w14:textId="77777777" w:rsidTr="00EF098F">
        <w:trPr>
          <w:gridAfter w:val="1"/>
          <w:wAfter w:w="144" w:type="dxa"/>
          <w:trHeight w:val="66"/>
        </w:trPr>
        <w:tc>
          <w:tcPr>
            <w:tcW w:w="1997"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F4733C"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b/>
                <w:bCs/>
                <w:color w:val="222222"/>
                <w:sz w:val="18"/>
                <w:szCs w:val="18"/>
              </w:rPr>
              <w:t>Public Health Facilities in KZN</w:t>
            </w:r>
          </w:p>
        </w:tc>
        <w:tc>
          <w:tcPr>
            <w:tcW w:w="1997"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F5A73D"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b/>
                <w:bCs/>
                <w:color w:val="222222"/>
                <w:sz w:val="14"/>
                <w:szCs w:val="14"/>
              </w:rPr>
              <w:t>Number of facilities</w:t>
            </w:r>
          </w:p>
        </w:tc>
      </w:tr>
      <w:tr w:rsidR="00596D18" w:rsidRPr="00771352" w14:paraId="34FCE449" w14:textId="77777777" w:rsidTr="00EF098F">
        <w:trPr>
          <w:gridAfter w:val="1"/>
          <w:wAfter w:w="144" w:type="dxa"/>
          <w:trHeight w:val="66"/>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7A20C8"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Mobile Clinics</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483A99"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173</w:t>
            </w:r>
          </w:p>
        </w:tc>
      </w:tr>
      <w:tr w:rsidR="00596D18" w:rsidRPr="00771352" w14:paraId="0B37481D" w14:textId="77777777" w:rsidTr="00EF098F">
        <w:trPr>
          <w:gridAfter w:val="1"/>
          <w:wAfter w:w="144" w:type="dxa"/>
          <w:trHeight w:val="69"/>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CEA327"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PHC Clinics </w:t>
            </w:r>
            <w:r w:rsidRPr="00771352">
              <w:rPr>
                <w:rFonts w:ascii="Arial" w:eastAsia="Times New Roman" w:hAnsi="Arial" w:cs="Arial"/>
                <w:color w:val="222222"/>
                <w:sz w:val="9"/>
                <w:szCs w:val="9"/>
              </w:rPr>
              <w:t>[1]</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5F8D1"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569</w:t>
            </w:r>
          </w:p>
        </w:tc>
      </w:tr>
      <w:tr w:rsidR="00596D18" w:rsidRPr="00771352" w14:paraId="0508DA31" w14:textId="77777777" w:rsidTr="00EF098F">
        <w:trPr>
          <w:gridAfter w:val="1"/>
          <w:wAfter w:w="144" w:type="dxa"/>
          <w:trHeight w:val="66"/>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D6405F"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Community Health Centres</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70736C"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19</w:t>
            </w:r>
          </w:p>
        </w:tc>
      </w:tr>
      <w:tr w:rsidR="00596D18" w:rsidRPr="00771352" w14:paraId="72CF6F58" w14:textId="77777777" w:rsidTr="00EF098F">
        <w:trPr>
          <w:gridAfter w:val="1"/>
          <w:wAfter w:w="144" w:type="dxa"/>
          <w:trHeight w:val="69"/>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A7491E"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District Hospitals </w:t>
            </w:r>
            <w:r w:rsidRPr="00771352">
              <w:rPr>
                <w:rFonts w:ascii="Arial" w:eastAsia="Times New Roman" w:hAnsi="Arial" w:cs="Arial"/>
                <w:color w:val="222222"/>
                <w:sz w:val="9"/>
                <w:szCs w:val="9"/>
              </w:rPr>
              <w:t>[2]</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CCA09"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38</w:t>
            </w:r>
          </w:p>
        </w:tc>
      </w:tr>
      <w:tr w:rsidR="00596D18" w:rsidRPr="00771352" w14:paraId="7894DEB1" w14:textId="77777777" w:rsidTr="00EF098F">
        <w:trPr>
          <w:gridAfter w:val="1"/>
          <w:wAfter w:w="144" w:type="dxa"/>
          <w:trHeight w:val="69"/>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EF6607"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Regional Hospitals </w:t>
            </w:r>
            <w:r w:rsidRPr="00771352">
              <w:rPr>
                <w:rFonts w:ascii="Arial" w:eastAsia="Times New Roman" w:hAnsi="Arial" w:cs="Arial"/>
                <w:color w:val="222222"/>
                <w:sz w:val="9"/>
                <w:szCs w:val="9"/>
              </w:rPr>
              <w:t>[3]</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29D31D"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13</w:t>
            </w:r>
          </w:p>
        </w:tc>
      </w:tr>
      <w:tr w:rsidR="00596D18" w:rsidRPr="00771352" w14:paraId="6BC26C86" w14:textId="77777777" w:rsidTr="00EF098F">
        <w:trPr>
          <w:gridAfter w:val="1"/>
          <w:wAfter w:w="144" w:type="dxa"/>
          <w:trHeight w:val="66"/>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302085"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Specialised TB Hospitals</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5C374E"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10</w:t>
            </w:r>
          </w:p>
        </w:tc>
      </w:tr>
      <w:tr w:rsidR="00596D18" w:rsidRPr="00771352" w14:paraId="3CB5C5C2" w14:textId="77777777" w:rsidTr="00EF098F">
        <w:trPr>
          <w:gridAfter w:val="1"/>
          <w:wAfter w:w="144" w:type="dxa"/>
          <w:trHeight w:val="66"/>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CA4290"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Specialised Psychiatric Hospitals</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685C9E"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6</w:t>
            </w:r>
          </w:p>
        </w:tc>
      </w:tr>
      <w:tr w:rsidR="00596D18" w:rsidRPr="00771352" w14:paraId="311778B7" w14:textId="77777777" w:rsidTr="00EF098F">
        <w:trPr>
          <w:gridAfter w:val="1"/>
          <w:wAfter w:w="144" w:type="dxa"/>
          <w:trHeight w:val="66"/>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706B56"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Chronic Hospitals</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D27D24"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2</w:t>
            </w:r>
          </w:p>
        </w:tc>
      </w:tr>
      <w:tr w:rsidR="00596D18" w:rsidRPr="00771352" w14:paraId="13B6BB86" w14:textId="77777777" w:rsidTr="00EF098F">
        <w:trPr>
          <w:gridAfter w:val="1"/>
          <w:wAfter w:w="144" w:type="dxa"/>
          <w:trHeight w:val="69"/>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7EC584"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Tertiary Hospitals </w:t>
            </w:r>
            <w:r w:rsidRPr="00771352">
              <w:rPr>
                <w:rFonts w:ascii="Arial" w:eastAsia="Times New Roman" w:hAnsi="Arial" w:cs="Arial"/>
                <w:color w:val="222222"/>
                <w:sz w:val="9"/>
                <w:szCs w:val="9"/>
              </w:rPr>
              <w:t>[4]</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6C4C44"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2</w:t>
            </w:r>
          </w:p>
        </w:tc>
      </w:tr>
      <w:tr w:rsidR="00596D18" w:rsidRPr="00771352" w14:paraId="4EE3CD17" w14:textId="77777777" w:rsidTr="00EF098F">
        <w:trPr>
          <w:gridAfter w:val="1"/>
          <w:wAfter w:w="144" w:type="dxa"/>
          <w:trHeight w:val="69"/>
        </w:trPr>
        <w:tc>
          <w:tcPr>
            <w:tcW w:w="199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44CFF4"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Central Hospitals </w:t>
            </w:r>
            <w:r w:rsidRPr="00771352">
              <w:rPr>
                <w:rFonts w:ascii="Arial" w:eastAsia="Times New Roman" w:hAnsi="Arial" w:cs="Arial"/>
                <w:color w:val="222222"/>
                <w:sz w:val="9"/>
                <w:szCs w:val="9"/>
              </w:rPr>
              <w:t>[5]</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EAC066" w14:textId="77777777" w:rsidR="00596D18" w:rsidRPr="00771352" w:rsidRDefault="00596D18" w:rsidP="00EF098F">
            <w:pPr>
              <w:spacing w:before="100" w:beforeAutospacing="1" w:after="100" w:afterAutospacing="1"/>
              <w:rPr>
                <w:rFonts w:ascii="Arial" w:eastAsia="Times New Roman" w:hAnsi="Arial" w:cs="Arial"/>
                <w:color w:val="222222"/>
                <w:sz w:val="19"/>
                <w:szCs w:val="19"/>
              </w:rPr>
            </w:pPr>
            <w:r w:rsidRPr="00771352">
              <w:rPr>
                <w:rFonts w:ascii="Arial" w:eastAsia="Times New Roman" w:hAnsi="Arial" w:cs="Arial"/>
                <w:color w:val="222222"/>
                <w:sz w:val="14"/>
                <w:szCs w:val="14"/>
              </w:rPr>
              <w:t>2</w:t>
            </w:r>
          </w:p>
        </w:tc>
      </w:tr>
      <w:tr w:rsidR="00596D18" w:rsidRPr="00771352" w14:paraId="68E36711" w14:textId="77777777" w:rsidTr="00EF098F">
        <w:trPr>
          <w:gridAfter w:val="1"/>
          <w:wAfter w:w="144" w:type="dxa"/>
          <w:trHeight w:val="69"/>
        </w:trPr>
        <w:tc>
          <w:tcPr>
            <w:tcW w:w="1997"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3FC280" w14:textId="77777777" w:rsidR="00596D18" w:rsidRPr="00771352" w:rsidRDefault="00596D18" w:rsidP="00EF098F">
            <w:pPr>
              <w:spacing w:before="100" w:beforeAutospacing="1" w:after="100" w:afterAutospacing="1"/>
              <w:jc w:val="center"/>
              <w:rPr>
                <w:rFonts w:ascii="Arial" w:eastAsia="Times New Roman" w:hAnsi="Arial" w:cs="Arial"/>
                <w:color w:val="222222"/>
                <w:sz w:val="19"/>
                <w:szCs w:val="19"/>
              </w:rPr>
            </w:pPr>
            <w:r w:rsidRPr="00771352">
              <w:rPr>
                <w:rFonts w:ascii="Arial" w:eastAsia="Times New Roman" w:hAnsi="Arial" w:cs="Arial"/>
                <w:b/>
                <w:bCs/>
                <w:color w:val="222222"/>
                <w:sz w:val="14"/>
                <w:szCs w:val="14"/>
              </w:rPr>
              <w:t>Total beds</w:t>
            </w:r>
          </w:p>
        </w:tc>
        <w:tc>
          <w:tcPr>
            <w:tcW w:w="199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15657D" w14:textId="77777777" w:rsidR="00596D18" w:rsidRPr="00771352" w:rsidRDefault="00596D18" w:rsidP="00EF098F">
            <w:pPr>
              <w:spacing w:before="100" w:beforeAutospacing="1" w:after="100" w:afterAutospacing="1"/>
              <w:jc w:val="center"/>
              <w:rPr>
                <w:rFonts w:ascii="Arial" w:eastAsia="Times New Roman" w:hAnsi="Arial" w:cs="Arial"/>
                <w:color w:val="222222"/>
                <w:sz w:val="19"/>
                <w:szCs w:val="19"/>
              </w:rPr>
            </w:pPr>
            <w:r w:rsidRPr="00771352">
              <w:rPr>
                <w:rFonts w:ascii="Arial" w:eastAsia="Times New Roman" w:hAnsi="Arial" w:cs="Arial"/>
                <w:b/>
                <w:bCs/>
                <w:color w:val="222222"/>
                <w:sz w:val="14"/>
                <w:szCs w:val="14"/>
              </w:rPr>
              <w:t>23886</w:t>
            </w:r>
          </w:p>
        </w:tc>
      </w:tr>
      <w:tr w:rsidR="00596D18" w:rsidRPr="00771352" w14:paraId="7045AADE" w14:textId="77777777" w:rsidTr="00EF098F">
        <w:tc>
          <w:tcPr>
            <w:tcW w:w="48" w:type="dxa"/>
            <w:tcBorders>
              <w:top w:val="nil"/>
              <w:left w:val="nil"/>
              <w:bottom w:val="nil"/>
              <w:right w:val="nil"/>
            </w:tcBorders>
            <w:shd w:val="clear" w:color="auto" w:fill="FFFFFF"/>
            <w:vAlign w:val="center"/>
            <w:hideMark/>
          </w:tcPr>
          <w:p w14:paraId="76F5DE59" w14:textId="77777777" w:rsidR="00596D18" w:rsidRPr="00771352" w:rsidRDefault="00596D18" w:rsidP="00EF098F">
            <w:pPr>
              <w:rPr>
                <w:rFonts w:ascii="Arial" w:eastAsia="Times New Roman" w:hAnsi="Arial" w:cs="Arial"/>
                <w:color w:val="222222"/>
                <w:sz w:val="19"/>
                <w:szCs w:val="19"/>
              </w:rPr>
            </w:pPr>
          </w:p>
        </w:tc>
        <w:tc>
          <w:tcPr>
            <w:tcW w:w="750" w:type="dxa"/>
            <w:tcBorders>
              <w:top w:val="nil"/>
              <w:left w:val="nil"/>
              <w:bottom w:val="nil"/>
              <w:right w:val="nil"/>
            </w:tcBorders>
            <w:shd w:val="clear" w:color="auto" w:fill="FFFFFF"/>
            <w:vAlign w:val="center"/>
            <w:hideMark/>
          </w:tcPr>
          <w:p w14:paraId="5160011B" w14:textId="77777777" w:rsidR="00596D18" w:rsidRPr="00771352" w:rsidRDefault="00596D18" w:rsidP="00EF098F">
            <w:pPr>
              <w:rPr>
                <w:rFonts w:ascii="Times New Roman" w:eastAsia="Times New Roman" w:hAnsi="Times New Roman" w:cs="Times New Roman"/>
                <w:sz w:val="20"/>
                <w:szCs w:val="20"/>
              </w:rPr>
            </w:pPr>
          </w:p>
        </w:tc>
        <w:tc>
          <w:tcPr>
            <w:tcW w:w="48" w:type="dxa"/>
            <w:tcBorders>
              <w:top w:val="nil"/>
              <w:left w:val="nil"/>
              <w:bottom w:val="nil"/>
              <w:right w:val="nil"/>
            </w:tcBorders>
            <w:shd w:val="clear" w:color="auto" w:fill="FFFFFF"/>
            <w:vAlign w:val="center"/>
            <w:hideMark/>
          </w:tcPr>
          <w:p w14:paraId="6B173D8D" w14:textId="77777777" w:rsidR="00596D18" w:rsidRPr="00771352" w:rsidRDefault="00596D18" w:rsidP="00EF098F">
            <w:pPr>
              <w:rPr>
                <w:rFonts w:ascii="Times New Roman" w:eastAsia="Times New Roman" w:hAnsi="Times New Roman" w:cs="Times New Roman"/>
                <w:sz w:val="20"/>
                <w:szCs w:val="20"/>
              </w:rPr>
            </w:pPr>
          </w:p>
        </w:tc>
        <w:tc>
          <w:tcPr>
            <w:tcW w:w="750" w:type="dxa"/>
            <w:tcBorders>
              <w:top w:val="nil"/>
              <w:left w:val="nil"/>
              <w:bottom w:val="nil"/>
              <w:right w:val="nil"/>
            </w:tcBorders>
            <w:shd w:val="clear" w:color="auto" w:fill="FFFFFF"/>
            <w:vAlign w:val="center"/>
            <w:hideMark/>
          </w:tcPr>
          <w:p w14:paraId="75A134C5" w14:textId="77777777" w:rsidR="00596D18" w:rsidRPr="00771352" w:rsidRDefault="00596D18" w:rsidP="00EF098F">
            <w:pPr>
              <w:rPr>
                <w:rFonts w:ascii="Times New Roman" w:eastAsia="Times New Roman" w:hAnsi="Times New Roman" w:cs="Times New Roman"/>
                <w:sz w:val="20"/>
                <w:szCs w:val="20"/>
              </w:rPr>
            </w:pPr>
          </w:p>
        </w:tc>
        <w:tc>
          <w:tcPr>
            <w:tcW w:w="48" w:type="dxa"/>
            <w:tcBorders>
              <w:top w:val="nil"/>
              <w:left w:val="nil"/>
              <w:bottom w:val="nil"/>
              <w:right w:val="nil"/>
            </w:tcBorders>
            <w:shd w:val="clear" w:color="auto" w:fill="FFFFFF"/>
            <w:vAlign w:val="center"/>
            <w:hideMark/>
          </w:tcPr>
          <w:p w14:paraId="44724ECB" w14:textId="77777777" w:rsidR="00596D18" w:rsidRPr="00771352" w:rsidRDefault="00596D18" w:rsidP="00EF098F">
            <w:pPr>
              <w:rPr>
                <w:rFonts w:ascii="Times New Roman" w:eastAsia="Times New Roman" w:hAnsi="Times New Roman" w:cs="Times New Roman"/>
                <w:sz w:val="20"/>
                <w:szCs w:val="20"/>
              </w:rPr>
            </w:pPr>
          </w:p>
        </w:tc>
      </w:tr>
    </w:tbl>
    <w:p w14:paraId="3BB900C8"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color w:val="222222"/>
        </w:rPr>
        <w:t> </w:t>
      </w:r>
    </w:p>
    <w:p w14:paraId="435FD57E"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color w:val="222222"/>
        </w:rPr>
        <w:t>Summary of the </w:t>
      </w:r>
      <w:r w:rsidRPr="00771352">
        <w:rPr>
          <w:rFonts w:ascii="Calibri" w:eastAsia="Times New Roman" w:hAnsi="Calibri" w:cs="Arial"/>
          <w:b/>
          <w:bCs/>
          <w:color w:val="222222"/>
        </w:rPr>
        <w:t>Western Cape Department of Health</w:t>
      </w:r>
    </w:p>
    <w:p w14:paraId="0B856B77" w14:textId="77777777" w:rsidR="009C4E9C" w:rsidRDefault="00596D18" w:rsidP="009C4E9C">
      <w:pPr>
        <w:shd w:val="clear" w:color="auto" w:fill="FFFFFF"/>
        <w:spacing w:before="100" w:beforeAutospacing="1" w:after="100" w:afterAutospacing="1"/>
        <w:ind w:left="360"/>
        <w:rPr>
          <w:rFonts w:eastAsia="Times New Roman" w:cs="Arial"/>
          <w:color w:val="222222"/>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9C4E9C">
        <w:rPr>
          <w:rFonts w:eastAsia="Times New Roman" w:cs="Arial"/>
          <w:color w:val="222222"/>
        </w:rPr>
        <w:t>50 hospitals with a total of 9481 beds</w:t>
      </w:r>
      <w:r w:rsidR="009C4E9C">
        <w:rPr>
          <w:rFonts w:eastAsia="Times New Roman" w:cs="Arial"/>
          <w:color w:val="222222"/>
        </w:rPr>
        <w:t xml:space="preserve"> of which </w:t>
      </w:r>
      <w:r w:rsidRPr="009C4E9C">
        <w:rPr>
          <w:rFonts w:eastAsia="Times New Roman" w:cs="Arial"/>
          <w:color w:val="222222"/>
        </w:rPr>
        <w:t>&gt; 90% mercury free</w:t>
      </w:r>
    </w:p>
    <w:p w14:paraId="7A191830" w14:textId="187876EB" w:rsidR="00596D18" w:rsidRDefault="00596D18" w:rsidP="009C4E9C">
      <w:pPr>
        <w:pStyle w:val="ListParagraph"/>
        <w:numPr>
          <w:ilvl w:val="0"/>
          <w:numId w:val="3"/>
        </w:numPr>
        <w:shd w:val="clear" w:color="auto" w:fill="FFFFFF"/>
        <w:spacing w:before="100" w:beforeAutospacing="1" w:after="100" w:afterAutospacing="1"/>
        <w:rPr>
          <w:rFonts w:eastAsia="Times New Roman" w:cs="Arial"/>
          <w:color w:val="222222"/>
        </w:rPr>
      </w:pPr>
      <w:r w:rsidRPr="009C4E9C">
        <w:rPr>
          <w:rFonts w:eastAsia="Times New Roman" w:cs="Arial"/>
          <w:color w:val="222222"/>
        </w:rPr>
        <w:t>Small pockets of thermometer and sphygmomanometer use in rural district hospitals</w:t>
      </w:r>
    </w:p>
    <w:p w14:paraId="355ECE52" w14:textId="77777777" w:rsidR="009C4E9C" w:rsidRDefault="00596D18" w:rsidP="009C4E9C">
      <w:pPr>
        <w:pStyle w:val="ListParagraph"/>
        <w:numPr>
          <w:ilvl w:val="0"/>
          <w:numId w:val="3"/>
        </w:numPr>
        <w:shd w:val="clear" w:color="auto" w:fill="FFFFFF"/>
        <w:spacing w:before="100" w:beforeAutospacing="1" w:after="100" w:afterAutospacing="1"/>
        <w:rPr>
          <w:rFonts w:eastAsia="Times New Roman" w:cs="Arial"/>
          <w:color w:val="222222"/>
        </w:rPr>
      </w:pPr>
      <w:r w:rsidRPr="009C4E9C">
        <w:rPr>
          <w:rFonts w:eastAsia="Times New Roman" w:cs="Arial"/>
          <w:color w:val="222222"/>
        </w:rPr>
        <w:t>We are actively working with the W</w:t>
      </w:r>
      <w:r w:rsidR="007F386C" w:rsidRPr="009C4E9C">
        <w:rPr>
          <w:rFonts w:eastAsia="Times New Roman" w:cs="Arial"/>
          <w:color w:val="222222"/>
        </w:rPr>
        <w:t xml:space="preserve">estern </w:t>
      </w:r>
      <w:r w:rsidRPr="009C4E9C">
        <w:rPr>
          <w:rFonts w:eastAsia="Times New Roman" w:cs="Arial"/>
          <w:color w:val="222222"/>
        </w:rPr>
        <w:t>C</w:t>
      </w:r>
      <w:r w:rsidR="007F386C" w:rsidRPr="009C4E9C">
        <w:rPr>
          <w:rFonts w:eastAsia="Times New Roman" w:cs="Arial"/>
          <w:color w:val="222222"/>
        </w:rPr>
        <w:t>ape</w:t>
      </w:r>
      <w:r w:rsidRPr="009C4E9C">
        <w:rPr>
          <w:rFonts w:eastAsia="Times New Roman" w:cs="Arial"/>
          <w:color w:val="222222"/>
        </w:rPr>
        <w:t xml:space="preserve"> DoH </w:t>
      </w:r>
      <w:r w:rsidR="007F386C" w:rsidRPr="009C4E9C">
        <w:rPr>
          <w:rFonts w:eastAsia="Times New Roman" w:cs="Arial"/>
          <w:color w:val="222222"/>
        </w:rPr>
        <w:t xml:space="preserve">to identify these “pockets” who were invite to </w:t>
      </w:r>
      <w:r w:rsidRPr="009C4E9C">
        <w:rPr>
          <w:rFonts w:eastAsia="Times New Roman" w:cs="Arial"/>
          <w:color w:val="222222"/>
        </w:rPr>
        <w:t>a provincial mercury in health care workshop in the first quarter of 2016</w:t>
      </w:r>
      <w:r w:rsidR="007F386C" w:rsidRPr="009C4E9C">
        <w:rPr>
          <w:rFonts w:eastAsia="Times New Roman" w:cs="Arial"/>
          <w:color w:val="222222"/>
        </w:rPr>
        <w:t>.</w:t>
      </w:r>
    </w:p>
    <w:p w14:paraId="3CF38CE9" w14:textId="3F5EC9A7" w:rsidR="00596D18" w:rsidRPr="009C4E9C" w:rsidRDefault="00DE6A24" w:rsidP="00596D18">
      <w:pPr>
        <w:pStyle w:val="ListParagraph"/>
        <w:numPr>
          <w:ilvl w:val="0"/>
          <w:numId w:val="3"/>
        </w:numPr>
        <w:shd w:val="clear" w:color="auto" w:fill="FFFFFF"/>
        <w:spacing w:before="100" w:beforeAutospacing="1" w:after="100" w:afterAutospacing="1"/>
        <w:rPr>
          <w:rFonts w:eastAsia="Times New Roman" w:cs="Arial"/>
          <w:color w:val="222222"/>
        </w:rPr>
      </w:pPr>
      <w:r w:rsidRPr="009C4E9C">
        <w:rPr>
          <w:rFonts w:eastAsia="Times New Roman" w:cs="Arial"/>
          <w:color w:val="222222"/>
        </w:rPr>
        <w:t xml:space="preserve">A draft Mercury Elimination Plan was completed in January 2016 undertaken within the framework of the Provincial climate change working group hosted by the GGHH contact in the Western Cape DoH.  </w:t>
      </w:r>
    </w:p>
    <w:p w14:paraId="6671ACB2"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b/>
          <w:bCs/>
          <w:color w:val="222222"/>
        </w:rPr>
        <w:t>Gauteng Department of Health</w:t>
      </w:r>
    </w:p>
    <w:p w14:paraId="48922949" w14:textId="4BBB2D3A" w:rsidR="009C4E9C" w:rsidRPr="009C4E9C" w:rsidRDefault="00596D18" w:rsidP="009C4E9C">
      <w:pPr>
        <w:pStyle w:val="ListParagraph"/>
        <w:numPr>
          <w:ilvl w:val="0"/>
          <w:numId w:val="4"/>
        </w:numPr>
        <w:shd w:val="clear" w:color="auto" w:fill="FFFFFF"/>
        <w:spacing w:before="100" w:beforeAutospacing="1" w:after="100" w:afterAutospacing="1"/>
        <w:rPr>
          <w:rFonts w:ascii="Arial" w:eastAsia="Times New Roman" w:hAnsi="Arial" w:cs="Arial"/>
          <w:color w:val="222222"/>
          <w:sz w:val="19"/>
          <w:szCs w:val="19"/>
        </w:rPr>
      </w:pPr>
      <w:r w:rsidRPr="009C4E9C">
        <w:rPr>
          <w:rFonts w:ascii="Calibri" w:eastAsia="Times New Roman" w:hAnsi="Calibri" w:cs="Arial"/>
          <w:color w:val="222222"/>
        </w:rPr>
        <w:t>28 provincial hospitals run a total of 16 020 approved beds, of which 2 587 are in specialised hospitals for psychiatric care, rehabilitation or infectious diseases.</w:t>
      </w:r>
    </w:p>
    <w:p w14:paraId="15B44B9C" w14:textId="77777777" w:rsidR="009C4E9C" w:rsidRPr="009C4E9C" w:rsidRDefault="00596D18" w:rsidP="009C4E9C">
      <w:pPr>
        <w:pStyle w:val="ListParagraph"/>
        <w:numPr>
          <w:ilvl w:val="0"/>
          <w:numId w:val="4"/>
        </w:numPr>
        <w:shd w:val="clear" w:color="auto" w:fill="FFFFFF"/>
        <w:spacing w:before="100" w:beforeAutospacing="1" w:after="100" w:afterAutospacing="1"/>
        <w:rPr>
          <w:rFonts w:ascii="Arial" w:eastAsia="Times New Roman" w:hAnsi="Arial" w:cs="Arial"/>
          <w:color w:val="222222"/>
          <w:sz w:val="19"/>
          <w:szCs w:val="19"/>
        </w:rPr>
      </w:pPr>
      <w:r w:rsidRPr="009C4E9C">
        <w:rPr>
          <w:rFonts w:ascii="Calibri" w:eastAsia="Times New Roman" w:hAnsi="Calibri" w:cs="Arial"/>
          <w:color w:val="222222"/>
        </w:rPr>
        <w:t xml:space="preserve">Two mercury in health care workshops were held in Gauteng in 2015 and the first quarter of 2016. </w:t>
      </w:r>
    </w:p>
    <w:p w14:paraId="4B914F13" w14:textId="40C56F8C" w:rsidR="005773A7" w:rsidRPr="009C4E9C" w:rsidRDefault="00596D18" w:rsidP="009C4E9C">
      <w:pPr>
        <w:pStyle w:val="ListParagraph"/>
        <w:numPr>
          <w:ilvl w:val="0"/>
          <w:numId w:val="4"/>
        </w:numPr>
        <w:shd w:val="clear" w:color="auto" w:fill="FFFFFF"/>
        <w:spacing w:before="100" w:beforeAutospacing="1" w:after="100" w:afterAutospacing="1"/>
        <w:rPr>
          <w:rFonts w:ascii="Arial" w:eastAsia="Times New Roman" w:hAnsi="Arial" w:cs="Arial"/>
          <w:color w:val="222222"/>
          <w:sz w:val="19"/>
          <w:szCs w:val="19"/>
        </w:rPr>
      </w:pPr>
      <w:r w:rsidRPr="009C4E9C">
        <w:rPr>
          <w:rFonts w:ascii="Calibri" w:eastAsia="Times New Roman" w:hAnsi="Calibri" w:cs="Arial"/>
          <w:color w:val="222222"/>
        </w:rPr>
        <w:t xml:space="preserve">A mercury free pilot project in ongoing in the hospital designated by the Provincial DOH (Helen Joseph Hospital) and are working with the Gauteng Dept. of Infrastructure </w:t>
      </w:r>
      <w:r w:rsidRPr="009C4E9C">
        <w:rPr>
          <w:rFonts w:ascii="Calibri" w:eastAsia="Times New Roman" w:hAnsi="Calibri" w:cs="Arial"/>
          <w:color w:val="222222"/>
        </w:rPr>
        <w:lastRenderedPageBreak/>
        <w:t xml:space="preserve">Development and also the Environmental Health Services Directorate to roll out mercury free health care in Gauteng Province. </w:t>
      </w:r>
    </w:p>
    <w:p w14:paraId="20935915"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b/>
          <w:bCs/>
          <w:color w:val="222222"/>
        </w:rPr>
        <w:t>The private health sector</w:t>
      </w:r>
    </w:p>
    <w:p w14:paraId="4FCD318D"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color w:val="222222"/>
        </w:rPr>
        <w:t>Large private health care providers are now entirely mercury-free of medical devices. These include Netcare, Medi-Clinic, and Life Healthcare (the three major medical providers in South Africa’s private health care system). This follows substantial efforts to educate and raise awareness that have prepared the private sector for this transition to me</w:t>
      </w:r>
      <w:r>
        <w:rPr>
          <w:rFonts w:ascii="Calibri" w:eastAsia="Times New Roman" w:hAnsi="Calibri" w:cs="Arial"/>
          <w:color w:val="222222"/>
        </w:rPr>
        <w:t>rcury free health care.  A</w:t>
      </w:r>
      <w:r w:rsidRPr="00771352">
        <w:rPr>
          <w:rFonts w:ascii="Calibri" w:eastAsia="Times New Roman" w:hAnsi="Calibri" w:cs="Arial"/>
          <w:color w:val="222222"/>
        </w:rPr>
        <w:t xml:space="preserve"> breakdown of the private health care providers</w:t>
      </w:r>
      <w:r>
        <w:rPr>
          <w:rFonts w:ascii="Calibri" w:eastAsia="Times New Roman" w:hAnsi="Calibri" w:cs="Arial"/>
          <w:color w:val="222222"/>
        </w:rPr>
        <w:t xml:space="preserve"> follows with a total of </w:t>
      </w:r>
      <w:r w:rsidR="00142CDC">
        <w:rPr>
          <w:rFonts w:ascii="Calibri" w:eastAsia="Times New Roman" w:hAnsi="Calibri" w:cs="Arial"/>
          <w:color w:val="222222"/>
        </w:rPr>
        <w:t xml:space="preserve">171 hospitals with a total of 24,317 beds.  </w:t>
      </w:r>
    </w:p>
    <w:p w14:paraId="0DF2CD89"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color w:val="222222"/>
        </w:rPr>
        <w:t> </w:t>
      </w:r>
    </w:p>
    <w:p w14:paraId="36C3B60B"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b/>
          <w:bCs/>
          <w:color w:val="222222"/>
        </w:rPr>
        <w:t>Netcare (South Africa) has the following footprint and provides the following services:</w:t>
      </w:r>
    </w:p>
    <w:p w14:paraId="0D2BA375" w14:textId="0B0645A6"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Private hospital and trauma services comprise 55 owned hospitals (in all Provinces) including private facilities forming part of Public Private Partnerships. Netcare has 9,052 registered beds,</w:t>
      </w:r>
      <w:r w:rsidR="007F386C" w:rsidRPr="00771352">
        <w:rPr>
          <w:rFonts w:ascii="Calibri" w:eastAsia="Times New Roman" w:hAnsi="Calibri" w:cs="Arial"/>
          <w:color w:val="222222"/>
        </w:rPr>
        <w:t> 338</w:t>
      </w:r>
      <w:r w:rsidRPr="00771352">
        <w:rPr>
          <w:rFonts w:ascii="Calibri" w:eastAsia="Times New Roman" w:hAnsi="Calibri" w:cs="Arial"/>
          <w:color w:val="222222"/>
        </w:rPr>
        <w:t xml:space="preserve"> operating theatres and manage operating theatres and 87 retail and hospital pharmacies. Netcare's wholly-owned subsidiary, Netcare 911, operates the largest private emergency medical service in the country with over</w:t>
      </w:r>
      <w:r w:rsidR="007F386C" w:rsidRPr="00771352">
        <w:rPr>
          <w:rFonts w:ascii="Calibri" w:eastAsia="Times New Roman" w:hAnsi="Calibri" w:cs="Arial"/>
          <w:color w:val="222222"/>
        </w:rPr>
        <w:t> 6.9</w:t>
      </w:r>
      <w:r w:rsidRPr="00771352">
        <w:rPr>
          <w:rFonts w:ascii="Calibri" w:eastAsia="Times New Roman" w:hAnsi="Calibri" w:cs="Arial"/>
          <w:color w:val="222222"/>
        </w:rPr>
        <w:t xml:space="preserve"> million insured lives and a fleet of over 180 response vehicles and ambulances, and 3 helicopter and 2 fixed-wing air ambulances.</w:t>
      </w:r>
      <w:r w:rsidRPr="00771352">
        <w:rPr>
          <w:rFonts w:ascii="Arial" w:eastAsia="Times New Roman" w:hAnsi="Arial" w:cs="Arial"/>
          <w:color w:val="222222"/>
          <w:sz w:val="19"/>
          <w:szCs w:val="19"/>
        </w:rPr>
        <w:t> </w:t>
      </w:r>
      <w:r w:rsidRPr="00771352">
        <w:rPr>
          <w:rFonts w:ascii="Calibri" w:eastAsia="Times New Roman" w:hAnsi="Calibri" w:cs="Arial"/>
          <w:color w:val="222222"/>
        </w:rPr>
        <w:t>The company has almost 10,000 beds in total by 2016.</w:t>
      </w:r>
    </w:p>
    <w:p w14:paraId="5E2A82B7"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Pr>
          <w:rFonts w:ascii="Calibri" w:eastAsia="Times New Roman" w:hAnsi="Calibri" w:cs="Arial"/>
          <w:color w:val="222222"/>
        </w:rPr>
        <w:t>The Primary Care</w:t>
      </w:r>
      <w:r w:rsidRPr="00771352">
        <w:rPr>
          <w:rFonts w:ascii="Calibri" w:eastAsia="Times New Roman" w:hAnsi="Calibri" w:cs="Arial"/>
          <w:color w:val="222222"/>
        </w:rPr>
        <w:t xml:space="preserve"> Division operates medical and dental provider services through Medicross, as well as a managed care organisation that focuses on the low income market, extending healthcare to previously uninsured lives through Prime Cure. This includes a national footprint of 88 Medicross and Prime Cure Medicentres, with 41 retail pharmacies and 12 day-theatres.</w:t>
      </w:r>
    </w:p>
    <w:p w14:paraId="1FE57DB3" w14:textId="4220939E"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A group of 568 independent doctors and dentists provide comprehensive primary health services to about 3</w:t>
      </w:r>
      <w:r w:rsidR="007F386C" w:rsidRPr="00771352">
        <w:rPr>
          <w:rFonts w:ascii="Calibri" w:eastAsia="Times New Roman" w:hAnsi="Calibri" w:cs="Arial"/>
          <w:color w:val="222222"/>
        </w:rPr>
        <w:t>, 5</w:t>
      </w:r>
      <w:r w:rsidRPr="00771352">
        <w:rPr>
          <w:rFonts w:ascii="Calibri" w:eastAsia="Times New Roman" w:hAnsi="Calibri" w:cs="Arial"/>
          <w:color w:val="222222"/>
        </w:rPr>
        <w:t xml:space="preserve"> million patients, funded through private medical aid insurance, managed care capitation premiums or self-pay arrangements.</w:t>
      </w:r>
    </w:p>
    <w:p w14:paraId="4213FFFD"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b/>
          <w:bCs/>
          <w:color w:val="222222"/>
        </w:rPr>
        <w:t>Life Healthcare</w:t>
      </w:r>
    </w:p>
    <w:p w14:paraId="14505D16"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Life Healthcare comprises a private hospital network which includes 64 hospitals (in all Provinces) providing a range of healthcare services throughout South Africa.</w:t>
      </w:r>
      <w:r w:rsidRPr="00771352">
        <w:rPr>
          <w:rFonts w:ascii="Arial" w:eastAsia="Times New Roman" w:hAnsi="Arial" w:cs="Arial"/>
          <w:color w:val="222222"/>
          <w:sz w:val="19"/>
          <w:szCs w:val="19"/>
        </w:rPr>
        <w:t> </w:t>
      </w:r>
      <w:r w:rsidRPr="00771352">
        <w:rPr>
          <w:rFonts w:ascii="Calibri" w:eastAsia="Times New Roman" w:hAnsi="Calibri" w:cs="Arial"/>
          <w:color w:val="222222"/>
        </w:rPr>
        <w:t>Life hospitals total beds: 7665.</w:t>
      </w:r>
    </w:p>
    <w:p w14:paraId="6A0FD61A"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6 Mental Health units in 3 provinces and 2 units which offer involuntary and assisted mental health admissions.</w:t>
      </w:r>
      <w:r w:rsidRPr="00771352">
        <w:rPr>
          <w:rFonts w:ascii="Arial" w:eastAsia="Times New Roman" w:hAnsi="Arial" w:cs="Arial"/>
          <w:color w:val="222222"/>
          <w:sz w:val="19"/>
          <w:szCs w:val="19"/>
        </w:rPr>
        <w:t> </w:t>
      </w:r>
      <w:r w:rsidRPr="00771352">
        <w:rPr>
          <w:rFonts w:ascii="Calibri" w:eastAsia="Times New Roman" w:hAnsi="Calibri" w:cs="Arial"/>
          <w:color w:val="222222"/>
        </w:rPr>
        <w:t>Life Rehabilitation is the leading provider of acute rehabilitation services in the country, operating 265 beds.</w:t>
      </w:r>
    </w:p>
    <w:p w14:paraId="7C959DBA"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The company also delivers hospital based services in the fields of chronic mental healthcare, frail care, chronic rehabilitation and acute care in five provinces. It offers 4 171 beds through its network of 12 facilities, some of which provide dual services.</w:t>
      </w:r>
    </w:p>
    <w:p w14:paraId="12D0D332" w14:textId="77777777" w:rsidR="00596D18" w:rsidRPr="00771352" w:rsidRDefault="00596D18" w:rsidP="00596D18">
      <w:pPr>
        <w:shd w:val="clear" w:color="auto" w:fill="FFFFFF"/>
        <w:rPr>
          <w:rFonts w:ascii="Arial" w:eastAsia="Times New Roman" w:hAnsi="Arial" w:cs="Arial"/>
          <w:color w:val="222222"/>
          <w:sz w:val="19"/>
          <w:szCs w:val="19"/>
        </w:rPr>
      </w:pPr>
      <w:r w:rsidRPr="00771352">
        <w:rPr>
          <w:rFonts w:ascii="Calibri" w:eastAsia="Times New Roman" w:hAnsi="Calibri" w:cs="Arial"/>
          <w:b/>
          <w:bCs/>
          <w:color w:val="222222"/>
        </w:rPr>
        <w:t>Mediclinic Southern Africa</w:t>
      </w:r>
    </w:p>
    <w:p w14:paraId="7042EAEB" w14:textId="77777777" w:rsidR="00596D18" w:rsidRPr="00771352" w:rsidRDefault="00596D18" w:rsidP="00596D18">
      <w:pPr>
        <w:shd w:val="clear" w:color="auto" w:fill="FFFFFF"/>
        <w:spacing w:before="100" w:beforeAutospacing="1" w:after="100" w:afterAutospacing="1"/>
        <w:ind w:left="360"/>
        <w:rPr>
          <w:rFonts w:ascii="Arial" w:eastAsia="Times New Roman" w:hAnsi="Arial" w:cs="Arial"/>
          <w:color w:val="222222"/>
          <w:sz w:val="19"/>
          <w:szCs w:val="19"/>
        </w:rPr>
      </w:pPr>
      <w:r w:rsidRPr="00771352">
        <w:rPr>
          <w:rFonts w:ascii="Symbol" w:eastAsia="Times New Roman" w:hAnsi="Symbol" w:cs="Arial"/>
          <w:color w:val="222222"/>
        </w:rPr>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Mediclinic Southern Africa represents the Southern African operations (in all Provinces) of Mediclinic International, the sixth largest private hospital group in the world.</w:t>
      </w:r>
    </w:p>
    <w:p w14:paraId="24A9C806" w14:textId="65F68F76" w:rsidR="005773A7" w:rsidRDefault="00596D18" w:rsidP="00B674EF">
      <w:pPr>
        <w:shd w:val="clear" w:color="auto" w:fill="FFFFFF"/>
        <w:spacing w:before="100" w:beforeAutospacing="1" w:after="100" w:afterAutospacing="1"/>
        <w:ind w:left="360"/>
        <w:rPr>
          <w:rFonts w:ascii="Calibri" w:eastAsia="Times New Roman" w:hAnsi="Calibri" w:cs="Arial"/>
          <w:color w:val="222222"/>
        </w:rPr>
      </w:pPr>
      <w:r w:rsidRPr="00771352">
        <w:rPr>
          <w:rFonts w:ascii="Symbol" w:eastAsia="Times New Roman" w:hAnsi="Symbol" w:cs="Arial"/>
          <w:color w:val="222222"/>
        </w:rPr>
        <w:lastRenderedPageBreak/>
        <w:t></w:t>
      </w:r>
      <w:r w:rsidRPr="00771352">
        <w:rPr>
          <w:rFonts w:ascii="Times New Roman" w:eastAsia="Times New Roman" w:hAnsi="Times New Roman" w:cs="Times New Roman"/>
          <w:color w:val="222222"/>
          <w:sz w:val="14"/>
          <w:szCs w:val="14"/>
        </w:rPr>
        <w:t>         </w:t>
      </w:r>
      <w:r w:rsidRPr="00771352">
        <w:rPr>
          <w:rFonts w:ascii="Calibri" w:eastAsia="Times New Roman" w:hAnsi="Calibri" w:cs="Arial"/>
          <w:color w:val="222222"/>
        </w:rPr>
        <w:t>Mediclinic Southern Africa has more than 7 600 beds in 52 multidisciplinary hospitals in South Africa and Namibia.</w:t>
      </w:r>
    </w:p>
    <w:p w14:paraId="768BB3D0" w14:textId="77777777" w:rsidR="009C4E9C" w:rsidRPr="00B674EF" w:rsidRDefault="009C4E9C" w:rsidP="00B674EF">
      <w:pPr>
        <w:shd w:val="clear" w:color="auto" w:fill="FFFFFF"/>
        <w:spacing w:before="100" w:beforeAutospacing="1" w:after="100" w:afterAutospacing="1"/>
        <w:ind w:left="360"/>
        <w:rPr>
          <w:rFonts w:ascii="Arial" w:eastAsia="Times New Roman" w:hAnsi="Arial" w:cs="Arial"/>
          <w:color w:val="222222"/>
          <w:sz w:val="19"/>
          <w:szCs w:val="19"/>
        </w:rPr>
      </w:pPr>
    </w:p>
    <w:p w14:paraId="206B4268" w14:textId="77777777" w:rsidR="005773A7" w:rsidRPr="004616E1" w:rsidRDefault="005773A7" w:rsidP="00B674EF">
      <w:pPr>
        <w:pStyle w:val="Heading1"/>
      </w:pPr>
      <w:r w:rsidRPr="004616E1">
        <w:t xml:space="preserve">Brazil </w:t>
      </w:r>
    </w:p>
    <w:p w14:paraId="4DDF5A69" w14:textId="77777777" w:rsidR="005773A7" w:rsidRDefault="005773A7" w:rsidP="000613BA">
      <w:pPr>
        <w:widowControl w:val="0"/>
        <w:autoSpaceDE w:val="0"/>
        <w:autoSpaceDN w:val="0"/>
        <w:adjustRightInd w:val="0"/>
        <w:rPr>
          <w:bCs/>
          <w:iCs/>
        </w:rPr>
      </w:pPr>
    </w:p>
    <w:p w14:paraId="0C9C44B1" w14:textId="77777777" w:rsidR="005773A7" w:rsidRDefault="005773A7" w:rsidP="000613BA">
      <w:pPr>
        <w:widowControl w:val="0"/>
        <w:autoSpaceDE w:val="0"/>
        <w:autoSpaceDN w:val="0"/>
        <w:adjustRightInd w:val="0"/>
        <w:rPr>
          <w:bCs/>
          <w:iCs/>
        </w:rPr>
      </w:pPr>
      <w:r>
        <w:rPr>
          <w:bCs/>
          <w:iCs/>
        </w:rPr>
        <w:t xml:space="preserve">A series of outreach and training activities were conducted including the development of an on-line survey tool, conferences sessions devoted to mercury phase out and participation by </w:t>
      </w:r>
      <w:r w:rsidR="004616E1">
        <w:rPr>
          <w:bCs/>
          <w:iCs/>
        </w:rPr>
        <w:t>Projecto Hospitais Saudave</w:t>
      </w:r>
      <w:r>
        <w:rPr>
          <w:bCs/>
          <w:iCs/>
        </w:rPr>
        <w:t xml:space="preserve">is </w:t>
      </w:r>
      <w:r w:rsidR="004616E1">
        <w:rPr>
          <w:bCs/>
          <w:iCs/>
        </w:rPr>
        <w:t xml:space="preserve">(PHS) </w:t>
      </w:r>
      <w:r>
        <w:rPr>
          <w:bCs/>
          <w:iCs/>
        </w:rPr>
        <w:t>in events</w:t>
      </w:r>
      <w:r w:rsidR="00596D18">
        <w:rPr>
          <w:bCs/>
          <w:iCs/>
        </w:rPr>
        <w:t xml:space="preserve"> to present on Minamata and its implementation in the health sector</w:t>
      </w:r>
      <w:r>
        <w:rPr>
          <w:bCs/>
          <w:iCs/>
        </w:rPr>
        <w:t xml:space="preserve">.  </w:t>
      </w:r>
    </w:p>
    <w:p w14:paraId="6203E5E8" w14:textId="77777777" w:rsidR="004616E1" w:rsidRPr="009C4E9C" w:rsidRDefault="004616E1" w:rsidP="000613BA">
      <w:pPr>
        <w:widowControl w:val="0"/>
        <w:autoSpaceDE w:val="0"/>
        <w:autoSpaceDN w:val="0"/>
        <w:adjustRightInd w:val="0"/>
        <w:rPr>
          <w:bCs/>
          <w:iCs/>
        </w:rPr>
      </w:pPr>
    </w:p>
    <w:p w14:paraId="41766676" w14:textId="687E2B32" w:rsidR="00497032" w:rsidRPr="009C4E9C" w:rsidRDefault="005773A7" w:rsidP="00497032">
      <w:pPr>
        <w:pStyle w:val="CommentText"/>
        <w:rPr>
          <w:sz w:val="22"/>
          <w:szCs w:val="22"/>
        </w:rPr>
      </w:pPr>
      <w:r w:rsidRPr="009C4E9C">
        <w:rPr>
          <w:bCs/>
          <w:iCs/>
          <w:sz w:val="22"/>
          <w:szCs w:val="22"/>
        </w:rPr>
        <w:t xml:space="preserve">All </w:t>
      </w:r>
      <w:r w:rsidR="00025768" w:rsidRPr="009C4E9C">
        <w:rPr>
          <w:bCs/>
          <w:iCs/>
          <w:sz w:val="22"/>
          <w:szCs w:val="22"/>
        </w:rPr>
        <w:t>124 institutional members of the Global Green and Healthy Hospitals network</w:t>
      </w:r>
      <w:r w:rsidRPr="009C4E9C">
        <w:rPr>
          <w:bCs/>
          <w:iCs/>
          <w:sz w:val="22"/>
          <w:szCs w:val="22"/>
        </w:rPr>
        <w:t xml:space="preserve"> are</w:t>
      </w:r>
      <w:r w:rsidR="00B674EF" w:rsidRPr="009C4E9C">
        <w:rPr>
          <w:bCs/>
          <w:iCs/>
          <w:sz w:val="22"/>
          <w:szCs w:val="22"/>
        </w:rPr>
        <w:t xml:space="preserve"> now</w:t>
      </w:r>
      <w:r w:rsidRPr="009C4E9C">
        <w:rPr>
          <w:bCs/>
          <w:iCs/>
          <w:sz w:val="22"/>
          <w:szCs w:val="22"/>
        </w:rPr>
        <w:t xml:space="preserve"> mercury free</w:t>
      </w:r>
      <w:r w:rsidR="00B674EF" w:rsidRPr="009C4E9C">
        <w:rPr>
          <w:bCs/>
          <w:iCs/>
          <w:sz w:val="22"/>
          <w:szCs w:val="22"/>
        </w:rPr>
        <w:t xml:space="preserve"> having received technical support for the implementation</w:t>
      </w:r>
      <w:r w:rsidRPr="009C4E9C">
        <w:rPr>
          <w:bCs/>
          <w:iCs/>
          <w:sz w:val="22"/>
          <w:szCs w:val="22"/>
        </w:rPr>
        <w:t xml:space="preserve">.  The list of these hospitals and health systems </w:t>
      </w:r>
      <w:r w:rsidR="00025768" w:rsidRPr="009C4E9C">
        <w:rPr>
          <w:bCs/>
          <w:iCs/>
          <w:sz w:val="22"/>
          <w:szCs w:val="22"/>
        </w:rPr>
        <w:t>who are members</w:t>
      </w:r>
      <w:r w:rsidR="00596D18" w:rsidRPr="009C4E9C">
        <w:rPr>
          <w:bCs/>
          <w:iCs/>
          <w:sz w:val="22"/>
          <w:szCs w:val="22"/>
        </w:rPr>
        <w:t xml:space="preserve"> can be found at </w:t>
      </w:r>
      <w:hyperlink r:id="rId9" w:history="1">
        <w:r w:rsidR="00596D18" w:rsidRPr="009C4E9C">
          <w:rPr>
            <w:rStyle w:val="Hyperlink"/>
            <w:bCs/>
            <w:iCs/>
            <w:sz w:val="22"/>
            <w:szCs w:val="22"/>
          </w:rPr>
          <w:t>http://greenhospitals.net/en/members/</w:t>
        </w:r>
      </w:hyperlink>
      <w:r w:rsidR="00596D18" w:rsidRPr="009C4E9C">
        <w:rPr>
          <w:bCs/>
          <w:iCs/>
          <w:sz w:val="22"/>
          <w:szCs w:val="22"/>
        </w:rPr>
        <w:t xml:space="preserve">.  </w:t>
      </w:r>
      <w:r w:rsidR="00497032" w:rsidRPr="009C4E9C">
        <w:rPr>
          <w:sz w:val="22"/>
          <w:szCs w:val="22"/>
        </w:rPr>
        <w:t>In addition, 10 health systems members, that represents more 250 hospitals and 900 health care facilities, are mercury free. This represents about 5% of the 7000 hospitals (total of hospitals in Brazil) and 15% of the total number of beds.  Brazil has a lot of small hospitals (less than 50 beds). PHS/GGHH members are usually medium and big hospitals. Small hospitals and clinics are difficult to reach. For this reason, we designed the survey project, aiming collect information from distant and isolate</w:t>
      </w:r>
      <w:r w:rsidR="009C4E9C" w:rsidRPr="009C4E9C">
        <w:rPr>
          <w:sz w:val="22"/>
          <w:szCs w:val="22"/>
        </w:rPr>
        <w:t>d</w:t>
      </w:r>
      <w:r w:rsidR="00497032" w:rsidRPr="009C4E9C">
        <w:rPr>
          <w:sz w:val="22"/>
          <w:szCs w:val="22"/>
        </w:rPr>
        <w:t xml:space="preserve"> regions.</w:t>
      </w:r>
    </w:p>
    <w:p w14:paraId="4BE76547" w14:textId="77777777" w:rsidR="00123084" w:rsidRPr="009C4E9C" w:rsidRDefault="00123084" w:rsidP="000613BA">
      <w:pPr>
        <w:widowControl w:val="0"/>
        <w:autoSpaceDE w:val="0"/>
        <w:autoSpaceDN w:val="0"/>
        <w:adjustRightInd w:val="0"/>
        <w:rPr>
          <w:bCs/>
          <w:iCs/>
        </w:rPr>
      </w:pPr>
    </w:p>
    <w:p w14:paraId="39BF9FE9" w14:textId="536F381D" w:rsidR="00123084" w:rsidRPr="009C4E9C" w:rsidRDefault="00CF1712" w:rsidP="00CF1712">
      <w:pPr>
        <w:pStyle w:val="CommentText"/>
        <w:rPr>
          <w:sz w:val="22"/>
          <w:szCs w:val="22"/>
        </w:rPr>
      </w:pPr>
      <w:r w:rsidRPr="009C4E9C">
        <w:rPr>
          <w:sz w:val="22"/>
          <w:szCs w:val="22"/>
        </w:rPr>
        <w:t xml:space="preserve">São Paulo State’s approximately 1000 hospitals </w:t>
      </w:r>
      <w:r w:rsidR="00123084" w:rsidRPr="009C4E9C">
        <w:rPr>
          <w:sz w:val="22"/>
          <w:szCs w:val="22"/>
        </w:rPr>
        <w:t>are all mercury free. Since December 2010, mercury devices are forbidden in all public state healthcare and since January 2014, mercury medical devices become totally forbidden in SP state. In the south and south-east regions</w:t>
      </w:r>
      <w:r w:rsidRPr="009C4E9C">
        <w:rPr>
          <w:sz w:val="22"/>
          <w:szCs w:val="22"/>
        </w:rPr>
        <w:t xml:space="preserve"> of Brazil,</w:t>
      </w:r>
      <w:r w:rsidR="00123084" w:rsidRPr="009C4E9C">
        <w:rPr>
          <w:sz w:val="22"/>
          <w:szCs w:val="22"/>
        </w:rPr>
        <w:t xml:space="preserve"> healthcare is almost totally mercury free (ex</w:t>
      </w:r>
      <w:r w:rsidRPr="009C4E9C">
        <w:rPr>
          <w:sz w:val="22"/>
          <w:szCs w:val="22"/>
        </w:rPr>
        <w:t>cept 2 states, MG and ES). E</w:t>
      </w:r>
      <w:r w:rsidR="00123084" w:rsidRPr="009C4E9C">
        <w:rPr>
          <w:sz w:val="22"/>
          <w:szCs w:val="22"/>
        </w:rPr>
        <w:t>fforts are now concentrated on the rest of the country. Today, still more than 50</w:t>
      </w:r>
      <w:r w:rsidRPr="009C4E9C">
        <w:rPr>
          <w:sz w:val="22"/>
          <w:szCs w:val="22"/>
        </w:rPr>
        <w:t xml:space="preserve">% of Brazilian healthcare </w:t>
      </w:r>
      <w:r w:rsidR="00123084" w:rsidRPr="009C4E9C">
        <w:rPr>
          <w:sz w:val="22"/>
          <w:szCs w:val="22"/>
        </w:rPr>
        <w:t>use mercury devices.</w:t>
      </w:r>
      <w:r w:rsidRPr="009C4E9C">
        <w:rPr>
          <w:sz w:val="22"/>
          <w:szCs w:val="22"/>
        </w:rPr>
        <w:t xml:space="preserve"> These</w:t>
      </w:r>
      <w:r w:rsidR="00123084" w:rsidRPr="009C4E9C">
        <w:rPr>
          <w:sz w:val="22"/>
          <w:szCs w:val="22"/>
        </w:rPr>
        <w:t xml:space="preserve"> facilities are in the most distant and poor regions, that is why we need to trace a profile of Brazilian market of healthcare devices, because it is important to improve access and reduce costs, and also, to plan safe options to mercury devices disposal during the phase out.</w:t>
      </w:r>
    </w:p>
    <w:p w14:paraId="410DBA9A" w14:textId="77777777" w:rsidR="00596D18" w:rsidRPr="009C4E9C" w:rsidRDefault="00596D18" w:rsidP="000613BA">
      <w:pPr>
        <w:widowControl w:val="0"/>
        <w:autoSpaceDE w:val="0"/>
        <w:autoSpaceDN w:val="0"/>
        <w:adjustRightInd w:val="0"/>
        <w:rPr>
          <w:bCs/>
          <w:iCs/>
        </w:rPr>
      </w:pPr>
    </w:p>
    <w:p w14:paraId="2C8A16F7" w14:textId="77777777" w:rsidR="00CF1712" w:rsidRDefault="00596D18" w:rsidP="000613BA">
      <w:pPr>
        <w:widowControl w:val="0"/>
        <w:autoSpaceDE w:val="0"/>
        <w:autoSpaceDN w:val="0"/>
        <w:adjustRightInd w:val="0"/>
        <w:rPr>
          <w:bCs/>
          <w:iCs/>
        </w:rPr>
      </w:pPr>
      <w:r>
        <w:rPr>
          <w:bCs/>
          <w:iCs/>
        </w:rPr>
        <w:t>In September 2015, the national survey on mercury-based medical device substitution was launched</w:t>
      </w:r>
      <w:r w:rsidR="00CF1712">
        <w:rPr>
          <w:bCs/>
          <w:iCs/>
        </w:rPr>
        <w:t xml:space="preserve"> for </w:t>
      </w:r>
    </w:p>
    <w:p w14:paraId="22E1039A" w14:textId="5461AA1D" w:rsidR="00CF1712" w:rsidRDefault="00CF1712" w:rsidP="000613BA">
      <w:pPr>
        <w:widowControl w:val="0"/>
        <w:autoSpaceDE w:val="0"/>
        <w:autoSpaceDN w:val="0"/>
        <w:adjustRightInd w:val="0"/>
        <w:rPr>
          <w:bCs/>
          <w:iCs/>
        </w:rPr>
      </w:pPr>
      <w:r>
        <w:rPr>
          <w:bCs/>
          <w:iCs/>
        </w:rPr>
        <w:t>members of the GGHH network</w:t>
      </w:r>
      <w:r w:rsidR="00596D18">
        <w:rPr>
          <w:bCs/>
          <w:iCs/>
        </w:rPr>
        <w:t xml:space="preserve">.  </w:t>
      </w:r>
      <w:r w:rsidR="004616E1">
        <w:rPr>
          <w:bCs/>
          <w:iCs/>
        </w:rPr>
        <w:t xml:space="preserve">The purpose of the survey was to identify the market availability and implementation of mercury-free devices and challenges/barriers to implementation throughout the country.   </w:t>
      </w:r>
      <w:r w:rsidR="00596D18">
        <w:rPr>
          <w:bCs/>
          <w:iCs/>
        </w:rPr>
        <w:t>As of December, 70 hospitals have completed the survey</w:t>
      </w:r>
      <w:r>
        <w:rPr>
          <w:bCs/>
          <w:iCs/>
        </w:rPr>
        <w:t xml:space="preserve"> and all are mercury-free</w:t>
      </w:r>
      <w:r w:rsidR="00596D18">
        <w:rPr>
          <w:bCs/>
          <w:iCs/>
        </w:rPr>
        <w:t xml:space="preserve">.   </w:t>
      </w:r>
      <w:r>
        <w:rPr>
          <w:bCs/>
          <w:iCs/>
        </w:rPr>
        <w:t xml:space="preserve">In June 2016, the survey has been re-launched as a national survey. </w:t>
      </w:r>
    </w:p>
    <w:p w14:paraId="41C80FCC" w14:textId="77777777" w:rsidR="00CF1712" w:rsidRDefault="00CF1712" w:rsidP="000613BA">
      <w:pPr>
        <w:widowControl w:val="0"/>
        <w:autoSpaceDE w:val="0"/>
        <w:autoSpaceDN w:val="0"/>
        <w:adjustRightInd w:val="0"/>
        <w:rPr>
          <w:bCs/>
          <w:iCs/>
        </w:rPr>
      </w:pPr>
    </w:p>
    <w:p w14:paraId="10472077" w14:textId="4CAB7CF0" w:rsidR="00596D18" w:rsidRDefault="00596D18" w:rsidP="000613BA">
      <w:pPr>
        <w:widowControl w:val="0"/>
        <w:autoSpaceDE w:val="0"/>
        <w:autoSpaceDN w:val="0"/>
        <w:adjustRightInd w:val="0"/>
        <w:rPr>
          <w:bCs/>
          <w:iCs/>
        </w:rPr>
      </w:pPr>
      <w:r>
        <w:rPr>
          <w:bCs/>
          <w:iCs/>
        </w:rPr>
        <w:t xml:space="preserve">Panels on Mercury-free health care were held in September 2014 and 2015 with 500 participants in each conference </w:t>
      </w:r>
      <w:r w:rsidRPr="00CF1712">
        <w:rPr>
          <w:bCs/>
          <w:iCs/>
        </w:rPr>
        <w:t xml:space="preserve">representing </w:t>
      </w:r>
      <w:r w:rsidR="00CF1712">
        <w:rPr>
          <w:bCs/>
          <w:iCs/>
        </w:rPr>
        <w:t>200</w:t>
      </w:r>
      <w:r w:rsidRPr="00CF1712">
        <w:rPr>
          <w:bCs/>
          <w:iCs/>
        </w:rPr>
        <w:t xml:space="preserve"> hospitals</w:t>
      </w:r>
      <w:r w:rsidR="00CF1712">
        <w:rPr>
          <w:bCs/>
          <w:iCs/>
        </w:rPr>
        <w:t xml:space="preserve"> each year</w:t>
      </w:r>
      <w:r w:rsidRPr="00CF1712">
        <w:rPr>
          <w:bCs/>
          <w:iCs/>
        </w:rPr>
        <w:t>.</w:t>
      </w:r>
      <w:r>
        <w:rPr>
          <w:bCs/>
          <w:iCs/>
        </w:rPr>
        <w:t xml:space="preserve">   The following speakers presented at the September 2015 conference.  </w:t>
      </w:r>
    </w:p>
    <w:p w14:paraId="69E4EEDB" w14:textId="77777777" w:rsidR="00CF1712" w:rsidRDefault="00CF1712" w:rsidP="000613BA">
      <w:pPr>
        <w:widowControl w:val="0"/>
        <w:autoSpaceDE w:val="0"/>
        <w:autoSpaceDN w:val="0"/>
        <w:adjustRightInd w:val="0"/>
        <w:rPr>
          <w:bCs/>
          <w:iCs/>
        </w:rPr>
      </w:pPr>
    </w:p>
    <w:p w14:paraId="13B52ACF" w14:textId="77777777" w:rsidR="004616E1" w:rsidRPr="00863C91" w:rsidRDefault="004616E1" w:rsidP="004616E1">
      <w:r w:rsidRPr="00073BF4">
        <w:rPr>
          <w:b/>
        </w:rPr>
        <w:t>Speakers</w:t>
      </w:r>
      <w:r>
        <w:t>:</w:t>
      </w:r>
    </w:p>
    <w:tbl>
      <w:tblPr>
        <w:tblStyle w:val="SombreamentoClaro-nfase11"/>
        <w:tblW w:w="8755" w:type="dxa"/>
        <w:tblInd w:w="0" w:type="dxa"/>
        <w:tblLook w:val="04A0" w:firstRow="1" w:lastRow="0" w:firstColumn="1" w:lastColumn="0" w:noHBand="0" w:noVBand="1"/>
      </w:tblPr>
      <w:tblGrid>
        <w:gridCol w:w="7196"/>
        <w:gridCol w:w="1559"/>
      </w:tblGrid>
      <w:tr w:rsidR="004616E1" w:rsidRPr="00863C91" w14:paraId="260C34D1" w14:textId="77777777" w:rsidTr="00EF0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6" w:type="dxa"/>
            <w:hideMark/>
          </w:tcPr>
          <w:p w14:paraId="2837F5CE" w14:textId="77777777" w:rsidR="004616E1" w:rsidRPr="00863C91" w:rsidRDefault="004616E1" w:rsidP="00EF098F">
            <w:r w:rsidRPr="00863C91">
              <w:t xml:space="preserve">Panel 08: Treaty of Minamata - the hazard of mercury and the challenge of its banishment in </w:t>
            </w:r>
            <w:r>
              <w:t xml:space="preserve">Brazilian </w:t>
            </w:r>
            <w:r w:rsidRPr="00863C91">
              <w:t>health sector by 2020</w:t>
            </w:r>
          </w:p>
        </w:tc>
        <w:tc>
          <w:tcPr>
            <w:tcW w:w="1559" w:type="dxa"/>
            <w:hideMark/>
          </w:tcPr>
          <w:p w14:paraId="05DDB8EE" w14:textId="77777777" w:rsidR="004616E1" w:rsidRPr="00863C91" w:rsidRDefault="004616E1" w:rsidP="00EF098F">
            <w:pPr>
              <w:cnfStyle w:val="100000000000" w:firstRow="1" w:lastRow="0" w:firstColumn="0" w:lastColumn="0" w:oddVBand="0" w:evenVBand="0" w:oddHBand="0" w:evenHBand="0" w:firstRowFirstColumn="0" w:firstRowLastColumn="0" w:lastRowFirstColumn="0" w:lastRowLastColumn="0"/>
            </w:pPr>
            <w:r w:rsidRPr="00863C91">
              <w:t> </w:t>
            </w:r>
          </w:p>
        </w:tc>
      </w:tr>
      <w:tr w:rsidR="004616E1" w:rsidRPr="00863C91" w14:paraId="21E51640" w14:textId="77777777" w:rsidTr="00EF0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6" w:type="dxa"/>
            <w:tcBorders>
              <w:top w:val="nil"/>
              <w:bottom w:val="nil"/>
            </w:tcBorders>
            <w:hideMark/>
          </w:tcPr>
          <w:p w14:paraId="3D52EBCD" w14:textId="77777777" w:rsidR="004616E1" w:rsidRPr="00863C91" w:rsidRDefault="004616E1" w:rsidP="00EF098F">
            <w:r w:rsidRPr="00863C91">
              <w:lastRenderedPageBreak/>
              <w:t>Gilson Alves Quinaglia – PhD in analytical chemistry and master in environmental health,  manager of the Toxicological Analysis Department at CETESB and author of  the book “Basal Levels Characterization of Metal Concentration (São Paulo – SP)</w:t>
            </w:r>
          </w:p>
        </w:tc>
        <w:tc>
          <w:tcPr>
            <w:tcW w:w="1559" w:type="dxa"/>
            <w:tcBorders>
              <w:top w:val="nil"/>
              <w:bottom w:val="nil"/>
            </w:tcBorders>
            <w:hideMark/>
          </w:tcPr>
          <w:p w14:paraId="312CE1F4" w14:textId="77777777" w:rsidR="004616E1" w:rsidRPr="00863C91" w:rsidRDefault="004616E1" w:rsidP="00EF098F">
            <w:pPr>
              <w:cnfStyle w:val="000000100000" w:firstRow="0" w:lastRow="0" w:firstColumn="0" w:lastColumn="0" w:oddVBand="0" w:evenVBand="0" w:oddHBand="1" w:evenHBand="0" w:firstRowFirstColumn="0" w:firstRowLastColumn="0" w:lastRowFirstColumn="0" w:lastRowLastColumn="0"/>
              <w:rPr>
                <w:color w:val="333333"/>
              </w:rPr>
            </w:pPr>
            <w:r w:rsidRPr="00863C91">
              <w:rPr>
                <w:noProof/>
                <w:lang w:val="en-GB" w:eastAsia="zh-CN"/>
              </w:rPr>
              <w:drawing>
                <wp:inline distT="0" distB="0" distL="0" distR="0" wp14:anchorId="06ED0959" wp14:editId="4E8C3D46">
                  <wp:extent cx="723900" cy="962025"/>
                  <wp:effectExtent l="0" t="0" r="0" b="9525"/>
                  <wp:docPr id="4" name="Imagem 3" descr="Gilson Quinagli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Gilson Quinaglia"/>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r w:rsidR="004616E1" w:rsidRPr="00863C91" w14:paraId="5E500A71" w14:textId="77777777" w:rsidTr="00EF098F">
        <w:tc>
          <w:tcPr>
            <w:cnfStyle w:val="001000000000" w:firstRow="0" w:lastRow="0" w:firstColumn="1" w:lastColumn="0" w:oddVBand="0" w:evenVBand="0" w:oddHBand="0" w:evenHBand="0" w:firstRowFirstColumn="0" w:firstRowLastColumn="0" w:lastRowFirstColumn="0" w:lastRowLastColumn="0"/>
            <w:tcW w:w="7196" w:type="dxa"/>
            <w:tcBorders>
              <w:top w:val="nil"/>
              <w:left w:val="nil"/>
              <w:bottom w:val="nil"/>
              <w:right w:val="nil"/>
            </w:tcBorders>
            <w:hideMark/>
          </w:tcPr>
          <w:p w14:paraId="6C934919" w14:textId="77777777" w:rsidR="004616E1" w:rsidRPr="00863C91" w:rsidRDefault="004616E1" w:rsidP="00EF098F">
            <w:r w:rsidRPr="00863C91">
              <w:t>Anne Hélène Fostier – PhD in Oceanography, Master in Ecology and Degree in Oceanographic Biology, Professor at the Unicamp Chemistry Institute in which conducts research on emission sources and mercury biogeochemical cycle (Campinas - SP)</w:t>
            </w:r>
          </w:p>
        </w:tc>
        <w:tc>
          <w:tcPr>
            <w:tcW w:w="1559" w:type="dxa"/>
            <w:tcBorders>
              <w:top w:val="nil"/>
              <w:left w:val="nil"/>
              <w:bottom w:val="nil"/>
              <w:right w:val="nil"/>
            </w:tcBorders>
            <w:hideMark/>
          </w:tcPr>
          <w:p w14:paraId="69683898" w14:textId="77777777" w:rsidR="004616E1" w:rsidRPr="00863C91" w:rsidRDefault="004616E1" w:rsidP="00EF098F">
            <w:pPr>
              <w:cnfStyle w:val="000000000000" w:firstRow="0" w:lastRow="0" w:firstColumn="0" w:lastColumn="0" w:oddVBand="0" w:evenVBand="0" w:oddHBand="0" w:evenHBand="0" w:firstRowFirstColumn="0" w:firstRowLastColumn="0" w:lastRowFirstColumn="0" w:lastRowLastColumn="0"/>
              <w:rPr>
                <w:color w:val="333333"/>
              </w:rPr>
            </w:pPr>
            <w:r w:rsidRPr="00863C91">
              <w:rPr>
                <w:noProof/>
                <w:lang w:val="en-GB" w:eastAsia="zh-CN"/>
              </w:rPr>
              <w:drawing>
                <wp:inline distT="0" distB="0" distL="0" distR="0" wp14:anchorId="75178B21" wp14:editId="234175FD">
                  <wp:extent cx="723900" cy="962025"/>
                  <wp:effectExtent l="0" t="0" r="0" b="9525"/>
                  <wp:docPr id="5" name="Imagem 2" descr="Anne Hélène Fosti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nne Hélène Fostier"/>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r w:rsidR="004616E1" w:rsidRPr="00863C91" w14:paraId="20D67FF0" w14:textId="77777777" w:rsidTr="00EF0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6" w:type="dxa"/>
            <w:tcBorders>
              <w:top w:val="nil"/>
              <w:bottom w:val="single" w:sz="8" w:space="0" w:color="4F81BD"/>
            </w:tcBorders>
            <w:hideMark/>
          </w:tcPr>
          <w:p w14:paraId="3FAD681E" w14:textId="77777777" w:rsidR="004616E1" w:rsidRPr="00863C91" w:rsidRDefault="004616E1" w:rsidP="00EF098F">
            <w:r w:rsidRPr="00863C91">
              <w:t>Heloisa Pacheco-Ferreira – PhD in Social and Environmental Development by Federal University of Pará Master in Public Health by Oswaldo Cruz Foundation, Professor at the Medical School and Coordinator of the Environmental and Occupational Toxicology Outpatient Clinic at the HUCFF / UFRJ. (Rio de Janeiro – RJ)</w:t>
            </w:r>
          </w:p>
        </w:tc>
        <w:tc>
          <w:tcPr>
            <w:tcW w:w="1559" w:type="dxa"/>
            <w:tcBorders>
              <w:top w:val="nil"/>
              <w:bottom w:val="single" w:sz="8" w:space="0" w:color="4F81BD"/>
            </w:tcBorders>
            <w:hideMark/>
          </w:tcPr>
          <w:p w14:paraId="7A802348" w14:textId="77777777" w:rsidR="004616E1" w:rsidRPr="00863C91" w:rsidRDefault="004616E1" w:rsidP="00EF098F">
            <w:pPr>
              <w:cnfStyle w:val="000000100000" w:firstRow="0" w:lastRow="0" w:firstColumn="0" w:lastColumn="0" w:oddVBand="0" w:evenVBand="0" w:oddHBand="1" w:evenHBand="0" w:firstRowFirstColumn="0" w:firstRowLastColumn="0" w:lastRowFirstColumn="0" w:lastRowLastColumn="0"/>
              <w:rPr>
                <w:color w:val="333333"/>
              </w:rPr>
            </w:pPr>
            <w:r w:rsidRPr="00863C91">
              <w:rPr>
                <w:noProof/>
                <w:lang w:val="en-GB" w:eastAsia="zh-CN"/>
              </w:rPr>
              <w:drawing>
                <wp:inline distT="0" distB="0" distL="0" distR="0" wp14:anchorId="21582E46" wp14:editId="4EF3F238">
                  <wp:extent cx="723900" cy="962025"/>
                  <wp:effectExtent l="0" t="0" r="0" b="9525"/>
                  <wp:docPr id="6" name="Imagem 1" descr="Heloisa Pacheco-Ferreir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eloisa Pacheco-Ferreira"/>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14:paraId="5FF6DA8D" w14:textId="77777777" w:rsidR="004616E1" w:rsidRDefault="004616E1" w:rsidP="004616E1"/>
    <w:p w14:paraId="1B391275" w14:textId="59E27BCE" w:rsidR="00596D18" w:rsidRDefault="00CF1712" w:rsidP="00CF1712">
      <w:pPr>
        <w:widowControl w:val="0"/>
        <w:autoSpaceDE w:val="0"/>
        <w:autoSpaceDN w:val="0"/>
        <w:adjustRightInd w:val="0"/>
        <w:rPr>
          <w:bCs/>
          <w:iCs/>
        </w:rPr>
      </w:pPr>
      <w:r>
        <w:rPr>
          <w:bCs/>
          <w:iCs/>
        </w:rPr>
        <w:t xml:space="preserve">Additional awareness-raising and educational events in which HSP organized or participated in 2015 are listed in the table below.  </w:t>
      </w:r>
    </w:p>
    <w:p w14:paraId="35AC8E4A" w14:textId="77777777" w:rsidR="00CF1712" w:rsidRDefault="00CF1712" w:rsidP="00CF1712">
      <w:pPr>
        <w:widowControl w:val="0"/>
        <w:tabs>
          <w:tab w:val="center" w:pos="4680"/>
        </w:tabs>
        <w:autoSpaceDE w:val="0"/>
        <w:autoSpaceDN w:val="0"/>
        <w:adjustRightInd w:val="0"/>
        <w:rPr>
          <w:bCs/>
          <w:iCs/>
        </w:rPr>
      </w:pPr>
    </w:p>
    <w:tbl>
      <w:tblPr>
        <w:tblStyle w:val="SombreamentoClaro-nfase111"/>
        <w:tblW w:w="0" w:type="auto"/>
        <w:tblInd w:w="0" w:type="dxa"/>
        <w:tblLook w:val="04A0" w:firstRow="1" w:lastRow="0" w:firstColumn="1" w:lastColumn="0" w:noHBand="0" w:noVBand="1"/>
      </w:tblPr>
      <w:tblGrid>
        <w:gridCol w:w="1268"/>
        <w:gridCol w:w="5473"/>
        <w:gridCol w:w="2835"/>
      </w:tblGrid>
      <w:tr w:rsidR="00CF1712" w:rsidRPr="00D85F1C" w14:paraId="0617EAEA" w14:textId="77777777" w:rsidTr="0043019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8" w:type="dxa"/>
            <w:noWrap/>
            <w:hideMark/>
          </w:tcPr>
          <w:p w14:paraId="37DB8EBD"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Date</w:t>
            </w:r>
          </w:p>
        </w:tc>
        <w:tc>
          <w:tcPr>
            <w:tcW w:w="5954" w:type="dxa"/>
            <w:hideMark/>
          </w:tcPr>
          <w:p w14:paraId="7CFFCB0A" w14:textId="77777777" w:rsidR="00CF1712" w:rsidRPr="00D85F1C" w:rsidRDefault="00CF1712" w:rsidP="00430191">
            <w:pPr>
              <w:spacing w:after="200"/>
              <w:cnfStyle w:val="100000000000" w:firstRow="1" w:lastRow="0" w:firstColumn="0" w:lastColumn="0" w:oddVBand="0" w:evenVBand="0" w:oddHBand="0" w:evenHBand="0" w:firstRowFirstColumn="0" w:firstRowLastColumn="0" w:lastRowFirstColumn="0" w:lastRowLastColumn="0"/>
              <w:rPr>
                <w:rFonts w:ascii="Calibri" w:eastAsia="Calibri" w:hAnsi="Calibri"/>
                <w:color w:val="1F497D"/>
              </w:rPr>
            </w:pPr>
            <w:r w:rsidRPr="00D85F1C">
              <w:rPr>
                <w:rFonts w:ascii="Calibri" w:eastAsia="Calibri" w:hAnsi="Calibri"/>
                <w:color w:val="1F497D"/>
              </w:rPr>
              <w:t>Event</w:t>
            </w:r>
          </w:p>
        </w:tc>
        <w:tc>
          <w:tcPr>
            <w:tcW w:w="2835" w:type="dxa"/>
            <w:noWrap/>
            <w:hideMark/>
          </w:tcPr>
          <w:p w14:paraId="7C1D2B6D" w14:textId="77777777" w:rsidR="00CF1712" w:rsidRPr="00D85F1C" w:rsidRDefault="00CF1712" w:rsidP="00430191">
            <w:pPr>
              <w:spacing w:after="200"/>
              <w:cnfStyle w:val="100000000000" w:firstRow="1" w:lastRow="0" w:firstColumn="0" w:lastColumn="0" w:oddVBand="0" w:evenVBand="0" w:oddHBand="0" w:evenHBand="0" w:firstRowFirstColumn="0" w:firstRowLastColumn="0" w:lastRowFirstColumn="0" w:lastRowLastColumn="0"/>
              <w:rPr>
                <w:rFonts w:ascii="Calibri" w:eastAsia="Calibri" w:hAnsi="Calibri"/>
                <w:color w:val="1F497D"/>
              </w:rPr>
            </w:pPr>
            <w:r w:rsidRPr="00D85F1C">
              <w:rPr>
                <w:rFonts w:ascii="Calibri" w:eastAsia="Calibri" w:hAnsi="Calibri"/>
                <w:color w:val="1F497D"/>
              </w:rPr>
              <w:t>Promoting entity</w:t>
            </w:r>
          </w:p>
        </w:tc>
      </w:tr>
      <w:tr w:rsidR="00CF1712" w:rsidRPr="00D85F1C" w14:paraId="0DDEE88F" w14:textId="77777777" w:rsidTr="00430191">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268" w:type="dxa"/>
            <w:tcBorders>
              <w:top w:val="nil"/>
              <w:bottom w:val="nil"/>
            </w:tcBorders>
            <w:noWrap/>
            <w:hideMark/>
          </w:tcPr>
          <w:p w14:paraId="5E9BBF4A"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9-Dec-15</w:t>
            </w:r>
          </w:p>
        </w:tc>
        <w:tc>
          <w:tcPr>
            <w:tcW w:w="5954" w:type="dxa"/>
            <w:tcBorders>
              <w:top w:val="nil"/>
              <w:bottom w:val="nil"/>
            </w:tcBorders>
            <w:hideMark/>
          </w:tcPr>
          <w:p w14:paraId="18066123"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Agenda for “Brazil- Japan Technical Cooperation Workshop for Effective Mercury Management in relation to the Minamata Convention”</w:t>
            </w:r>
          </w:p>
        </w:tc>
        <w:tc>
          <w:tcPr>
            <w:tcW w:w="2835" w:type="dxa"/>
            <w:tcBorders>
              <w:top w:val="nil"/>
              <w:bottom w:val="nil"/>
            </w:tcBorders>
            <w:noWrap/>
            <w:hideMark/>
          </w:tcPr>
          <w:p w14:paraId="47C93ABB" w14:textId="77777777" w:rsidR="00CF1712" w:rsidRPr="00D85F1C"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rPr>
            </w:pPr>
            <w:r w:rsidRPr="00D85F1C">
              <w:rPr>
                <w:rFonts w:ascii="Calibri" w:eastAsia="Calibri" w:hAnsi="Calibri"/>
                <w:color w:val="1F497D"/>
              </w:rPr>
              <w:t>Ministry of Environment</w:t>
            </w:r>
          </w:p>
        </w:tc>
      </w:tr>
      <w:tr w:rsidR="00CF1712" w:rsidRPr="00D85F1C" w14:paraId="2316E0F6" w14:textId="77777777" w:rsidTr="00430191">
        <w:trPr>
          <w:trHeight w:val="600"/>
        </w:trPr>
        <w:tc>
          <w:tcPr>
            <w:cnfStyle w:val="001000000000" w:firstRow="0" w:lastRow="0" w:firstColumn="1" w:lastColumn="0" w:oddVBand="0" w:evenVBand="0" w:oddHBand="0" w:evenHBand="0" w:firstRowFirstColumn="0" w:firstRowLastColumn="0" w:lastRowFirstColumn="0" w:lastRowLastColumn="0"/>
            <w:tcW w:w="1268" w:type="dxa"/>
            <w:tcBorders>
              <w:top w:val="nil"/>
              <w:left w:val="nil"/>
              <w:bottom w:val="nil"/>
              <w:right w:val="nil"/>
            </w:tcBorders>
            <w:noWrap/>
            <w:hideMark/>
          </w:tcPr>
          <w:p w14:paraId="3B8C7A82"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23-Oct-15</w:t>
            </w:r>
          </w:p>
        </w:tc>
        <w:tc>
          <w:tcPr>
            <w:tcW w:w="5954" w:type="dxa"/>
            <w:tcBorders>
              <w:top w:val="nil"/>
              <w:left w:val="nil"/>
              <w:bottom w:val="nil"/>
              <w:right w:val="nil"/>
            </w:tcBorders>
            <w:hideMark/>
          </w:tcPr>
          <w:p w14:paraId="1744AEC9" w14:textId="77777777" w:rsidR="00CF1712" w:rsidRPr="00430191" w:rsidRDefault="00CF1712" w:rsidP="00430191">
            <w:pPr>
              <w:spacing w:after="200"/>
              <w:cnfStyle w:val="000000000000" w:firstRow="0" w:lastRow="0" w:firstColumn="0" w:lastColumn="0" w:oddVBand="0" w:evenVBand="0" w:oddHBand="0"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International Seminar on Health Systems Contemporary Management</w:t>
            </w:r>
          </w:p>
        </w:tc>
        <w:tc>
          <w:tcPr>
            <w:tcW w:w="2835" w:type="dxa"/>
            <w:tcBorders>
              <w:top w:val="nil"/>
              <w:left w:val="nil"/>
              <w:bottom w:val="nil"/>
              <w:right w:val="nil"/>
            </w:tcBorders>
            <w:noWrap/>
            <w:hideMark/>
          </w:tcPr>
          <w:p w14:paraId="40F21B87" w14:textId="77777777" w:rsidR="00CF1712" w:rsidRPr="00D85F1C" w:rsidRDefault="00CF1712" w:rsidP="00430191">
            <w:pPr>
              <w:spacing w:after="200"/>
              <w:cnfStyle w:val="000000000000" w:firstRow="0" w:lastRow="0" w:firstColumn="0" w:lastColumn="0" w:oddVBand="0" w:evenVBand="0" w:oddHBand="0" w:evenHBand="0" w:firstRowFirstColumn="0" w:firstRowLastColumn="0" w:lastRowFirstColumn="0" w:lastRowLastColumn="0"/>
              <w:rPr>
                <w:rFonts w:ascii="Calibri" w:eastAsia="Calibri" w:hAnsi="Calibri"/>
                <w:color w:val="1F497D"/>
              </w:rPr>
            </w:pPr>
            <w:r w:rsidRPr="00D85F1C">
              <w:rPr>
                <w:rFonts w:ascii="Calibri" w:eastAsia="Calibri" w:hAnsi="Calibri"/>
                <w:color w:val="1F497D"/>
              </w:rPr>
              <w:t>Federal University at Bahia</w:t>
            </w:r>
          </w:p>
        </w:tc>
      </w:tr>
      <w:tr w:rsidR="00CF1712" w:rsidRPr="00D85F1C" w14:paraId="167378E5" w14:textId="77777777" w:rsidTr="0043019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68" w:type="dxa"/>
            <w:tcBorders>
              <w:top w:val="nil"/>
              <w:bottom w:val="nil"/>
            </w:tcBorders>
            <w:noWrap/>
            <w:hideMark/>
          </w:tcPr>
          <w:p w14:paraId="3FC10BD1"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30-Sep-15</w:t>
            </w:r>
          </w:p>
        </w:tc>
        <w:tc>
          <w:tcPr>
            <w:tcW w:w="5954" w:type="dxa"/>
            <w:tcBorders>
              <w:top w:val="nil"/>
              <w:bottom w:val="nil"/>
            </w:tcBorders>
            <w:hideMark/>
          </w:tcPr>
          <w:p w14:paraId="6BEF3195"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Embedding sustainability on purchasing systems: Challenges for the formation of a more mature hospital market</w:t>
            </w:r>
          </w:p>
        </w:tc>
        <w:tc>
          <w:tcPr>
            <w:tcW w:w="2835" w:type="dxa"/>
            <w:tcBorders>
              <w:top w:val="nil"/>
              <w:bottom w:val="nil"/>
            </w:tcBorders>
            <w:noWrap/>
            <w:hideMark/>
          </w:tcPr>
          <w:p w14:paraId="524E071B"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ANAHP: National Association of Private Hospitals</w:t>
            </w:r>
          </w:p>
        </w:tc>
      </w:tr>
      <w:tr w:rsidR="00CF1712" w:rsidRPr="00D85F1C" w14:paraId="37C29AD0" w14:textId="77777777" w:rsidTr="00430191">
        <w:trPr>
          <w:trHeight w:val="600"/>
        </w:trPr>
        <w:tc>
          <w:tcPr>
            <w:cnfStyle w:val="001000000000" w:firstRow="0" w:lastRow="0" w:firstColumn="1" w:lastColumn="0" w:oddVBand="0" w:evenVBand="0" w:oddHBand="0" w:evenHBand="0" w:firstRowFirstColumn="0" w:firstRowLastColumn="0" w:lastRowFirstColumn="0" w:lastRowLastColumn="0"/>
            <w:tcW w:w="1268" w:type="dxa"/>
            <w:tcBorders>
              <w:top w:val="nil"/>
              <w:left w:val="nil"/>
              <w:bottom w:val="nil"/>
              <w:right w:val="nil"/>
            </w:tcBorders>
            <w:noWrap/>
            <w:hideMark/>
          </w:tcPr>
          <w:p w14:paraId="66F193C0"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28-Jul-15</w:t>
            </w:r>
          </w:p>
        </w:tc>
        <w:tc>
          <w:tcPr>
            <w:tcW w:w="5954" w:type="dxa"/>
            <w:tcBorders>
              <w:top w:val="nil"/>
              <w:left w:val="nil"/>
              <w:bottom w:val="nil"/>
              <w:right w:val="nil"/>
            </w:tcBorders>
            <w:hideMark/>
          </w:tcPr>
          <w:p w14:paraId="5CBE0D2E" w14:textId="77777777" w:rsidR="00CF1712" w:rsidRPr="00430191" w:rsidRDefault="00CF1712" w:rsidP="00430191">
            <w:pPr>
              <w:spacing w:after="200"/>
              <w:cnfStyle w:val="000000000000" w:firstRow="0" w:lastRow="0" w:firstColumn="0" w:lastColumn="0" w:oddVBand="0" w:evenVBand="0" w:oddHBand="0"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Initial Evaluation of Development of Minamata Convention on Mercury in Brazil - MIA Project</w:t>
            </w:r>
          </w:p>
        </w:tc>
        <w:tc>
          <w:tcPr>
            <w:tcW w:w="2835" w:type="dxa"/>
            <w:tcBorders>
              <w:top w:val="nil"/>
              <w:left w:val="nil"/>
              <w:bottom w:val="nil"/>
              <w:right w:val="nil"/>
            </w:tcBorders>
            <w:noWrap/>
            <w:hideMark/>
          </w:tcPr>
          <w:p w14:paraId="020C9527" w14:textId="77777777" w:rsidR="00CF1712" w:rsidRPr="00D85F1C" w:rsidRDefault="00CF1712" w:rsidP="00430191">
            <w:pPr>
              <w:spacing w:after="200"/>
              <w:cnfStyle w:val="000000000000" w:firstRow="0" w:lastRow="0" w:firstColumn="0" w:lastColumn="0" w:oddVBand="0" w:evenVBand="0" w:oddHBand="0" w:evenHBand="0" w:firstRowFirstColumn="0" w:firstRowLastColumn="0" w:lastRowFirstColumn="0" w:lastRowLastColumn="0"/>
              <w:rPr>
                <w:rFonts w:ascii="Calibri" w:eastAsia="Calibri" w:hAnsi="Calibri"/>
                <w:color w:val="1F497D"/>
              </w:rPr>
            </w:pPr>
            <w:r w:rsidRPr="00D85F1C">
              <w:rPr>
                <w:rFonts w:ascii="Calibri" w:eastAsia="Calibri" w:hAnsi="Calibri"/>
                <w:color w:val="1F497D"/>
              </w:rPr>
              <w:t>Ministry of Environment</w:t>
            </w:r>
          </w:p>
        </w:tc>
      </w:tr>
      <w:tr w:rsidR="00CF1712" w:rsidRPr="00D85F1C" w14:paraId="6DC26704" w14:textId="77777777" w:rsidTr="004301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8" w:type="dxa"/>
            <w:tcBorders>
              <w:top w:val="nil"/>
              <w:bottom w:val="nil"/>
            </w:tcBorders>
            <w:noWrap/>
            <w:hideMark/>
          </w:tcPr>
          <w:p w14:paraId="3FB9E665"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19-Jun-15</w:t>
            </w:r>
          </w:p>
        </w:tc>
        <w:tc>
          <w:tcPr>
            <w:tcW w:w="5954" w:type="dxa"/>
            <w:tcBorders>
              <w:top w:val="nil"/>
              <w:bottom w:val="nil"/>
            </w:tcBorders>
            <w:hideMark/>
          </w:tcPr>
          <w:p w14:paraId="59C89073"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Meeting to discuss the use of mercury in dentistry</w:t>
            </w:r>
          </w:p>
        </w:tc>
        <w:tc>
          <w:tcPr>
            <w:tcW w:w="2835" w:type="dxa"/>
            <w:tcBorders>
              <w:top w:val="nil"/>
              <w:bottom w:val="nil"/>
            </w:tcBorders>
            <w:noWrap/>
            <w:hideMark/>
          </w:tcPr>
          <w:p w14:paraId="7E5A6ADC"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Regional Council of Dentistry of São Paulo</w:t>
            </w:r>
          </w:p>
        </w:tc>
      </w:tr>
      <w:tr w:rsidR="00CF1712" w:rsidRPr="00D85F1C" w14:paraId="234CC5C6" w14:textId="77777777" w:rsidTr="00430191">
        <w:trPr>
          <w:trHeight w:val="600"/>
        </w:trPr>
        <w:tc>
          <w:tcPr>
            <w:cnfStyle w:val="001000000000" w:firstRow="0" w:lastRow="0" w:firstColumn="1" w:lastColumn="0" w:oddVBand="0" w:evenVBand="0" w:oddHBand="0" w:evenHBand="0" w:firstRowFirstColumn="0" w:firstRowLastColumn="0" w:lastRowFirstColumn="0" w:lastRowLastColumn="0"/>
            <w:tcW w:w="1268" w:type="dxa"/>
            <w:tcBorders>
              <w:top w:val="nil"/>
              <w:left w:val="nil"/>
              <w:bottom w:val="nil"/>
              <w:right w:val="nil"/>
            </w:tcBorders>
            <w:noWrap/>
            <w:hideMark/>
          </w:tcPr>
          <w:p w14:paraId="55F6F046"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7-Apr-15</w:t>
            </w:r>
          </w:p>
        </w:tc>
        <w:tc>
          <w:tcPr>
            <w:tcW w:w="5954" w:type="dxa"/>
            <w:tcBorders>
              <w:top w:val="nil"/>
              <w:left w:val="nil"/>
              <w:bottom w:val="nil"/>
              <w:right w:val="nil"/>
            </w:tcBorders>
            <w:hideMark/>
          </w:tcPr>
          <w:p w14:paraId="7D6C95F4" w14:textId="77777777" w:rsidR="00CF1712" w:rsidRPr="00430191" w:rsidRDefault="00CF1712" w:rsidP="00430191">
            <w:pPr>
              <w:spacing w:after="200"/>
              <w:cnfStyle w:val="000000000000" w:firstRow="0" w:lastRow="0" w:firstColumn="0" w:lastColumn="0" w:oddVBand="0" w:evenVBand="0" w:oddHBand="0"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Videoconference: Waste Management and mercury devices banishment in the health care of the penitentiary system</w:t>
            </w:r>
          </w:p>
        </w:tc>
        <w:tc>
          <w:tcPr>
            <w:tcW w:w="2835" w:type="dxa"/>
            <w:tcBorders>
              <w:top w:val="nil"/>
              <w:left w:val="nil"/>
              <w:bottom w:val="nil"/>
              <w:right w:val="nil"/>
            </w:tcBorders>
            <w:noWrap/>
            <w:hideMark/>
          </w:tcPr>
          <w:p w14:paraId="49C19A64" w14:textId="77777777" w:rsidR="00CF1712" w:rsidRPr="00D85F1C" w:rsidRDefault="00CF1712" w:rsidP="00430191">
            <w:pPr>
              <w:spacing w:after="200"/>
              <w:cnfStyle w:val="000000000000" w:firstRow="0" w:lastRow="0" w:firstColumn="0" w:lastColumn="0" w:oddVBand="0" w:evenVBand="0" w:oddHBand="0" w:evenHBand="0" w:firstRowFirstColumn="0" w:firstRowLastColumn="0" w:lastRowFirstColumn="0" w:lastRowLastColumn="0"/>
              <w:rPr>
                <w:rFonts w:ascii="Calibri" w:eastAsia="Calibri" w:hAnsi="Calibri"/>
                <w:color w:val="1F497D"/>
              </w:rPr>
            </w:pPr>
            <w:r w:rsidRPr="00D85F1C">
              <w:rPr>
                <w:rFonts w:ascii="Calibri" w:eastAsia="Calibri" w:hAnsi="Calibri"/>
                <w:color w:val="1F497D"/>
              </w:rPr>
              <w:t>Department of Prisons Administration</w:t>
            </w:r>
          </w:p>
        </w:tc>
      </w:tr>
      <w:tr w:rsidR="00CF1712" w:rsidRPr="00D85F1C" w14:paraId="25521AFF" w14:textId="77777777" w:rsidTr="0043019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68" w:type="dxa"/>
            <w:tcBorders>
              <w:top w:val="nil"/>
              <w:bottom w:val="single" w:sz="8" w:space="0" w:color="4F81BD"/>
            </w:tcBorders>
            <w:noWrap/>
            <w:hideMark/>
          </w:tcPr>
          <w:p w14:paraId="534BEF6E" w14:textId="77777777" w:rsidR="00CF1712" w:rsidRPr="00D85F1C" w:rsidRDefault="00CF1712" w:rsidP="00430191">
            <w:pPr>
              <w:spacing w:after="200"/>
              <w:rPr>
                <w:rFonts w:ascii="Calibri" w:eastAsia="Calibri" w:hAnsi="Calibri"/>
                <w:color w:val="1F497D"/>
              </w:rPr>
            </w:pPr>
            <w:r w:rsidRPr="00D85F1C">
              <w:rPr>
                <w:rFonts w:ascii="Calibri" w:eastAsia="Calibri" w:hAnsi="Calibri"/>
                <w:color w:val="1F497D"/>
              </w:rPr>
              <w:t>31-Mar-15</w:t>
            </w:r>
          </w:p>
        </w:tc>
        <w:tc>
          <w:tcPr>
            <w:tcW w:w="5954" w:type="dxa"/>
            <w:tcBorders>
              <w:top w:val="nil"/>
              <w:bottom w:val="single" w:sz="8" w:space="0" w:color="4F81BD"/>
            </w:tcBorders>
            <w:hideMark/>
          </w:tcPr>
          <w:p w14:paraId="232D3923"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National Conference: replace, reduce, treat and dispose safely waste and hazardous substances for health services</w:t>
            </w:r>
          </w:p>
        </w:tc>
        <w:tc>
          <w:tcPr>
            <w:tcW w:w="2835" w:type="dxa"/>
            <w:tcBorders>
              <w:top w:val="nil"/>
              <w:bottom w:val="single" w:sz="8" w:space="0" w:color="4F81BD"/>
            </w:tcBorders>
            <w:noWrap/>
            <w:hideMark/>
          </w:tcPr>
          <w:p w14:paraId="18F5B5F4" w14:textId="77777777" w:rsidR="00CF1712" w:rsidRPr="00430191" w:rsidRDefault="00CF1712" w:rsidP="00430191">
            <w:pPr>
              <w:spacing w:after="200"/>
              <w:cnfStyle w:val="000000100000" w:firstRow="0" w:lastRow="0" w:firstColumn="0" w:lastColumn="0" w:oddVBand="0" w:evenVBand="0" w:oddHBand="1" w:evenHBand="0" w:firstRowFirstColumn="0" w:firstRowLastColumn="0" w:lastRowFirstColumn="0" w:lastRowLastColumn="0"/>
              <w:rPr>
                <w:rFonts w:ascii="Calibri" w:eastAsia="Calibri" w:hAnsi="Calibri"/>
                <w:color w:val="1F497D"/>
                <w:lang w:val="en-US"/>
              </w:rPr>
            </w:pPr>
            <w:r w:rsidRPr="00E22C35">
              <w:rPr>
                <w:rFonts w:ascii="Calibri" w:eastAsia="Calibri" w:hAnsi="Calibri"/>
                <w:color w:val="1F497D"/>
              </w:rPr>
              <w:t>National Confederation of Health Care Cooperatives (UNIMED Brazil)</w:t>
            </w:r>
          </w:p>
        </w:tc>
      </w:tr>
    </w:tbl>
    <w:p w14:paraId="08F1A4EE" w14:textId="77777777" w:rsidR="00CF1712" w:rsidRDefault="00CF1712" w:rsidP="00596D18">
      <w:pPr>
        <w:widowControl w:val="0"/>
        <w:tabs>
          <w:tab w:val="center" w:pos="4680"/>
        </w:tabs>
        <w:autoSpaceDE w:val="0"/>
        <w:autoSpaceDN w:val="0"/>
        <w:adjustRightInd w:val="0"/>
        <w:rPr>
          <w:bCs/>
          <w:iCs/>
        </w:rPr>
      </w:pPr>
    </w:p>
    <w:p w14:paraId="3950F649" w14:textId="77777777" w:rsidR="00CF1712" w:rsidRDefault="00CF1712" w:rsidP="00596D18">
      <w:pPr>
        <w:widowControl w:val="0"/>
        <w:tabs>
          <w:tab w:val="center" w:pos="4680"/>
        </w:tabs>
        <w:autoSpaceDE w:val="0"/>
        <w:autoSpaceDN w:val="0"/>
        <w:adjustRightInd w:val="0"/>
        <w:rPr>
          <w:bCs/>
          <w:iCs/>
        </w:rPr>
      </w:pPr>
    </w:p>
    <w:p w14:paraId="72050E5B" w14:textId="77777777" w:rsidR="00CF1712" w:rsidRDefault="00CF1712" w:rsidP="00596D18">
      <w:pPr>
        <w:widowControl w:val="0"/>
        <w:tabs>
          <w:tab w:val="center" w:pos="4680"/>
        </w:tabs>
        <w:autoSpaceDE w:val="0"/>
        <w:autoSpaceDN w:val="0"/>
        <w:adjustRightInd w:val="0"/>
        <w:rPr>
          <w:bCs/>
          <w:iCs/>
        </w:rPr>
      </w:pPr>
    </w:p>
    <w:p w14:paraId="7785D0C4" w14:textId="77777777" w:rsidR="00596D18" w:rsidRDefault="00596D18" w:rsidP="009C4E9C">
      <w:pPr>
        <w:pStyle w:val="Heading1"/>
      </w:pPr>
      <w:r>
        <w:lastRenderedPageBreak/>
        <w:t xml:space="preserve">Tools and Resources </w:t>
      </w:r>
      <w:r>
        <w:tab/>
      </w:r>
    </w:p>
    <w:p w14:paraId="63A6ED3B" w14:textId="77777777" w:rsidR="00596D18" w:rsidRDefault="00596D18" w:rsidP="000613BA">
      <w:pPr>
        <w:widowControl w:val="0"/>
        <w:autoSpaceDE w:val="0"/>
        <w:autoSpaceDN w:val="0"/>
        <w:adjustRightInd w:val="0"/>
        <w:rPr>
          <w:bCs/>
          <w:iCs/>
        </w:rPr>
      </w:pPr>
    </w:p>
    <w:p w14:paraId="15E7DE5B" w14:textId="4D1EEF1C" w:rsidR="00596D18" w:rsidRDefault="00596D18" w:rsidP="000613BA">
      <w:pPr>
        <w:widowControl w:val="0"/>
        <w:autoSpaceDE w:val="0"/>
        <w:autoSpaceDN w:val="0"/>
        <w:adjustRightInd w:val="0"/>
        <w:rPr>
          <w:bCs/>
          <w:iCs/>
        </w:rPr>
      </w:pPr>
      <w:r>
        <w:rPr>
          <w:bCs/>
          <w:iCs/>
        </w:rPr>
        <w:t xml:space="preserve">The following </w:t>
      </w:r>
      <w:r w:rsidR="006F580F">
        <w:rPr>
          <w:bCs/>
          <w:iCs/>
        </w:rPr>
        <w:t xml:space="preserve">websites, </w:t>
      </w:r>
      <w:r>
        <w:rPr>
          <w:bCs/>
          <w:iCs/>
        </w:rPr>
        <w:t xml:space="preserve">tools and resources have been disseminated as part of the project.  </w:t>
      </w:r>
    </w:p>
    <w:p w14:paraId="6318E688" w14:textId="4F0B558D" w:rsidR="00596D18" w:rsidRDefault="00596D18" w:rsidP="000613BA">
      <w:pPr>
        <w:widowControl w:val="0"/>
        <w:autoSpaceDE w:val="0"/>
        <w:autoSpaceDN w:val="0"/>
        <w:adjustRightInd w:val="0"/>
        <w:rPr>
          <w:rStyle w:val="Hyperlink"/>
          <w:bCs/>
          <w:iCs/>
        </w:rPr>
      </w:pPr>
    </w:p>
    <w:p w14:paraId="36C7ED06" w14:textId="49D4A4D1" w:rsidR="006F580F" w:rsidRDefault="006F580F" w:rsidP="000613BA">
      <w:pPr>
        <w:widowControl w:val="0"/>
        <w:autoSpaceDE w:val="0"/>
        <w:autoSpaceDN w:val="0"/>
        <w:adjustRightInd w:val="0"/>
        <w:rPr>
          <w:rStyle w:val="Hyperlink"/>
          <w:bCs/>
          <w:iCs/>
        </w:rPr>
      </w:pPr>
      <w:r>
        <w:rPr>
          <w:rStyle w:val="Hyperlink"/>
          <w:bCs/>
          <w:iCs/>
        </w:rPr>
        <w:t xml:space="preserve">Health Care Without Harm Go Mercury Free pages:  </w:t>
      </w:r>
      <w:hyperlink r:id="rId17" w:history="1">
        <w:r w:rsidRPr="006A320D">
          <w:rPr>
            <w:rStyle w:val="Hyperlink"/>
            <w:bCs/>
            <w:iCs/>
          </w:rPr>
          <w:t>https://noharm-uscanada.org/issues/us-canada/go-mercury-free</w:t>
        </w:r>
      </w:hyperlink>
    </w:p>
    <w:p w14:paraId="36CF6981" w14:textId="77777777" w:rsidR="006F580F" w:rsidRDefault="006F580F" w:rsidP="000613BA">
      <w:pPr>
        <w:widowControl w:val="0"/>
        <w:autoSpaceDE w:val="0"/>
        <w:autoSpaceDN w:val="0"/>
        <w:adjustRightInd w:val="0"/>
        <w:rPr>
          <w:rStyle w:val="Hyperlink"/>
          <w:bCs/>
          <w:iCs/>
        </w:rPr>
      </w:pPr>
    </w:p>
    <w:p w14:paraId="12D2E0FA" w14:textId="10D072BF" w:rsidR="006F580F" w:rsidRDefault="006F580F" w:rsidP="000613BA">
      <w:pPr>
        <w:widowControl w:val="0"/>
        <w:autoSpaceDE w:val="0"/>
        <w:autoSpaceDN w:val="0"/>
        <w:adjustRightInd w:val="0"/>
        <w:rPr>
          <w:bCs/>
          <w:iCs/>
        </w:rPr>
      </w:pPr>
      <w:r>
        <w:rPr>
          <w:bCs/>
          <w:iCs/>
        </w:rPr>
        <w:t xml:space="preserve">HCWH Mercury Elimination Guides for Hospitals (English, Spanish and Portuguese) </w:t>
      </w:r>
      <w:hyperlink r:id="rId18" w:anchor="guides" w:history="1">
        <w:r w:rsidRPr="006A320D">
          <w:rPr>
            <w:rStyle w:val="Hyperlink"/>
            <w:bCs/>
            <w:iCs/>
          </w:rPr>
          <w:t>https://noharm-global.org/issues/global/mercury-tools-and-resources#guides</w:t>
        </w:r>
      </w:hyperlink>
    </w:p>
    <w:p w14:paraId="00DDE6DB" w14:textId="77777777" w:rsidR="006F580F" w:rsidRDefault="006F580F" w:rsidP="000613BA">
      <w:pPr>
        <w:widowControl w:val="0"/>
        <w:autoSpaceDE w:val="0"/>
        <w:autoSpaceDN w:val="0"/>
        <w:adjustRightInd w:val="0"/>
        <w:rPr>
          <w:bCs/>
          <w:iCs/>
        </w:rPr>
      </w:pPr>
    </w:p>
    <w:p w14:paraId="5BEE10DC" w14:textId="3367E3A7" w:rsidR="006F580F" w:rsidRDefault="006F580F" w:rsidP="000613BA">
      <w:pPr>
        <w:widowControl w:val="0"/>
        <w:autoSpaceDE w:val="0"/>
        <w:autoSpaceDN w:val="0"/>
        <w:adjustRightInd w:val="0"/>
        <w:rPr>
          <w:bCs/>
          <w:iCs/>
        </w:rPr>
      </w:pPr>
      <w:r>
        <w:rPr>
          <w:bCs/>
          <w:iCs/>
        </w:rPr>
        <w:t xml:space="preserve">WHO Developing national strategies for Phasing Out Mercury-Containing thermometers and sphygmomanometers in health care, including in the context of the Minamata Convention on Mercury:  Key considerations and step-by-step guidance.  </w:t>
      </w:r>
      <w:hyperlink r:id="rId19" w:history="1">
        <w:r w:rsidRPr="006A320D">
          <w:rPr>
            <w:rStyle w:val="Hyperlink"/>
            <w:bCs/>
            <w:iCs/>
          </w:rPr>
          <w:t>http://www.who.int/ipcs/assessment/public_health/WHOGuidanceReportonMercury2015.pdf</w:t>
        </w:r>
      </w:hyperlink>
    </w:p>
    <w:p w14:paraId="6029F8C6" w14:textId="77777777" w:rsidR="006F580F" w:rsidRDefault="006F580F" w:rsidP="000613BA">
      <w:pPr>
        <w:widowControl w:val="0"/>
        <w:autoSpaceDE w:val="0"/>
        <w:autoSpaceDN w:val="0"/>
        <w:adjustRightInd w:val="0"/>
        <w:rPr>
          <w:bCs/>
          <w:iCs/>
        </w:rPr>
      </w:pPr>
    </w:p>
    <w:p w14:paraId="339554D0" w14:textId="24815617" w:rsidR="006F580F" w:rsidRDefault="006F580F" w:rsidP="000613BA">
      <w:pPr>
        <w:widowControl w:val="0"/>
        <w:autoSpaceDE w:val="0"/>
        <w:autoSpaceDN w:val="0"/>
        <w:adjustRightInd w:val="0"/>
        <w:rPr>
          <w:bCs/>
          <w:iCs/>
        </w:rPr>
      </w:pPr>
      <w:r>
        <w:rPr>
          <w:bCs/>
          <w:iCs/>
        </w:rPr>
        <w:t xml:space="preserve">WHO Replacement of mercury thermometers and sphygmomanometers in health care.  Technical guidance. WHO 2011 (English, Russian, Spanish) </w:t>
      </w:r>
    </w:p>
    <w:p w14:paraId="45E039D8" w14:textId="1C4E8006" w:rsidR="006F580F" w:rsidRDefault="006F580F" w:rsidP="000613BA">
      <w:pPr>
        <w:widowControl w:val="0"/>
        <w:autoSpaceDE w:val="0"/>
        <w:autoSpaceDN w:val="0"/>
        <w:adjustRightInd w:val="0"/>
        <w:rPr>
          <w:bCs/>
          <w:iCs/>
        </w:rPr>
      </w:pPr>
      <w:r w:rsidRPr="006F580F">
        <w:rPr>
          <w:bCs/>
          <w:iCs/>
        </w:rPr>
        <w:t>http://www.who.int/water_sanitation_health/publications/2011/mercury_thermometers/en/</w:t>
      </w:r>
    </w:p>
    <w:p w14:paraId="0ED4509C" w14:textId="77777777" w:rsidR="006F580F" w:rsidRDefault="006F580F" w:rsidP="000613BA">
      <w:pPr>
        <w:widowControl w:val="0"/>
        <w:autoSpaceDE w:val="0"/>
        <w:autoSpaceDN w:val="0"/>
        <w:adjustRightInd w:val="0"/>
        <w:rPr>
          <w:bCs/>
          <w:iCs/>
        </w:rPr>
      </w:pPr>
    </w:p>
    <w:p w14:paraId="4D50D562" w14:textId="40CE805B" w:rsidR="00596D18" w:rsidRDefault="006F580F" w:rsidP="000613BA">
      <w:pPr>
        <w:widowControl w:val="0"/>
        <w:autoSpaceDE w:val="0"/>
        <w:autoSpaceDN w:val="0"/>
        <w:adjustRightInd w:val="0"/>
        <w:rPr>
          <w:rStyle w:val="Hyperlink"/>
          <w:bCs/>
          <w:iCs/>
        </w:rPr>
      </w:pPr>
      <w:r>
        <w:t xml:space="preserve">Global Green and Healthy Hospitals </w:t>
      </w:r>
      <w:hyperlink r:id="rId20" w:history="1">
        <w:r w:rsidR="00596D18" w:rsidRPr="00076498">
          <w:rPr>
            <w:rStyle w:val="Hyperlink"/>
            <w:bCs/>
            <w:iCs/>
          </w:rPr>
          <w:t>www.greenhospitals.net</w:t>
        </w:r>
      </w:hyperlink>
    </w:p>
    <w:p w14:paraId="05B6B14C" w14:textId="776C5A58" w:rsidR="006F580F" w:rsidRDefault="006F580F" w:rsidP="000613BA">
      <w:pPr>
        <w:widowControl w:val="0"/>
        <w:autoSpaceDE w:val="0"/>
        <w:autoSpaceDN w:val="0"/>
        <w:adjustRightInd w:val="0"/>
        <w:rPr>
          <w:bCs/>
          <w:iCs/>
        </w:rPr>
      </w:pPr>
      <w:r>
        <w:rPr>
          <w:rStyle w:val="Hyperlink"/>
          <w:bCs/>
          <w:iCs/>
        </w:rPr>
        <w:t xml:space="preserve">Case studies in mercury phase-out in the chemicals section: </w:t>
      </w:r>
      <w:r w:rsidRPr="006F580F">
        <w:rPr>
          <w:rStyle w:val="Hyperlink"/>
          <w:bCs/>
          <w:iCs/>
        </w:rPr>
        <w:t>http://greenhospitals.net/en/case-studies/</w:t>
      </w:r>
    </w:p>
    <w:p w14:paraId="5302A2D5" w14:textId="77777777" w:rsidR="006F580F" w:rsidRDefault="006F580F" w:rsidP="000613BA">
      <w:pPr>
        <w:widowControl w:val="0"/>
        <w:autoSpaceDE w:val="0"/>
        <w:autoSpaceDN w:val="0"/>
        <w:adjustRightInd w:val="0"/>
        <w:rPr>
          <w:bCs/>
          <w:iCs/>
        </w:rPr>
      </w:pPr>
    </w:p>
    <w:p w14:paraId="48E59D4B" w14:textId="4922148B" w:rsidR="006F580F" w:rsidRDefault="009C4E9C" w:rsidP="000613BA">
      <w:pPr>
        <w:widowControl w:val="0"/>
        <w:autoSpaceDE w:val="0"/>
        <w:autoSpaceDN w:val="0"/>
        <w:adjustRightInd w:val="0"/>
        <w:rPr>
          <w:bCs/>
          <w:iCs/>
        </w:rPr>
      </w:pPr>
      <w:r>
        <w:rPr>
          <w:bCs/>
          <w:iCs/>
        </w:rPr>
        <w:t>Proje</w:t>
      </w:r>
      <w:r w:rsidR="006F580F">
        <w:rPr>
          <w:bCs/>
          <w:iCs/>
        </w:rPr>
        <w:t>to Hospitais Saudaveis Mercury elimination site and hospital survey (in Portuguese)</w:t>
      </w:r>
    </w:p>
    <w:p w14:paraId="3116F29C" w14:textId="77777777" w:rsidR="00596D18" w:rsidRDefault="00596D18" w:rsidP="000613BA">
      <w:pPr>
        <w:widowControl w:val="0"/>
        <w:autoSpaceDE w:val="0"/>
        <w:autoSpaceDN w:val="0"/>
        <w:adjustRightInd w:val="0"/>
        <w:rPr>
          <w:bCs/>
          <w:iCs/>
        </w:rPr>
      </w:pPr>
      <w:r w:rsidRPr="00596D18">
        <w:rPr>
          <w:bCs/>
          <w:iCs/>
        </w:rPr>
        <w:t>http://www.hospitaissaudaveis.org/campanha_saude_livre_de_mercurio.asp</w:t>
      </w:r>
    </w:p>
    <w:p w14:paraId="586614A0" w14:textId="77777777" w:rsidR="00992BF0" w:rsidRDefault="00992BF0" w:rsidP="000613BA">
      <w:pPr>
        <w:widowControl w:val="0"/>
        <w:autoSpaceDE w:val="0"/>
        <w:autoSpaceDN w:val="0"/>
        <w:adjustRightInd w:val="0"/>
        <w:rPr>
          <w:bCs/>
          <w:iCs/>
        </w:rPr>
      </w:pPr>
    </w:p>
    <w:p w14:paraId="3E1DD0D7" w14:textId="13D352ED" w:rsidR="00E21AE8" w:rsidRPr="00B674EF" w:rsidRDefault="00E21AE8">
      <w:pPr>
        <w:rPr>
          <w:bCs/>
          <w:iCs/>
        </w:rPr>
      </w:pPr>
    </w:p>
    <w:sectPr w:rsidR="00E21AE8" w:rsidRPr="00B674EF">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A5B0D" w14:textId="77777777" w:rsidR="00C700E8" w:rsidRDefault="00C700E8" w:rsidP="00B674EF">
      <w:r>
        <w:separator/>
      </w:r>
    </w:p>
  </w:endnote>
  <w:endnote w:type="continuationSeparator" w:id="0">
    <w:p w14:paraId="5F1DD4DA" w14:textId="77777777" w:rsidR="00C700E8" w:rsidRDefault="00C700E8" w:rsidP="00B67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E6E89" w14:textId="22C9A707" w:rsidR="00B674EF" w:rsidRPr="009C4E9C" w:rsidRDefault="00B674EF" w:rsidP="009C4E9C">
    <w:pPr>
      <w:jc w:val="center"/>
      <w:rPr>
        <w:rFonts w:ascii="Calibri" w:hAnsi="Calibri" w:cs="Calibri"/>
        <w:bCs/>
      </w:rPr>
    </w:pPr>
    <w:r w:rsidRPr="009C4E9C">
      <w:rPr>
        <w:rFonts w:ascii="Calibri" w:hAnsi="Calibri" w:cs="Calibri"/>
        <w:bCs/>
      </w:rPr>
      <w:t>Health Care Without Harm</w:t>
    </w:r>
    <w:r w:rsidR="009C4E9C" w:rsidRPr="009C4E9C">
      <w:rPr>
        <w:rFonts w:ascii="Calibri" w:hAnsi="Calibri" w:cs="Calibri"/>
        <w:bCs/>
      </w:rPr>
      <w:t xml:space="preserve">:  </w:t>
    </w:r>
    <w:r w:rsidRPr="009C4E9C">
      <w:rPr>
        <w:rFonts w:ascii="Calibri" w:hAnsi="Calibri" w:cs="Calibri"/>
        <w:bCs/>
      </w:rPr>
      <w:t xml:space="preserve">PHASE-OUT OF MERCURY FEVER THERMOMETERS AND BLOOD PRESSURE DEVICES IN HEALTH CARE IN BRAZIL AND SOUTH AFRICA </w:t>
    </w:r>
  </w:p>
  <w:p w14:paraId="76526602" w14:textId="77777777" w:rsidR="00B674EF" w:rsidRDefault="00B674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21BF5" w14:textId="77777777" w:rsidR="00C700E8" w:rsidRDefault="00C700E8" w:rsidP="00B674EF">
      <w:r>
        <w:separator/>
      </w:r>
    </w:p>
  </w:footnote>
  <w:footnote w:type="continuationSeparator" w:id="0">
    <w:p w14:paraId="10BC2352" w14:textId="77777777" w:rsidR="00C700E8" w:rsidRDefault="00C700E8" w:rsidP="00B674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B10DE"/>
    <w:multiLevelType w:val="hybridMultilevel"/>
    <w:tmpl w:val="4A52A6DE"/>
    <w:lvl w:ilvl="0" w:tplc="BB982E16">
      <w:start w:val="1"/>
      <w:numFmt w:val="decimal"/>
      <w:lvlText w:val="%1."/>
      <w:lvlJc w:val="left"/>
      <w:pPr>
        <w:ind w:left="720" w:hanging="360"/>
      </w:pPr>
      <w:rPr>
        <w:rFonts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764BCE"/>
    <w:multiLevelType w:val="hybridMultilevel"/>
    <w:tmpl w:val="EA7C2E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C25EE9"/>
    <w:multiLevelType w:val="hybridMultilevel"/>
    <w:tmpl w:val="C2689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D59068E"/>
    <w:multiLevelType w:val="hybridMultilevel"/>
    <w:tmpl w:val="4E62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AE8"/>
    <w:rsid w:val="00025768"/>
    <w:rsid w:val="000613BA"/>
    <w:rsid w:val="000F2B38"/>
    <w:rsid w:val="00123084"/>
    <w:rsid w:val="001317D2"/>
    <w:rsid w:val="00142CDC"/>
    <w:rsid w:val="001B30F6"/>
    <w:rsid w:val="0023386F"/>
    <w:rsid w:val="00365510"/>
    <w:rsid w:val="004616E1"/>
    <w:rsid w:val="00497032"/>
    <w:rsid w:val="005773A7"/>
    <w:rsid w:val="00596D18"/>
    <w:rsid w:val="005C295F"/>
    <w:rsid w:val="006F580F"/>
    <w:rsid w:val="00702C8A"/>
    <w:rsid w:val="00771352"/>
    <w:rsid w:val="007F386C"/>
    <w:rsid w:val="009613E0"/>
    <w:rsid w:val="00992BF0"/>
    <w:rsid w:val="009C4E9C"/>
    <w:rsid w:val="00B674EF"/>
    <w:rsid w:val="00C700E8"/>
    <w:rsid w:val="00CF1712"/>
    <w:rsid w:val="00D54CB6"/>
    <w:rsid w:val="00DE6A24"/>
    <w:rsid w:val="00E21AE8"/>
    <w:rsid w:val="00F630E9"/>
    <w:rsid w:val="00FB3A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A3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character" w:customStyle="1" w:styleId="il">
    <w:name w:val="il"/>
    <w:basedOn w:val="DefaultParagraphFont"/>
    <w:rsid w:val="00E21AE8"/>
  </w:style>
  <w:style w:type="character" w:customStyle="1" w:styleId="apple-converted-space">
    <w:name w:val="apple-converted-space"/>
    <w:basedOn w:val="DefaultParagraphFont"/>
    <w:rsid w:val="00E21AE8"/>
  </w:style>
  <w:style w:type="paragraph" w:styleId="NormalWeb">
    <w:name w:val="Normal (Web)"/>
    <w:basedOn w:val="Normal"/>
    <w:uiPriority w:val="99"/>
    <w:semiHidden/>
    <w:unhideWhenUsed/>
    <w:rsid w:val="00E21AE8"/>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713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352"/>
    <w:rPr>
      <w:rFonts w:ascii="Segoe UI" w:hAnsi="Segoe UI" w:cs="Segoe UI"/>
      <w:sz w:val="18"/>
      <w:szCs w:val="18"/>
    </w:rPr>
  </w:style>
  <w:style w:type="character" w:styleId="CommentReference">
    <w:name w:val="annotation reference"/>
    <w:basedOn w:val="DefaultParagraphFont"/>
    <w:uiPriority w:val="99"/>
    <w:semiHidden/>
    <w:unhideWhenUsed/>
    <w:rsid w:val="00596D18"/>
    <w:rPr>
      <w:sz w:val="16"/>
      <w:szCs w:val="16"/>
    </w:rPr>
  </w:style>
  <w:style w:type="paragraph" w:styleId="CommentText">
    <w:name w:val="annotation text"/>
    <w:basedOn w:val="Normal"/>
    <w:link w:val="CommentTextChar"/>
    <w:uiPriority w:val="99"/>
    <w:unhideWhenUsed/>
    <w:rsid w:val="00596D18"/>
    <w:rPr>
      <w:sz w:val="20"/>
      <w:szCs w:val="20"/>
    </w:rPr>
  </w:style>
  <w:style w:type="character" w:customStyle="1" w:styleId="CommentTextChar">
    <w:name w:val="Comment Text Char"/>
    <w:basedOn w:val="DefaultParagraphFont"/>
    <w:link w:val="CommentText"/>
    <w:uiPriority w:val="99"/>
    <w:rsid w:val="00596D18"/>
    <w:rPr>
      <w:sz w:val="20"/>
      <w:szCs w:val="20"/>
    </w:rPr>
  </w:style>
  <w:style w:type="paragraph" w:styleId="CommentSubject">
    <w:name w:val="annotation subject"/>
    <w:basedOn w:val="CommentText"/>
    <w:next w:val="CommentText"/>
    <w:link w:val="CommentSubjectChar"/>
    <w:uiPriority w:val="99"/>
    <w:semiHidden/>
    <w:unhideWhenUsed/>
    <w:rsid w:val="00596D18"/>
    <w:rPr>
      <w:b/>
      <w:bCs/>
    </w:rPr>
  </w:style>
  <w:style w:type="character" w:customStyle="1" w:styleId="CommentSubjectChar">
    <w:name w:val="Comment Subject Char"/>
    <w:basedOn w:val="CommentTextChar"/>
    <w:link w:val="CommentSubject"/>
    <w:uiPriority w:val="99"/>
    <w:semiHidden/>
    <w:rsid w:val="00596D18"/>
    <w:rPr>
      <w:b/>
      <w:bCs/>
      <w:sz w:val="20"/>
      <w:szCs w:val="20"/>
    </w:rPr>
  </w:style>
  <w:style w:type="table" w:customStyle="1" w:styleId="SombreamentoClaro-nfase11">
    <w:name w:val="Sombreamento Claro - Ênfase 11"/>
    <w:basedOn w:val="TableNormal"/>
    <w:next w:val="LightShading-Accent1"/>
    <w:uiPriority w:val="60"/>
    <w:rsid w:val="004616E1"/>
    <w:rPr>
      <w:rFonts w:ascii="Times New Roman" w:eastAsia="Times New Roman" w:hAnsi="Times New Roman" w:cs="Times New Roman"/>
      <w:color w:val="365F91"/>
      <w:sz w:val="20"/>
      <w:szCs w:val="20"/>
      <w:lang w:val="pt-BR" w:eastAsia="pt-BR"/>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1">
    <w:name w:val="Light Shading Accent 1"/>
    <w:basedOn w:val="TableNormal"/>
    <w:uiPriority w:val="60"/>
    <w:semiHidden/>
    <w:unhideWhenUsed/>
    <w:rsid w:val="004616E1"/>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Header">
    <w:name w:val="header"/>
    <w:basedOn w:val="Normal"/>
    <w:link w:val="HeaderChar"/>
    <w:uiPriority w:val="99"/>
    <w:unhideWhenUsed/>
    <w:rsid w:val="00B674EF"/>
    <w:pPr>
      <w:tabs>
        <w:tab w:val="center" w:pos="4680"/>
        <w:tab w:val="right" w:pos="9360"/>
      </w:tabs>
    </w:pPr>
  </w:style>
  <w:style w:type="character" w:customStyle="1" w:styleId="HeaderChar">
    <w:name w:val="Header Char"/>
    <w:basedOn w:val="DefaultParagraphFont"/>
    <w:link w:val="Header"/>
    <w:uiPriority w:val="99"/>
    <w:rsid w:val="00B674EF"/>
  </w:style>
  <w:style w:type="paragraph" w:styleId="Footer">
    <w:name w:val="footer"/>
    <w:basedOn w:val="Normal"/>
    <w:link w:val="FooterChar"/>
    <w:uiPriority w:val="99"/>
    <w:unhideWhenUsed/>
    <w:rsid w:val="00B674EF"/>
    <w:pPr>
      <w:tabs>
        <w:tab w:val="center" w:pos="4680"/>
        <w:tab w:val="right" w:pos="9360"/>
      </w:tabs>
    </w:pPr>
  </w:style>
  <w:style w:type="character" w:customStyle="1" w:styleId="FooterChar">
    <w:name w:val="Footer Char"/>
    <w:basedOn w:val="DefaultParagraphFont"/>
    <w:link w:val="Footer"/>
    <w:uiPriority w:val="99"/>
    <w:rsid w:val="00B674EF"/>
  </w:style>
  <w:style w:type="character" w:customStyle="1" w:styleId="aqj">
    <w:name w:val="aqj"/>
    <w:basedOn w:val="DefaultParagraphFont"/>
    <w:rsid w:val="00702C8A"/>
  </w:style>
  <w:style w:type="table" w:customStyle="1" w:styleId="SombreamentoClaro-nfase111">
    <w:name w:val="Sombreamento Claro - Ênfase 111"/>
    <w:basedOn w:val="TableNormal"/>
    <w:next w:val="LightShading-Accent1"/>
    <w:uiPriority w:val="60"/>
    <w:rsid w:val="00CF1712"/>
    <w:rPr>
      <w:rFonts w:ascii="Times New Roman" w:eastAsia="Times New Roman" w:hAnsi="Times New Roman" w:cs="Times New Roman"/>
      <w:color w:val="365F91"/>
      <w:sz w:val="20"/>
      <w:szCs w:val="20"/>
      <w:lang w:val="pt-BR" w:eastAsia="pt-BR"/>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character" w:customStyle="1" w:styleId="il">
    <w:name w:val="il"/>
    <w:basedOn w:val="DefaultParagraphFont"/>
    <w:rsid w:val="00E21AE8"/>
  </w:style>
  <w:style w:type="character" w:customStyle="1" w:styleId="apple-converted-space">
    <w:name w:val="apple-converted-space"/>
    <w:basedOn w:val="DefaultParagraphFont"/>
    <w:rsid w:val="00E21AE8"/>
  </w:style>
  <w:style w:type="paragraph" w:styleId="NormalWeb">
    <w:name w:val="Normal (Web)"/>
    <w:basedOn w:val="Normal"/>
    <w:uiPriority w:val="99"/>
    <w:semiHidden/>
    <w:unhideWhenUsed/>
    <w:rsid w:val="00E21AE8"/>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713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352"/>
    <w:rPr>
      <w:rFonts w:ascii="Segoe UI" w:hAnsi="Segoe UI" w:cs="Segoe UI"/>
      <w:sz w:val="18"/>
      <w:szCs w:val="18"/>
    </w:rPr>
  </w:style>
  <w:style w:type="character" w:styleId="CommentReference">
    <w:name w:val="annotation reference"/>
    <w:basedOn w:val="DefaultParagraphFont"/>
    <w:uiPriority w:val="99"/>
    <w:semiHidden/>
    <w:unhideWhenUsed/>
    <w:rsid w:val="00596D18"/>
    <w:rPr>
      <w:sz w:val="16"/>
      <w:szCs w:val="16"/>
    </w:rPr>
  </w:style>
  <w:style w:type="paragraph" w:styleId="CommentText">
    <w:name w:val="annotation text"/>
    <w:basedOn w:val="Normal"/>
    <w:link w:val="CommentTextChar"/>
    <w:uiPriority w:val="99"/>
    <w:unhideWhenUsed/>
    <w:rsid w:val="00596D18"/>
    <w:rPr>
      <w:sz w:val="20"/>
      <w:szCs w:val="20"/>
    </w:rPr>
  </w:style>
  <w:style w:type="character" w:customStyle="1" w:styleId="CommentTextChar">
    <w:name w:val="Comment Text Char"/>
    <w:basedOn w:val="DefaultParagraphFont"/>
    <w:link w:val="CommentText"/>
    <w:uiPriority w:val="99"/>
    <w:rsid w:val="00596D18"/>
    <w:rPr>
      <w:sz w:val="20"/>
      <w:szCs w:val="20"/>
    </w:rPr>
  </w:style>
  <w:style w:type="paragraph" w:styleId="CommentSubject">
    <w:name w:val="annotation subject"/>
    <w:basedOn w:val="CommentText"/>
    <w:next w:val="CommentText"/>
    <w:link w:val="CommentSubjectChar"/>
    <w:uiPriority w:val="99"/>
    <w:semiHidden/>
    <w:unhideWhenUsed/>
    <w:rsid w:val="00596D18"/>
    <w:rPr>
      <w:b/>
      <w:bCs/>
    </w:rPr>
  </w:style>
  <w:style w:type="character" w:customStyle="1" w:styleId="CommentSubjectChar">
    <w:name w:val="Comment Subject Char"/>
    <w:basedOn w:val="CommentTextChar"/>
    <w:link w:val="CommentSubject"/>
    <w:uiPriority w:val="99"/>
    <w:semiHidden/>
    <w:rsid w:val="00596D18"/>
    <w:rPr>
      <w:b/>
      <w:bCs/>
      <w:sz w:val="20"/>
      <w:szCs w:val="20"/>
    </w:rPr>
  </w:style>
  <w:style w:type="table" w:customStyle="1" w:styleId="SombreamentoClaro-nfase11">
    <w:name w:val="Sombreamento Claro - Ênfase 11"/>
    <w:basedOn w:val="TableNormal"/>
    <w:next w:val="LightShading-Accent1"/>
    <w:uiPriority w:val="60"/>
    <w:rsid w:val="004616E1"/>
    <w:rPr>
      <w:rFonts w:ascii="Times New Roman" w:eastAsia="Times New Roman" w:hAnsi="Times New Roman" w:cs="Times New Roman"/>
      <w:color w:val="365F91"/>
      <w:sz w:val="20"/>
      <w:szCs w:val="20"/>
      <w:lang w:val="pt-BR" w:eastAsia="pt-BR"/>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1">
    <w:name w:val="Light Shading Accent 1"/>
    <w:basedOn w:val="TableNormal"/>
    <w:uiPriority w:val="60"/>
    <w:semiHidden/>
    <w:unhideWhenUsed/>
    <w:rsid w:val="004616E1"/>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Header">
    <w:name w:val="header"/>
    <w:basedOn w:val="Normal"/>
    <w:link w:val="HeaderChar"/>
    <w:uiPriority w:val="99"/>
    <w:unhideWhenUsed/>
    <w:rsid w:val="00B674EF"/>
    <w:pPr>
      <w:tabs>
        <w:tab w:val="center" w:pos="4680"/>
        <w:tab w:val="right" w:pos="9360"/>
      </w:tabs>
    </w:pPr>
  </w:style>
  <w:style w:type="character" w:customStyle="1" w:styleId="HeaderChar">
    <w:name w:val="Header Char"/>
    <w:basedOn w:val="DefaultParagraphFont"/>
    <w:link w:val="Header"/>
    <w:uiPriority w:val="99"/>
    <w:rsid w:val="00B674EF"/>
  </w:style>
  <w:style w:type="paragraph" w:styleId="Footer">
    <w:name w:val="footer"/>
    <w:basedOn w:val="Normal"/>
    <w:link w:val="FooterChar"/>
    <w:uiPriority w:val="99"/>
    <w:unhideWhenUsed/>
    <w:rsid w:val="00B674EF"/>
    <w:pPr>
      <w:tabs>
        <w:tab w:val="center" w:pos="4680"/>
        <w:tab w:val="right" w:pos="9360"/>
      </w:tabs>
    </w:pPr>
  </w:style>
  <w:style w:type="character" w:customStyle="1" w:styleId="FooterChar">
    <w:name w:val="Footer Char"/>
    <w:basedOn w:val="DefaultParagraphFont"/>
    <w:link w:val="Footer"/>
    <w:uiPriority w:val="99"/>
    <w:rsid w:val="00B674EF"/>
  </w:style>
  <w:style w:type="character" w:customStyle="1" w:styleId="aqj">
    <w:name w:val="aqj"/>
    <w:basedOn w:val="DefaultParagraphFont"/>
    <w:rsid w:val="00702C8A"/>
  </w:style>
  <w:style w:type="table" w:customStyle="1" w:styleId="SombreamentoClaro-nfase111">
    <w:name w:val="Sombreamento Claro - Ênfase 111"/>
    <w:basedOn w:val="TableNormal"/>
    <w:next w:val="LightShading-Accent1"/>
    <w:uiPriority w:val="60"/>
    <w:rsid w:val="00CF1712"/>
    <w:rPr>
      <w:rFonts w:ascii="Times New Roman" w:eastAsia="Times New Roman" w:hAnsi="Times New Roman" w:cs="Times New Roman"/>
      <w:color w:val="365F91"/>
      <w:sz w:val="20"/>
      <w:szCs w:val="20"/>
      <w:lang w:val="pt-BR" w:eastAsia="pt-BR"/>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828741">
      <w:bodyDiv w:val="1"/>
      <w:marLeft w:val="0"/>
      <w:marRight w:val="0"/>
      <w:marTop w:val="0"/>
      <w:marBottom w:val="0"/>
      <w:divBdr>
        <w:top w:val="none" w:sz="0" w:space="0" w:color="auto"/>
        <w:left w:val="none" w:sz="0" w:space="0" w:color="auto"/>
        <w:bottom w:val="none" w:sz="0" w:space="0" w:color="auto"/>
        <w:right w:val="none" w:sz="0" w:space="0" w:color="auto"/>
      </w:divBdr>
    </w:div>
    <w:div w:id="881794910">
      <w:bodyDiv w:val="1"/>
      <w:marLeft w:val="0"/>
      <w:marRight w:val="0"/>
      <w:marTop w:val="0"/>
      <w:marBottom w:val="0"/>
      <w:divBdr>
        <w:top w:val="none" w:sz="0" w:space="0" w:color="auto"/>
        <w:left w:val="none" w:sz="0" w:space="0" w:color="auto"/>
        <w:bottom w:val="none" w:sz="0" w:space="0" w:color="auto"/>
        <w:right w:val="none" w:sz="0" w:space="0" w:color="auto"/>
      </w:divBdr>
      <w:divsChild>
        <w:div w:id="705716939">
          <w:marLeft w:val="0"/>
          <w:marRight w:val="0"/>
          <w:marTop w:val="0"/>
          <w:marBottom w:val="0"/>
          <w:divBdr>
            <w:top w:val="none" w:sz="0" w:space="0" w:color="auto"/>
            <w:left w:val="none" w:sz="0" w:space="0" w:color="auto"/>
            <w:bottom w:val="none" w:sz="0" w:space="0" w:color="auto"/>
            <w:right w:val="none" w:sz="0" w:space="0" w:color="auto"/>
          </w:divBdr>
          <w:divsChild>
            <w:div w:id="1067920268">
              <w:marLeft w:val="0"/>
              <w:marRight w:val="0"/>
              <w:marTop w:val="0"/>
              <w:marBottom w:val="0"/>
              <w:divBdr>
                <w:top w:val="none" w:sz="0" w:space="0" w:color="auto"/>
                <w:left w:val="none" w:sz="0" w:space="0" w:color="auto"/>
                <w:bottom w:val="none" w:sz="0" w:space="0" w:color="auto"/>
                <w:right w:val="none" w:sz="0" w:space="0" w:color="auto"/>
              </w:divBdr>
              <w:divsChild>
                <w:div w:id="152759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23961">
          <w:marLeft w:val="0"/>
          <w:marRight w:val="0"/>
          <w:marTop w:val="0"/>
          <w:marBottom w:val="0"/>
          <w:divBdr>
            <w:top w:val="none" w:sz="0" w:space="0" w:color="auto"/>
            <w:left w:val="none" w:sz="0" w:space="0" w:color="auto"/>
            <w:bottom w:val="none" w:sz="0" w:space="0" w:color="auto"/>
            <w:right w:val="none" w:sz="0" w:space="0" w:color="auto"/>
          </w:divBdr>
        </w:div>
        <w:div w:id="1806854397">
          <w:marLeft w:val="0"/>
          <w:marRight w:val="0"/>
          <w:marTop w:val="0"/>
          <w:marBottom w:val="0"/>
          <w:divBdr>
            <w:top w:val="none" w:sz="0" w:space="0" w:color="auto"/>
            <w:left w:val="none" w:sz="0" w:space="0" w:color="auto"/>
            <w:bottom w:val="none" w:sz="0" w:space="0" w:color="auto"/>
            <w:right w:val="none" w:sz="0" w:space="0" w:color="auto"/>
          </w:divBdr>
        </w:div>
      </w:divsChild>
    </w:div>
    <w:div w:id="969869613">
      <w:bodyDiv w:val="1"/>
      <w:marLeft w:val="0"/>
      <w:marRight w:val="0"/>
      <w:marTop w:val="0"/>
      <w:marBottom w:val="0"/>
      <w:divBdr>
        <w:top w:val="none" w:sz="0" w:space="0" w:color="auto"/>
        <w:left w:val="none" w:sz="0" w:space="0" w:color="auto"/>
        <w:bottom w:val="none" w:sz="0" w:space="0" w:color="auto"/>
        <w:right w:val="none" w:sz="0" w:space="0" w:color="auto"/>
      </w:divBdr>
      <w:divsChild>
        <w:div w:id="856235595">
          <w:marLeft w:val="0"/>
          <w:marRight w:val="0"/>
          <w:marTop w:val="0"/>
          <w:marBottom w:val="0"/>
          <w:divBdr>
            <w:top w:val="none" w:sz="0" w:space="0" w:color="auto"/>
            <w:left w:val="none" w:sz="0" w:space="0" w:color="auto"/>
            <w:bottom w:val="none" w:sz="0" w:space="0" w:color="auto"/>
            <w:right w:val="none" w:sz="0" w:space="0" w:color="auto"/>
          </w:divBdr>
        </w:div>
      </w:divsChild>
    </w:div>
    <w:div w:id="1416315846">
      <w:bodyDiv w:val="1"/>
      <w:marLeft w:val="0"/>
      <w:marRight w:val="0"/>
      <w:marTop w:val="0"/>
      <w:marBottom w:val="0"/>
      <w:divBdr>
        <w:top w:val="none" w:sz="0" w:space="0" w:color="auto"/>
        <w:left w:val="none" w:sz="0" w:space="0" w:color="auto"/>
        <w:bottom w:val="none" w:sz="0" w:space="0" w:color="auto"/>
        <w:right w:val="none" w:sz="0" w:space="0" w:color="auto"/>
      </w:divBdr>
    </w:div>
    <w:div w:id="1534877107">
      <w:bodyDiv w:val="1"/>
      <w:marLeft w:val="0"/>
      <w:marRight w:val="0"/>
      <w:marTop w:val="0"/>
      <w:marBottom w:val="0"/>
      <w:divBdr>
        <w:top w:val="none" w:sz="0" w:space="0" w:color="auto"/>
        <w:left w:val="none" w:sz="0" w:space="0" w:color="auto"/>
        <w:bottom w:val="none" w:sz="0" w:space="0" w:color="auto"/>
        <w:right w:val="none" w:sz="0" w:space="0" w:color="auto"/>
      </w:divBdr>
    </w:div>
    <w:div w:id="158972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https://noharm-global.org/issues/global/mercury-tools-and-resourc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cid:image004.jpg@01D13668.104103D0" TargetMode="External"/><Relationship Id="rId17" Type="http://schemas.openxmlformats.org/officeDocument/2006/relationships/hyperlink" Target="https://noharm-uscanada.org/issues/us-canada/go-mercury-free" TargetMode="External"/><Relationship Id="rId2" Type="http://schemas.openxmlformats.org/officeDocument/2006/relationships/numbering" Target="numbering.xml"/><Relationship Id="rId16" Type="http://schemas.openxmlformats.org/officeDocument/2006/relationships/image" Target="cid:image008.jpg@01D13668.104103D0" TargetMode="External"/><Relationship Id="rId20" Type="http://schemas.openxmlformats.org/officeDocument/2006/relationships/hyperlink" Target="http://www.greenhospitals.ne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http://www.hospitaissaudaveis.org/biblioteca_det.asp?biblioteca_id=164" TargetMode="External"/><Relationship Id="rId19" Type="http://schemas.openxmlformats.org/officeDocument/2006/relationships/hyperlink" Target="http://www.who.int/ipcs/assessment/public_health/WHOGuidanceReportonMercury2015.pdf" TargetMode="External"/><Relationship Id="rId4" Type="http://schemas.microsoft.com/office/2007/relationships/stylesWithEffects" Target="stylesWithEffects.xml"/><Relationship Id="rId9" Type="http://schemas.openxmlformats.org/officeDocument/2006/relationships/hyperlink" Target="http://greenhospitals.net/en/members/" TargetMode="External"/><Relationship Id="rId14" Type="http://schemas.openxmlformats.org/officeDocument/2006/relationships/image" Target="cid:image006.jpg@01D13668.104103D0"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20Q\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0</TotalTime>
  <Pages>6</Pages>
  <Words>2149</Words>
  <Characters>12254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United Nations Office at Geneva</Company>
  <LinksUpToDate>false</LinksUpToDate>
  <CharactersWithSpaces>14375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Wilburn</dc:creator>
  <cp:lastModifiedBy>TOUIDJINE</cp:lastModifiedBy>
  <cp:revision>2</cp:revision>
  <cp:lastPrinted>2016-06-03T19:04:00Z</cp:lastPrinted>
  <dcterms:created xsi:type="dcterms:W3CDTF">2016-07-05T10:37:00Z</dcterms:created>
  <dcterms:modified xsi:type="dcterms:W3CDTF">2016-07-05T10:37:00Z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