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A0B8" w14:textId="77777777" w:rsidR="00904D66" w:rsidRPr="008962EE" w:rsidRDefault="00904D66" w:rsidP="00664759">
      <w:pPr>
        <w:spacing w:after="120"/>
        <w:rPr>
          <w:rFonts w:ascii="Roboto" w:eastAsia="Roboto" w:hAnsi="Roboto"/>
          <w:sz w:val="22"/>
          <w:szCs w:val="22"/>
        </w:rPr>
      </w:pPr>
    </w:p>
    <w:p w14:paraId="074C7FA6" w14:textId="77777777" w:rsidR="00904D66" w:rsidRPr="008962EE" w:rsidRDefault="00904D66" w:rsidP="00664759">
      <w:pPr>
        <w:spacing w:after="120"/>
        <w:rPr>
          <w:rFonts w:ascii="Roboto" w:eastAsia="Roboto" w:hAnsi="Roboto"/>
          <w:sz w:val="22"/>
          <w:szCs w:val="22"/>
        </w:rPr>
      </w:pPr>
    </w:p>
    <w:p w14:paraId="1CC9BDC0" w14:textId="77777777" w:rsidR="00904D66" w:rsidRPr="008962EE" w:rsidRDefault="00904D66" w:rsidP="00664759">
      <w:pPr>
        <w:spacing w:after="120"/>
        <w:rPr>
          <w:rFonts w:ascii="Roboto" w:eastAsia="Roboto" w:hAnsi="Roboto"/>
          <w:sz w:val="22"/>
          <w:szCs w:val="22"/>
        </w:rPr>
      </w:pPr>
    </w:p>
    <w:p w14:paraId="02813C4E" w14:textId="5D24CB10" w:rsidR="00904D66" w:rsidRPr="008962EE" w:rsidRDefault="00B67632" w:rsidP="00664759">
      <w:pPr>
        <w:pStyle w:val="ListParagraph"/>
        <w:spacing w:after="120" w:line="240" w:lineRule="auto"/>
        <w:ind w:left="0"/>
        <w:contextualSpacing w:val="0"/>
        <w:jc w:val="center"/>
        <w:rPr>
          <w:rFonts w:ascii="Roboto" w:eastAsia="Roboto" w:hAnsi="Roboto" w:cs="Times New Roman"/>
          <w:sz w:val="32"/>
          <w:szCs w:val="32"/>
        </w:rPr>
      </w:pPr>
      <w:r w:rsidRPr="008962EE">
        <w:rPr>
          <w:rFonts w:ascii="Roboto" w:eastAsia="Roboto" w:hAnsi="Roboto" w:cs="Times New Roman"/>
          <w:b/>
          <w:sz w:val="32"/>
          <w:szCs w:val="32"/>
        </w:rPr>
        <w:t>Elementos para la Sesión:</w:t>
      </w:r>
    </w:p>
    <w:p w14:paraId="32F32FBD" w14:textId="77777777" w:rsidR="00904D66" w:rsidRPr="008962EE" w:rsidRDefault="00904D66" w:rsidP="00664759">
      <w:pPr>
        <w:spacing w:after="120"/>
        <w:jc w:val="center"/>
        <w:rPr>
          <w:rFonts w:ascii="Roboto" w:eastAsia="Roboto" w:hAnsi="Roboto"/>
          <w:sz w:val="32"/>
          <w:szCs w:val="32"/>
        </w:rPr>
      </w:pPr>
    </w:p>
    <w:p w14:paraId="367B305E" w14:textId="5D7AA7A3" w:rsidR="00904D66" w:rsidRPr="008962EE" w:rsidRDefault="00B67632" w:rsidP="00664759">
      <w:pPr>
        <w:pStyle w:val="ListParagraph"/>
        <w:spacing w:after="120" w:line="240" w:lineRule="auto"/>
        <w:ind w:left="0"/>
        <w:contextualSpacing w:val="0"/>
        <w:jc w:val="center"/>
        <w:rPr>
          <w:rFonts w:ascii="Roboto" w:eastAsia="Roboto" w:hAnsi="Roboto" w:cs="Times New Roman"/>
          <w:sz w:val="32"/>
          <w:szCs w:val="32"/>
        </w:rPr>
      </w:pPr>
      <w:r w:rsidRPr="008962EE">
        <w:rPr>
          <w:rFonts w:ascii="Roboto" w:eastAsia="Roboto" w:hAnsi="Roboto" w:cs="Times New Roman"/>
          <w:sz w:val="32"/>
          <w:szCs w:val="32"/>
        </w:rPr>
        <w:t>Finanzas como un</w:t>
      </w:r>
      <w:r w:rsidR="00283F3C" w:rsidRPr="008962EE">
        <w:rPr>
          <w:rFonts w:ascii="Roboto" w:eastAsia="Roboto" w:hAnsi="Roboto" w:cs="Times New Roman"/>
          <w:sz w:val="32"/>
          <w:szCs w:val="32"/>
        </w:rPr>
        <w:t>a</w:t>
      </w:r>
      <w:r w:rsidRPr="008962EE">
        <w:rPr>
          <w:rFonts w:ascii="Roboto" w:eastAsia="Roboto" w:hAnsi="Roboto" w:cs="Times New Roman"/>
          <w:sz w:val="32"/>
          <w:szCs w:val="32"/>
        </w:rPr>
        <w:t xml:space="preserve"> </w:t>
      </w:r>
      <w:r w:rsidR="00283F3C" w:rsidRPr="008962EE">
        <w:rPr>
          <w:rFonts w:ascii="Roboto" w:eastAsia="Roboto" w:hAnsi="Roboto" w:cs="Times New Roman"/>
          <w:sz w:val="32"/>
          <w:szCs w:val="32"/>
        </w:rPr>
        <w:t xml:space="preserve">herramienta </w:t>
      </w:r>
      <w:r w:rsidRPr="008962EE">
        <w:rPr>
          <w:rFonts w:ascii="Roboto" w:eastAsia="Roboto" w:hAnsi="Roboto" w:cs="Times New Roman"/>
          <w:sz w:val="32"/>
          <w:szCs w:val="32"/>
        </w:rPr>
        <w:t xml:space="preserve">para promover la </w:t>
      </w:r>
      <w:r w:rsidR="00FA3BBF" w:rsidRPr="008962EE">
        <w:rPr>
          <w:rFonts w:ascii="Roboto" w:eastAsia="Roboto" w:hAnsi="Roboto" w:cs="Times New Roman"/>
          <w:sz w:val="32"/>
          <w:szCs w:val="32"/>
        </w:rPr>
        <w:t>implementación de</w:t>
      </w:r>
      <w:r w:rsidRPr="008962EE">
        <w:rPr>
          <w:rFonts w:ascii="Roboto" w:eastAsia="Roboto" w:hAnsi="Roboto" w:cs="Times New Roman"/>
          <w:sz w:val="32"/>
          <w:szCs w:val="32"/>
        </w:rPr>
        <w:t xml:space="preserve"> la </w:t>
      </w:r>
      <w:r w:rsidR="001D4DDA" w:rsidRPr="008962EE">
        <w:rPr>
          <w:rFonts w:ascii="Roboto" w:eastAsia="Roboto" w:hAnsi="Roboto" w:cs="Times New Roman"/>
          <w:sz w:val="32"/>
          <w:szCs w:val="32"/>
        </w:rPr>
        <w:t>a</w:t>
      </w:r>
      <w:r w:rsidRPr="008962EE">
        <w:rPr>
          <w:rFonts w:ascii="Roboto" w:eastAsia="Roboto" w:hAnsi="Roboto" w:cs="Times New Roman"/>
          <w:sz w:val="32"/>
          <w:szCs w:val="32"/>
        </w:rPr>
        <w:t xml:space="preserve">genda </w:t>
      </w:r>
      <w:r w:rsidR="001D4DDA" w:rsidRPr="008962EE">
        <w:rPr>
          <w:rFonts w:ascii="Roboto" w:eastAsia="Roboto" w:hAnsi="Roboto" w:cs="Times New Roman"/>
          <w:sz w:val="32"/>
          <w:szCs w:val="32"/>
        </w:rPr>
        <w:t>a</w:t>
      </w:r>
      <w:r w:rsidR="009D2B01" w:rsidRPr="008962EE">
        <w:rPr>
          <w:rFonts w:ascii="Roboto" w:eastAsia="Roboto" w:hAnsi="Roboto" w:cs="Times New Roman"/>
          <w:sz w:val="32"/>
          <w:szCs w:val="32"/>
        </w:rPr>
        <w:t xml:space="preserve">mbiental en los países de la </w:t>
      </w:r>
      <w:r w:rsidR="001D4DDA" w:rsidRPr="008962EE">
        <w:rPr>
          <w:rFonts w:ascii="Roboto" w:eastAsia="Roboto" w:hAnsi="Roboto" w:cs="Times New Roman"/>
          <w:sz w:val="32"/>
          <w:szCs w:val="32"/>
        </w:rPr>
        <w:t>región</w:t>
      </w:r>
      <w:r w:rsidRPr="008962EE">
        <w:rPr>
          <w:rFonts w:ascii="Roboto" w:eastAsia="Roboto" w:hAnsi="Roboto" w:cs="Times New Roman"/>
          <w:sz w:val="32"/>
          <w:szCs w:val="32"/>
        </w:rPr>
        <w:t xml:space="preserve"> </w:t>
      </w:r>
      <w:bookmarkStart w:id="0" w:name="_GoBack"/>
      <w:bookmarkEnd w:id="0"/>
    </w:p>
    <w:p w14:paraId="1E39BBC3" w14:textId="036C3EA5" w:rsidR="008962EE" w:rsidRDefault="008962EE">
      <w:pPr>
        <w:rPr>
          <w:rFonts w:ascii="Roboto" w:eastAsia="Roboto" w:hAnsi="Roboto"/>
          <w:sz w:val="32"/>
          <w:szCs w:val="32"/>
        </w:rPr>
      </w:pPr>
      <w:r>
        <w:rPr>
          <w:rFonts w:ascii="Roboto" w:eastAsia="Roboto" w:hAnsi="Roboto"/>
          <w:sz w:val="32"/>
          <w:szCs w:val="32"/>
        </w:rPr>
        <w:br w:type="page"/>
      </w:r>
    </w:p>
    <w:p w14:paraId="6AABE10F" w14:textId="77777777" w:rsidR="00960C5A" w:rsidRPr="008962EE" w:rsidRDefault="00960C5A" w:rsidP="00664759">
      <w:pPr>
        <w:pStyle w:val="ListParagraph"/>
        <w:spacing w:after="120" w:line="240" w:lineRule="auto"/>
        <w:ind w:left="0"/>
        <w:contextualSpacing w:val="0"/>
        <w:jc w:val="center"/>
        <w:rPr>
          <w:rFonts w:ascii="Roboto" w:eastAsia="Roboto" w:hAnsi="Roboto" w:cs="Times New Roman"/>
          <w:sz w:val="32"/>
          <w:szCs w:val="32"/>
        </w:rPr>
      </w:pPr>
    </w:p>
    <w:p w14:paraId="2EFB544D" w14:textId="77777777" w:rsidR="00904D66" w:rsidRPr="008962EE" w:rsidRDefault="00904D66" w:rsidP="00664759">
      <w:pPr>
        <w:spacing w:after="120"/>
        <w:jc w:val="center"/>
        <w:rPr>
          <w:rFonts w:ascii="Roboto" w:eastAsia="Roboto" w:hAnsi="Roboto"/>
          <w:sz w:val="32"/>
          <w:szCs w:val="32"/>
        </w:rPr>
      </w:pPr>
    </w:p>
    <w:p w14:paraId="7ADDD2C1" w14:textId="77777777" w:rsidR="00904D66" w:rsidRPr="008962EE" w:rsidRDefault="00904D66" w:rsidP="00664759">
      <w:pPr>
        <w:keepNext/>
        <w:pBdr>
          <w:top w:val="nil"/>
          <w:left w:val="nil"/>
          <w:bottom w:val="nil"/>
          <w:right w:val="nil"/>
          <w:between w:val="nil"/>
        </w:pBdr>
        <w:spacing w:after="120"/>
        <w:jc w:val="center"/>
        <w:rPr>
          <w:rFonts w:ascii="Roboto" w:eastAsia="Roboto" w:hAnsi="Roboto"/>
          <w:b/>
          <w:color w:val="000000"/>
          <w:sz w:val="32"/>
          <w:szCs w:val="32"/>
        </w:rPr>
      </w:pPr>
    </w:p>
    <w:p w14:paraId="2AEB2C94" w14:textId="77777777" w:rsidR="00904D66" w:rsidRPr="008962EE" w:rsidRDefault="00904D66" w:rsidP="00664759">
      <w:pPr>
        <w:keepNext/>
        <w:pBdr>
          <w:top w:val="nil"/>
          <w:left w:val="nil"/>
          <w:bottom w:val="nil"/>
          <w:right w:val="nil"/>
          <w:between w:val="nil"/>
        </w:pBdr>
        <w:spacing w:after="120"/>
        <w:jc w:val="center"/>
        <w:rPr>
          <w:rFonts w:ascii="Roboto" w:eastAsia="Roboto" w:hAnsi="Roboto"/>
          <w:b/>
          <w:color w:val="000000"/>
          <w:sz w:val="32"/>
          <w:szCs w:val="32"/>
        </w:rPr>
      </w:pPr>
    </w:p>
    <w:bookmarkStart w:id="1" w:name="_gjdgxs" w:colFirst="0" w:colLast="0" w:displacedByCustomXml="next"/>
    <w:bookmarkEnd w:id="1" w:displacedByCustomXml="next"/>
    <w:sdt>
      <w:sdtPr>
        <w:id w:val="-1897192506"/>
        <w:docPartObj>
          <w:docPartGallery w:val="Table of Contents"/>
          <w:docPartUnique/>
        </w:docPartObj>
      </w:sdtPr>
      <w:sdtEndPr>
        <w:rPr>
          <w:rFonts w:ascii="Roboto" w:eastAsia="Roboto" w:hAnsi="Roboto" w:cs="Times New Roman"/>
          <w:bCs/>
          <w:noProof/>
          <w:color w:val="000000"/>
          <w:sz w:val="20"/>
          <w:szCs w:val="20"/>
          <w:lang w:val="es-ES" w:eastAsia="es-ES"/>
        </w:rPr>
      </w:sdtEndPr>
      <w:sdtContent>
        <w:p w14:paraId="17E5E8BB" w14:textId="1C5F885D" w:rsidR="008962EE" w:rsidRPr="00B162DA" w:rsidRDefault="008962EE" w:rsidP="00B162DA">
          <w:pPr>
            <w:pStyle w:val="TOCHeading"/>
            <w:jc w:val="center"/>
            <w:rPr>
              <w:rFonts w:ascii="Roboto" w:hAnsi="Roboto"/>
              <w:color w:val="auto"/>
            </w:rPr>
          </w:pPr>
          <w:proofErr w:type="spellStart"/>
          <w:r w:rsidRPr="00B162DA">
            <w:rPr>
              <w:rFonts w:ascii="Roboto" w:hAnsi="Roboto"/>
              <w:color w:val="auto"/>
            </w:rPr>
            <w:t>Contenido</w:t>
          </w:r>
          <w:proofErr w:type="spellEnd"/>
        </w:p>
        <w:p w14:paraId="17FF093E" w14:textId="79CBDED9" w:rsidR="008962EE" w:rsidRPr="00B162DA" w:rsidRDefault="00B162DA" w:rsidP="00B162DA">
          <w:pPr>
            <w:spacing w:after="120"/>
            <w:rPr>
              <w:rFonts w:ascii="Roboto" w:hAnsi="Roboto"/>
              <w:b/>
              <w:sz w:val="22"/>
              <w:szCs w:val="22"/>
              <w:lang w:val="es-PA" w:eastAsia="en-US"/>
            </w:rPr>
          </w:pPr>
          <w:r w:rsidRPr="00B162DA">
            <w:rPr>
              <w:rFonts w:ascii="Roboto" w:hAnsi="Roboto"/>
              <w:b/>
              <w:sz w:val="22"/>
              <w:szCs w:val="22"/>
              <w:lang w:val="es-PA" w:eastAsia="en-US"/>
            </w:rPr>
            <w:t>Introducción</w:t>
          </w:r>
          <w:r>
            <w:rPr>
              <w:rFonts w:ascii="Roboto" w:hAnsi="Roboto"/>
              <w:b/>
              <w:sz w:val="22"/>
              <w:szCs w:val="22"/>
              <w:lang w:val="es-PA" w:eastAsia="en-US"/>
            </w:rPr>
            <w:t>…………………………………………………………………………………</w:t>
          </w:r>
          <w:proofErr w:type="gramStart"/>
          <w:r>
            <w:rPr>
              <w:rFonts w:ascii="Roboto" w:hAnsi="Roboto"/>
              <w:b/>
              <w:sz w:val="22"/>
              <w:szCs w:val="22"/>
              <w:lang w:val="es-PA" w:eastAsia="en-US"/>
            </w:rPr>
            <w:t>…….</w:t>
          </w:r>
          <w:proofErr w:type="gramEnd"/>
          <w:r>
            <w:rPr>
              <w:rFonts w:ascii="Roboto" w:hAnsi="Roboto"/>
              <w:b/>
              <w:sz w:val="22"/>
              <w:szCs w:val="22"/>
              <w:lang w:val="es-PA" w:eastAsia="en-US"/>
            </w:rPr>
            <w:t>.3</w:t>
          </w:r>
        </w:p>
        <w:p w14:paraId="6A1E02D5" w14:textId="1039BA92" w:rsidR="008962EE" w:rsidRPr="00B162DA" w:rsidRDefault="008962EE" w:rsidP="00B162DA">
          <w:pPr>
            <w:pStyle w:val="Heading7"/>
            <w:rPr>
              <w:sz w:val="22"/>
              <w:szCs w:val="22"/>
              <w:lang w:val="es-PA"/>
            </w:rPr>
          </w:pPr>
          <w:r w:rsidRPr="00B162DA">
            <w:rPr>
              <w:sz w:val="22"/>
              <w:szCs w:val="22"/>
              <w:lang w:val="es-PA"/>
            </w:rPr>
            <w:t>Acelerando la transición: oportunidades para el sector público y privado</w:t>
          </w:r>
          <w:r w:rsidR="00B162DA">
            <w:rPr>
              <w:sz w:val="22"/>
              <w:szCs w:val="22"/>
              <w:lang w:val="es-PA"/>
            </w:rPr>
            <w:t>………</w:t>
          </w:r>
          <w:proofErr w:type="gramStart"/>
          <w:r w:rsidR="00B162DA">
            <w:rPr>
              <w:sz w:val="22"/>
              <w:szCs w:val="22"/>
              <w:lang w:val="es-PA"/>
            </w:rPr>
            <w:t>…….</w:t>
          </w:r>
          <w:proofErr w:type="gramEnd"/>
          <w:r w:rsidR="00B162DA">
            <w:rPr>
              <w:sz w:val="22"/>
              <w:szCs w:val="22"/>
              <w:lang w:val="es-PA"/>
            </w:rPr>
            <w:t>3</w:t>
          </w:r>
        </w:p>
        <w:p w14:paraId="0DCD053D" w14:textId="43928F1A" w:rsidR="008962EE" w:rsidRPr="00B162DA" w:rsidRDefault="00B162DA" w:rsidP="00B162DA">
          <w:pPr>
            <w:pStyle w:val="Heading7"/>
            <w:rPr>
              <w:lang w:val="es-PA" w:eastAsia="en-US"/>
            </w:rPr>
          </w:pPr>
          <w:r w:rsidRPr="00B162DA">
            <w:rPr>
              <w:sz w:val="22"/>
              <w:szCs w:val="22"/>
              <w:lang w:val="es-PA"/>
            </w:rPr>
            <w:t>Propuesta</w:t>
          </w:r>
          <w:r w:rsidRPr="00B162DA">
            <w:rPr>
              <w:sz w:val="22"/>
              <w:szCs w:val="22"/>
            </w:rPr>
            <w:t xml:space="preserve"> para una discusión en el Foro </w:t>
          </w:r>
          <w:r>
            <w:rPr>
              <w:sz w:val="22"/>
              <w:szCs w:val="22"/>
            </w:rPr>
            <w:t>…………………………………………</w:t>
          </w:r>
          <w:proofErr w:type="gramStart"/>
          <w:r>
            <w:rPr>
              <w:sz w:val="22"/>
              <w:szCs w:val="22"/>
            </w:rPr>
            <w:t>…….</w:t>
          </w:r>
          <w:proofErr w:type="gramEnd"/>
          <w:r>
            <w:rPr>
              <w:sz w:val="22"/>
              <w:szCs w:val="22"/>
            </w:rPr>
            <w:t>.…..4</w:t>
          </w:r>
        </w:p>
      </w:sdtContent>
    </w:sdt>
    <w:p w14:paraId="1B19E3FD" w14:textId="77777777" w:rsidR="00904D66" w:rsidRPr="00B162DA" w:rsidRDefault="00904D66" w:rsidP="00664759">
      <w:pPr>
        <w:spacing w:after="120"/>
        <w:rPr>
          <w:rFonts w:ascii="Roboto" w:hAnsi="Roboto"/>
          <w:sz w:val="32"/>
          <w:szCs w:val="32"/>
          <w:lang w:val="es-PA"/>
        </w:rPr>
      </w:pPr>
    </w:p>
    <w:p w14:paraId="417D42B7" w14:textId="77777777" w:rsidR="00904D66" w:rsidRPr="00B162DA" w:rsidRDefault="00904D66" w:rsidP="00664759">
      <w:pPr>
        <w:spacing w:after="120"/>
        <w:rPr>
          <w:rFonts w:ascii="Roboto" w:eastAsia="Roboto" w:hAnsi="Roboto"/>
          <w:sz w:val="22"/>
          <w:szCs w:val="22"/>
          <w:lang w:val="es-PA"/>
        </w:rPr>
      </w:pPr>
    </w:p>
    <w:p w14:paraId="6D1EAA76" w14:textId="77777777" w:rsidR="00904D66" w:rsidRPr="00B162DA" w:rsidRDefault="00904D66" w:rsidP="00664759">
      <w:pPr>
        <w:spacing w:after="120"/>
        <w:rPr>
          <w:rFonts w:ascii="Roboto" w:eastAsia="Roboto" w:hAnsi="Roboto"/>
          <w:sz w:val="22"/>
          <w:szCs w:val="22"/>
          <w:lang w:val="es-PA"/>
        </w:rPr>
      </w:pPr>
    </w:p>
    <w:p w14:paraId="4C7E5280" w14:textId="77777777" w:rsidR="00904D66" w:rsidRPr="00B162DA" w:rsidRDefault="00904D66" w:rsidP="00664759">
      <w:pPr>
        <w:spacing w:after="120"/>
        <w:rPr>
          <w:rFonts w:ascii="Roboto" w:eastAsia="Roboto" w:hAnsi="Roboto"/>
          <w:sz w:val="22"/>
          <w:szCs w:val="22"/>
          <w:lang w:val="es-PA"/>
        </w:rPr>
      </w:pPr>
    </w:p>
    <w:p w14:paraId="252FC60E" w14:textId="77777777" w:rsidR="00904D66" w:rsidRPr="00B162DA" w:rsidRDefault="00B67632" w:rsidP="00664759">
      <w:pPr>
        <w:pStyle w:val="ListParagraph"/>
        <w:keepNext/>
        <w:numPr>
          <w:ilvl w:val="0"/>
          <w:numId w:val="6"/>
        </w:numPr>
        <w:pBdr>
          <w:top w:val="nil"/>
          <w:left w:val="nil"/>
          <w:bottom w:val="nil"/>
          <w:right w:val="nil"/>
          <w:between w:val="nil"/>
        </w:pBdr>
        <w:spacing w:after="120" w:line="240" w:lineRule="auto"/>
        <w:ind w:left="0" w:firstLine="0"/>
        <w:contextualSpacing w:val="0"/>
        <w:rPr>
          <w:rFonts w:ascii="Roboto" w:eastAsia="Roboto" w:hAnsi="Roboto" w:cs="Times New Roman"/>
          <w:b/>
          <w:color w:val="000000"/>
          <w:lang w:val="es-PA"/>
        </w:rPr>
      </w:pPr>
      <w:r w:rsidRPr="00B162DA">
        <w:rPr>
          <w:rFonts w:ascii="Roboto" w:hAnsi="Roboto" w:cs="Times New Roman"/>
          <w:lang w:val="es-PA"/>
        </w:rPr>
        <w:br w:type="page"/>
      </w:r>
    </w:p>
    <w:p w14:paraId="34CDBA7D" w14:textId="2B3199CE" w:rsidR="00904D66" w:rsidRPr="008962EE" w:rsidRDefault="00C15814" w:rsidP="008962EE">
      <w:pPr>
        <w:pStyle w:val="Heading7"/>
      </w:pPr>
      <w:r w:rsidRPr="008962EE">
        <w:lastRenderedPageBreak/>
        <w:t>Introducción</w:t>
      </w:r>
    </w:p>
    <w:p w14:paraId="59B8E04B" w14:textId="77777777" w:rsidR="009D2B01" w:rsidRPr="008962EE" w:rsidRDefault="009D2B01" w:rsidP="009D2B01">
      <w:pPr>
        <w:numPr>
          <w:ilvl w:val="0"/>
          <w:numId w:val="8"/>
        </w:numPr>
        <w:spacing w:after="120"/>
        <w:ind w:left="0" w:firstLine="0"/>
        <w:jc w:val="both"/>
        <w:rPr>
          <w:rFonts w:ascii="Roboto" w:eastAsia="Roboto" w:hAnsi="Roboto"/>
          <w:sz w:val="20"/>
          <w:szCs w:val="20"/>
        </w:rPr>
      </w:pPr>
      <w:bookmarkStart w:id="2" w:name="_Hlk526421887"/>
      <w:r w:rsidRPr="008962EE">
        <w:rPr>
          <w:rFonts w:ascii="Roboto" w:eastAsia="Roboto" w:hAnsi="Roboto"/>
          <w:sz w:val="20"/>
          <w:szCs w:val="20"/>
        </w:rPr>
        <w:t>Según estimaciones de UNCTAD, se requieren entre USD 5-7 billones anuales para cerrar la brecha de financiamiento de los Objetivos de Desarrollo Sostenible (ODS)</w:t>
      </w:r>
      <w:r w:rsidRPr="008962EE">
        <w:rPr>
          <w:rStyle w:val="FootnoteReference"/>
          <w:rFonts w:ascii="Roboto" w:eastAsia="Roboto" w:hAnsi="Roboto"/>
          <w:sz w:val="20"/>
          <w:szCs w:val="20"/>
        </w:rPr>
        <w:footnoteReference w:id="1"/>
      </w:r>
      <w:r w:rsidRPr="008962EE">
        <w:rPr>
          <w:rFonts w:ascii="Roboto" w:eastAsia="Roboto" w:hAnsi="Roboto"/>
          <w:sz w:val="20"/>
          <w:szCs w:val="20"/>
        </w:rPr>
        <w:t xml:space="preserve">. Esto incluye sectores como infraestructura, energía limpia, agua, saneamiento, y agricultura. Esta brecha se incrementará debido al efecto acumulativo. </w:t>
      </w:r>
    </w:p>
    <w:p w14:paraId="248182DA" w14:textId="77777777" w:rsidR="009D2B01" w:rsidRPr="008962EE" w:rsidRDefault="009D2B01" w:rsidP="009D2B01">
      <w:pPr>
        <w:numPr>
          <w:ilvl w:val="0"/>
          <w:numId w:val="8"/>
        </w:numPr>
        <w:spacing w:after="120"/>
        <w:ind w:left="0" w:firstLine="0"/>
        <w:jc w:val="both"/>
        <w:rPr>
          <w:rFonts w:ascii="Roboto" w:eastAsia="Roboto" w:hAnsi="Roboto"/>
          <w:sz w:val="20"/>
          <w:szCs w:val="20"/>
        </w:rPr>
      </w:pPr>
      <w:r w:rsidRPr="008962EE">
        <w:rPr>
          <w:rFonts w:ascii="Roboto" w:eastAsia="Roboto" w:hAnsi="Roboto"/>
          <w:sz w:val="20"/>
          <w:szCs w:val="20"/>
        </w:rPr>
        <w:t>Los aportes del sector público para el financiamiento de los ODS son de crítica importancia, pero insuficientes. Sin la participación del sector privado, será imposible alcanzar la escala que el desafío requiere.</w:t>
      </w:r>
    </w:p>
    <w:p w14:paraId="1785A45D" w14:textId="77777777" w:rsidR="009D2B01" w:rsidRPr="008962EE" w:rsidRDefault="009D2B01" w:rsidP="009D2B01">
      <w:pPr>
        <w:numPr>
          <w:ilvl w:val="0"/>
          <w:numId w:val="8"/>
        </w:numPr>
        <w:spacing w:after="120"/>
        <w:ind w:left="0" w:firstLine="0"/>
        <w:jc w:val="both"/>
        <w:rPr>
          <w:rFonts w:ascii="Roboto" w:eastAsia="Roboto" w:hAnsi="Roboto"/>
          <w:sz w:val="20"/>
          <w:szCs w:val="20"/>
        </w:rPr>
      </w:pPr>
      <w:r w:rsidRPr="008962EE">
        <w:rPr>
          <w:rFonts w:ascii="Roboto" w:eastAsia="Roboto" w:hAnsi="Roboto"/>
          <w:sz w:val="20"/>
          <w:szCs w:val="20"/>
        </w:rPr>
        <w:t xml:space="preserve">Los últimos 25 años de crecimiento en energías renovables presentan lecciones que pueden ser adaptadas a otros sectores. En un corto y mediano plazo, la participación estatal tiene un gran valor agregado para desarrollar sectores pioneros y validar modelos de implementación. Esta participación es también importante para apoyar mecanismos de disminución de riesgo que catalicen inversión privada en sectores llamados “de frontera”, como lo eran las energías renovables 25 años atrás. En el largo plazo, los marcos regulatorios y el poder de fiscalización del estado deben ser los elementos principales para canalizar inversión privada a escala con una participación de apoyo público cada vez menor. </w:t>
      </w:r>
    </w:p>
    <w:p w14:paraId="7CFF3BFA"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sz w:val="20"/>
          <w:szCs w:val="20"/>
        </w:rPr>
        <w:t xml:space="preserve">Para alcanzar los niveles de inversión requeridos, es necesario un enfoque integrado que asegure cohesión normativa entre ministerios, organismos reguladores del sector financiero y sector privado. También es necesario una hoja de ruta adaptada a las condiciones nacionales con medidas concretas de cambio. ONU Medio Ambiente </w:t>
      </w:r>
      <w:r w:rsidRPr="008962EE">
        <w:rPr>
          <w:rFonts w:ascii="Roboto" w:eastAsia="Roboto" w:hAnsi="Roboto" w:cs="Times New Roman"/>
          <w:sz w:val="20"/>
          <w:szCs w:val="20"/>
        </w:rPr>
        <w:t xml:space="preserve">y el Banco Mundial </w:t>
      </w:r>
      <w:r w:rsidRPr="008962EE">
        <w:rPr>
          <w:rFonts w:ascii="Roboto" w:eastAsia="Roboto" w:hAnsi="Roboto"/>
          <w:sz w:val="20"/>
          <w:szCs w:val="20"/>
        </w:rPr>
        <w:t xml:space="preserve">han explorado un rango de acciones </w:t>
      </w:r>
      <w:r w:rsidRPr="008962EE">
        <w:rPr>
          <w:rFonts w:ascii="Roboto" w:eastAsia="Roboto" w:hAnsi="Roboto" w:cs="Times New Roman"/>
          <w:sz w:val="20"/>
          <w:szCs w:val="20"/>
        </w:rPr>
        <w:t xml:space="preserve">para </w:t>
      </w:r>
      <w:r w:rsidRPr="008962EE">
        <w:rPr>
          <w:rFonts w:ascii="Roboto" w:eastAsia="Roboto" w:hAnsi="Roboto"/>
          <w:sz w:val="20"/>
          <w:szCs w:val="20"/>
        </w:rPr>
        <w:t>promover inversiones público-privadas a escala para el logro de los ODS</w:t>
      </w:r>
      <w:r w:rsidRPr="008962EE">
        <w:rPr>
          <w:rStyle w:val="FootnoteReference"/>
          <w:rFonts w:ascii="Roboto" w:eastAsia="Roboto" w:hAnsi="Roboto"/>
          <w:sz w:val="20"/>
          <w:szCs w:val="20"/>
        </w:rPr>
        <w:footnoteReference w:id="2"/>
      </w:r>
      <w:r w:rsidRPr="008962EE">
        <w:rPr>
          <w:rFonts w:ascii="Roboto" w:eastAsia="Roboto" w:hAnsi="Roboto"/>
          <w:sz w:val="20"/>
          <w:szCs w:val="20"/>
        </w:rPr>
        <w:t xml:space="preserve">. </w:t>
      </w:r>
    </w:p>
    <w:p w14:paraId="66ACEEDD"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 xml:space="preserve">Sin embargo, el grueso de las inversiones público y privadas continúan desalineadas con los ODS. Por ejemplo, mientras que el sector de bosques y cambio de uso de suelo poseen más del 30% de la solución climática (en términos de proporcionar opciones factibles y rentables de mitigación), estas áreas actualmente reciben menos del 3% del financiamiento público para el clima. </w:t>
      </w:r>
    </w:p>
    <w:p w14:paraId="135476AB" w14:textId="77777777" w:rsidR="009D2B01" w:rsidRPr="008962EE" w:rsidRDefault="009D2B01" w:rsidP="009D2B01">
      <w:pPr>
        <w:spacing w:after="120"/>
        <w:rPr>
          <w:rFonts w:ascii="Roboto" w:eastAsia="Roboto" w:hAnsi="Roboto"/>
          <w:sz w:val="20"/>
          <w:szCs w:val="20"/>
        </w:rPr>
      </w:pPr>
    </w:p>
    <w:p w14:paraId="2A59448E" w14:textId="77777777" w:rsidR="009D2B01" w:rsidRPr="008962EE" w:rsidRDefault="009D2B01" w:rsidP="008962EE">
      <w:pPr>
        <w:pStyle w:val="Heading7"/>
      </w:pPr>
      <w:r w:rsidRPr="008962EE">
        <w:t>Acelerando la transición: oportunidades para el sector público y privado</w:t>
      </w:r>
    </w:p>
    <w:p w14:paraId="3DA7CB89"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Las proyecciones de financiamiento ambiental, aunque lejos de estar a los niveles necesarios, muestran tendencias positivas. El elemento de discusión no parece ser tanto si las energías renovables, transporte bajo en carbono o una agricultura compatible con la preservación de ecosistemas terminarán dominando estos sectores, sino si esta transición ocurrirá en tiempo de evitar impactos ambientales probablemente irreversibles.</w:t>
      </w:r>
    </w:p>
    <w:p w14:paraId="69381957"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 xml:space="preserve">De hecho, en el sector de energías renovables y mayor eficiencia en su uso, las finanzas privadas están contribuyendo de forma significativa a una economía baja en carbono. En el año 2015, se invirtieron globalmente USD 286 mil millones, lo cual es 2 veces más que lo invertido en el sector de carbón, petróleo y gas. En varias partes de Europa y los Estados Unidos, la energía eólica y solar es competitiva con carbón y petróleo sin necesidad de subsidios públicos. Si a esto se le agrega el internalizar los costos sociales de emisión, los combustibles fósiles no serían competitivos en varias economías. La experiencia del mercado europeo de emisiones (EU-ETS) es clara en este respecto. </w:t>
      </w:r>
    </w:p>
    <w:p w14:paraId="2830FEE4" w14:textId="77777777" w:rsidR="009D2B01" w:rsidRPr="008962EE" w:rsidRDefault="009D2B01" w:rsidP="009D2B01">
      <w:pPr>
        <w:pStyle w:val="ListParagraph"/>
        <w:numPr>
          <w:ilvl w:val="0"/>
          <w:numId w:val="8"/>
        </w:numPr>
        <w:spacing w:after="120" w:line="240" w:lineRule="auto"/>
        <w:ind w:left="0" w:firstLine="0"/>
        <w:contextualSpacing w:val="0"/>
        <w:rPr>
          <w:rFonts w:ascii="Roboto" w:eastAsia="Roboto" w:hAnsi="Roboto" w:cs="Times New Roman"/>
          <w:color w:val="000000"/>
          <w:sz w:val="20"/>
          <w:szCs w:val="20"/>
        </w:rPr>
      </w:pPr>
      <w:r w:rsidRPr="008962EE">
        <w:rPr>
          <w:rFonts w:ascii="Roboto" w:eastAsia="Roboto" w:hAnsi="Roboto" w:cs="Times New Roman"/>
          <w:color w:val="000000"/>
          <w:sz w:val="20"/>
          <w:szCs w:val="20"/>
        </w:rPr>
        <w:t>En la escala regional, la Cooperación Sur-Sur también puede significar un aporte importante al proceso de transición hacia una economía baja en carbono, no solo en términos de incrementar el financiamiento disponible, sino y especialmente en el fortalecimiento de la gestión del conocimiento asociado a la mejora de la calidad e impacto de las acciones.</w:t>
      </w:r>
    </w:p>
    <w:p w14:paraId="7AAF33F6" w14:textId="77777777" w:rsidR="009D2B01" w:rsidRPr="008962EE" w:rsidRDefault="009D2B01" w:rsidP="009D2B01">
      <w:pPr>
        <w:numPr>
          <w:ilvl w:val="0"/>
          <w:numId w:val="8"/>
        </w:numPr>
        <w:spacing w:after="120"/>
        <w:ind w:left="0" w:firstLine="0"/>
        <w:jc w:val="both"/>
        <w:rPr>
          <w:rFonts w:ascii="Roboto" w:eastAsia="Roboto" w:hAnsi="Roboto"/>
          <w:sz w:val="20"/>
          <w:szCs w:val="20"/>
        </w:rPr>
      </w:pPr>
      <w:r w:rsidRPr="008962EE">
        <w:rPr>
          <w:rFonts w:ascii="Roboto" w:eastAsia="Roboto" w:hAnsi="Roboto"/>
          <w:color w:val="000000"/>
          <w:sz w:val="20"/>
          <w:szCs w:val="20"/>
        </w:rPr>
        <w:t>En la región de LAC ya están bajo implementación un número de experiencias con resultados positivos y capacidad de ser replicadas mediante cooperación Sur-Sur. Por ejemplo, políticas de crédito verde en Brasil que favorecen a empresas comprometidas en limpiar de deforestación sus cadenas de producción. Vemos en la región experiencias avanzadas en facilitar crédito, e igualmente importante, previsibilidad en inversiones para energías renovables. También se deben mencionar las experiencias de establecer un precio al carbono y la adopción de sistemas de comercio de emisiones, que están siendo implementadas en Costa Rica, Chile, Colombia y México entre otros.</w:t>
      </w:r>
    </w:p>
    <w:p w14:paraId="2E695AFB"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lastRenderedPageBreak/>
        <w:t xml:space="preserve">Esta transición debe ser promovida y acelerada en sectores clave como consumo y producción sostenible, agricultura y transporte, entre otros. Iniciativas impulsadas por ONU Medio Ambiente como la Red de Banca Sostenible, facilidades financieras, y acuerdos con banca privada para la canalización de recursos hacia el desarrollo sostenible están logrando integrar riesgos y oportunidades ambientales en los modelos de negocios. La banca privada en colaboración con ONU Ambiente ha comprometido líneas de financiamiento por 11 mil millones USD para uso sostenible del suelo. El establecimiento de facilidades financieras, por ejemplo, en la India, ha permitido acuerdos entre la banca privada y el gobierno para financiar la adopción de fertilizantes no químicos en el sector agropecuario, generando una serie de beneficios ambientales y sociales (por ejemplo, no contaminación de cursos de agua; menores riesgos de salud) y al mismo tiempo ahorros de divisas para el gobierno en el orden de los cientos de millones de dólares. </w:t>
      </w:r>
    </w:p>
    <w:p w14:paraId="1AD41758" w14:textId="4C791A76"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 xml:space="preserve">La aceleración de la transición hacia modelos de producción y consumo compatibles con la preservación de servicios ambientales clave requiere apoyar al sector privado a que gradualmente adopte en sus operaciones salvaguardas sociales y ambientales, y que el acceso a la financiación esté </w:t>
      </w:r>
      <w:r w:rsidR="002D504E" w:rsidRPr="008962EE">
        <w:rPr>
          <w:rFonts w:ascii="Roboto" w:eastAsia="Roboto" w:hAnsi="Roboto" w:cs="Times New Roman"/>
          <w:sz w:val="20"/>
          <w:szCs w:val="20"/>
        </w:rPr>
        <w:t>alineado</w:t>
      </w:r>
      <w:r w:rsidRPr="008962EE">
        <w:rPr>
          <w:rFonts w:ascii="Roboto" w:eastAsia="Roboto" w:hAnsi="Roboto" w:cs="Times New Roman"/>
          <w:sz w:val="20"/>
          <w:szCs w:val="20"/>
        </w:rPr>
        <w:t xml:space="preserve"> con el cumplimiento de estos estándares. Este proceso ya está en marcha. Bancos líderes del mercado están fortaleciendo su manejo de riesgos para reducir la probabilidad de que clientes corporativos, de banca de inversión y minoristas contribuyan a la deforestación y correspondientes emisiones de gases de efecto invernadero. Estas medidas incluyen, entre otras, un análisis exhaustivo de préstamos e inversiones en sitios de Patrimonio Mundial y áreas protegidas, así como actividades con alto impacto ambiental colateral (descargas tóxicas sin el correspondiente tratamiento).</w:t>
      </w:r>
    </w:p>
    <w:p w14:paraId="55903B5F" w14:textId="77777777" w:rsidR="009D2B01" w:rsidRPr="008962EE" w:rsidRDefault="009D2B01" w:rsidP="009D2B01">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 xml:space="preserve">La voluntad de impulsar el cambio por un número creciente de empresas líderes está también brindando oportunidades para que bancos y otras instituciones financieras desarrollen nuevos productos de préstamo e inversión, en los que el crecimiento de la producción no solo está desacoplado de impactos ambientales significativos, sino que el mismo estimula la generación neta de beneficios ambientales y sociales. </w:t>
      </w:r>
    </w:p>
    <w:p w14:paraId="4E803EB3" w14:textId="77777777" w:rsidR="004C6B15" w:rsidRPr="008962EE" w:rsidRDefault="009D2B01" w:rsidP="004C6B15">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cs="Times New Roman"/>
          <w:sz w:val="20"/>
          <w:szCs w:val="20"/>
        </w:rPr>
        <w:t xml:space="preserve">El aceleramiento de este proceso de transición requiere de un rol clave del Estado, como el actor que fija las reglas de juego y establece incentivos de corto, mediano y largo plazo. Existen barreras regulatorias y económicas que demoran esta transición, incluida la falta de fondos públicos para reducir el riesgo crediticio y otros. Se requiere también de suficientes “pruebas de concepto” que puedan con el tiempo catalizar la formación de una cartera de proyectos financiables y disminuir la percepción de riesgo de invertir o prestar a las empresas de producción de productos básicos sostenibles. </w:t>
      </w:r>
    </w:p>
    <w:p w14:paraId="29F6C8DE" w14:textId="220FAD83" w:rsidR="009D2B01" w:rsidRPr="008962EE" w:rsidRDefault="009D2B01" w:rsidP="004C6B15">
      <w:pPr>
        <w:pStyle w:val="ListParagraph"/>
        <w:numPr>
          <w:ilvl w:val="0"/>
          <w:numId w:val="8"/>
        </w:numPr>
        <w:pBdr>
          <w:top w:val="nil"/>
          <w:left w:val="nil"/>
          <w:bottom w:val="nil"/>
          <w:right w:val="nil"/>
          <w:between w:val="nil"/>
        </w:pBdr>
        <w:spacing w:after="120" w:line="240" w:lineRule="auto"/>
        <w:ind w:left="0" w:firstLine="0"/>
        <w:contextualSpacing w:val="0"/>
        <w:jc w:val="both"/>
        <w:rPr>
          <w:rFonts w:ascii="Roboto" w:eastAsia="Roboto" w:hAnsi="Roboto" w:cs="Times New Roman"/>
          <w:sz w:val="20"/>
          <w:szCs w:val="20"/>
        </w:rPr>
      </w:pPr>
      <w:r w:rsidRPr="008962EE">
        <w:rPr>
          <w:rFonts w:ascii="Roboto" w:eastAsia="Roboto" w:hAnsi="Roboto"/>
          <w:sz w:val="20"/>
          <w:szCs w:val="20"/>
        </w:rPr>
        <w:t xml:space="preserve">Lo anterior pone en evidencia una clara lección de las últimas décadas. </w:t>
      </w:r>
      <w:r w:rsidRPr="008962EE">
        <w:rPr>
          <w:rFonts w:ascii="Roboto" w:eastAsia="Roboto" w:hAnsi="Roboto"/>
          <w:color w:val="000000"/>
          <w:sz w:val="20"/>
          <w:szCs w:val="20"/>
        </w:rPr>
        <w:t>En general los países donde una sola agencia de gobierno tiene la responsabilidad de llevar a cabo políticas de finanzas sostenibles registran una implementación lenta o débil. La cooperación es un factor determinante de éxito e incluye los Ministerios de Finanzas que, a través del código tributario, subsidios y otras herramientas fiscales pueden redirigir inversiones; los Ministerios de Ambiente, que pueden fijar límites a inversiones incompatibles con la preservación del medio ambiente; los bancos públicos con un mandato de desarrollo social y/o ambiental y los organismos que regulan banca privada. Conjuntamente, éstos juegan una función clave al proporcionar orientación a los actores del mercado y desarrollar normas para préstamos, declaraciones y reportes.</w:t>
      </w:r>
    </w:p>
    <w:p w14:paraId="19F7F762" w14:textId="77777777" w:rsidR="00B162DA" w:rsidRDefault="00B162DA" w:rsidP="008962EE">
      <w:pPr>
        <w:pStyle w:val="Heading7"/>
      </w:pPr>
    </w:p>
    <w:p w14:paraId="7B84AB83" w14:textId="7F02655F" w:rsidR="009D2B01" w:rsidRPr="008962EE" w:rsidRDefault="009D2B01" w:rsidP="008962EE">
      <w:pPr>
        <w:pStyle w:val="Heading7"/>
      </w:pPr>
      <w:r w:rsidRPr="008962EE">
        <w:t xml:space="preserve">Propuesta para una discusión en el Foro </w:t>
      </w:r>
    </w:p>
    <w:p w14:paraId="2BB4A9A4" w14:textId="77777777" w:rsidR="009D2B01" w:rsidRPr="008962EE" w:rsidRDefault="009D2B01" w:rsidP="009D2B01">
      <w:pPr>
        <w:numPr>
          <w:ilvl w:val="0"/>
          <w:numId w:val="8"/>
        </w:numPr>
        <w:pBdr>
          <w:top w:val="nil"/>
          <w:left w:val="nil"/>
          <w:bottom w:val="nil"/>
          <w:right w:val="nil"/>
          <w:between w:val="nil"/>
        </w:pBdr>
        <w:spacing w:after="120"/>
        <w:ind w:left="0" w:firstLine="0"/>
        <w:jc w:val="both"/>
        <w:rPr>
          <w:rFonts w:ascii="Roboto" w:eastAsia="Roboto" w:hAnsi="Roboto"/>
          <w:color w:val="000000"/>
          <w:sz w:val="20"/>
          <w:szCs w:val="20"/>
        </w:rPr>
      </w:pPr>
      <w:r w:rsidRPr="008962EE">
        <w:rPr>
          <w:rFonts w:ascii="Roboto" w:eastAsia="Roboto" w:hAnsi="Roboto"/>
          <w:color w:val="000000"/>
          <w:sz w:val="20"/>
          <w:szCs w:val="20"/>
        </w:rPr>
        <w:t>La propuesta para el Foro de Ministros de Medio Ambiente de América Latina y el Caribe es tener un panel de alto nivel que pueda exponer diferentes experiencias de financiamiento y que proporcione opciones para ministros que deseen abordar el tema en sus respectivos países.</w:t>
      </w:r>
    </w:p>
    <w:p w14:paraId="13609F69" w14:textId="4DBCA954" w:rsidR="0022064C" w:rsidRPr="008962EE" w:rsidRDefault="0022064C" w:rsidP="003E0CC2">
      <w:pPr>
        <w:pBdr>
          <w:top w:val="nil"/>
          <w:left w:val="nil"/>
          <w:bottom w:val="nil"/>
          <w:right w:val="nil"/>
          <w:between w:val="nil"/>
        </w:pBdr>
        <w:spacing w:after="120"/>
        <w:jc w:val="center"/>
        <w:rPr>
          <w:rFonts w:ascii="Roboto" w:eastAsia="Roboto" w:hAnsi="Roboto"/>
          <w:color w:val="000000"/>
          <w:sz w:val="20"/>
          <w:szCs w:val="20"/>
        </w:rPr>
      </w:pPr>
    </w:p>
    <w:bookmarkEnd w:id="2"/>
    <w:p w14:paraId="30819703" w14:textId="510E0454" w:rsidR="00904D66" w:rsidRPr="008962EE" w:rsidRDefault="00A2701D" w:rsidP="00A2701D">
      <w:pPr>
        <w:keepNext/>
        <w:keepLines/>
        <w:pBdr>
          <w:top w:val="nil"/>
          <w:left w:val="nil"/>
          <w:bottom w:val="nil"/>
          <w:right w:val="nil"/>
          <w:between w:val="nil"/>
        </w:pBdr>
        <w:spacing w:after="120"/>
        <w:jc w:val="center"/>
        <w:rPr>
          <w:rFonts w:ascii="Wingdings" w:hAnsi="Wingdings"/>
          <w:color w:val="000000"/>
          <w:sz w:val="20"/>
          <w:szCs w:val="20"/>
        </w:rPr>
      </w:pPr>
      <w:r w:rsidRPr="008962EE">
        <w:rPr>
          <w:rFonts w:ascii="Wingdings" w:hAnsi="Wingdings"/>
          <w:color w:val="000000"/>
          <w:sz w:val="20"/>
          <w:szCs w:val="20"/>
        </w:rPr>
        <w:t></w:t>
      </w:r>
      <w:r w:rsidRPr="008962EE">
        <w:rPr>
          <w:rFonts w:ascii="Wingdings" w:hAnsi="Wingdings"/>
          <w:color w:val="000000"/>
          <w:sz w:val="20"/>
          <w:szCs w:val="20"/>
        </w:rPr>
        <w:t></w:t>
      </w:r>
      <w:r w:rsidRPr="008962EE">
        <w:rPr>
          <w:rFonts w:ascii="Wingdings" w:hAnsi="Wingdings"/>
          <w:color w:val="000000"/>
          <w:sz w:val="20"/>
          <w:szCs w:val="20"/>
        </w:rPr>
        <w:t></w:t>
      </w:r>
      <w:r w:rsidRPr="008962EE">
        <w:rPr>
          <w:rFonts w:ascii="Wingdings" w:hAnsi="Wingdings"/>
          <w:color w:val="000000"/>
          <w:sz w:val="20"/>
          <w:szCs w:val="20"/>
        </w:rPr>
        <w:t></w:t>
      </w:r>
      <w:r w:rsidRPr="008962EE">
        <w:rPr>
          <w:rFonts w:ascii="Wingdings" w:hAnsi="Wingdings"/>
          <w:color w:val="000000"/>
          <w:sz w:val="20"/>
          <w:szCs w:val="20"/>
        </w:rPr>
        <w:t></w:t>
      </w:r>
      <w:r w:rsidRPr="008962EE">
        <w:rPr>
          <w:rFonts w:ascii="Wingdings" w:hAnsi="Wingdings"/>
          <w:color w:val="000000"/>
          <w:sz w:val="20"/>
          <w:szCs w:val="20"/>
        </w:rPr>
        <w:t></w:t>
      </w:r>
      <w:r w:rsidRPr="008962EE">
        <w:rPr>
          <w:rFonts w:ascii="Wingdings" w:hAnsi="Wingdings"/>
          <w:color w:val="000000"/>
          <w:sz w:val="20"/>
          <w:szCs w:val="20"/>
        </w:rPr>
        <w:t></w:t>
      </w:r>
    </w:p>
    <w:p w14:paraId="768B1498" w14:textId="77777777" w:rsidR="00904D66" w:rsidRPr="008962EE" w:rsidRDefault="00904D66" w:rsidP="00664759">
      <w:pPr>
        <w:keepNext/>
        <w:keepLines/>
        <w:pBdr>
          <w:top w:val="nil"/>
          <w:left w:val="nil"/>
          <w:bottom w:val="nil"/>
          <w:right w:val="nil"/>
          <w:between w:val="nil"/>
        </w:pBdr>
        <w:spacing w:after="120"/>
        <w:jc w:val="both"/>
        <w:rPr>
          <w:rFonts w:ascii="Roboto" w:eastAsia="Roboto" w:hAnsi="Roboto"/>
          <w:color w:val="000000"/>
          <w:sz w:val="20"/>
          <w:szCs w:val="20"/>
        </w:rPr>
      </w:pPr>
    </w:p>
    <w:p w14:paraId="419CBF90" w14:textId="77777777" w:rsidR="00904D66" w:rsidRPr="008962EE" w:rsidRDefault="00904D66" w:rsidP="00664759">
      <w:pPr>
        <w:spacing w:after="120"/>
        <w:rPr>
          <w:rFonts w:ascii="Roboto" w:eastAsia="Roboto" w:hAnsi="Roboto"/>
          <w:color w:val="C00000"/>
          <w:sz w:val="20"/>
          <w:szCs w:val="20"/>
        </w:rPr>
      </w:pPr>
    </w:p>
    <w:sectPr w:rsidR="00904D66" w:rsidRPr="008962EE">
      <w:headerReference w:type="even" r:id="rId8"/>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E798E" w14:textId="77777777" w:rsidR="00D1244D" w:rsidRDefault="00D1244D">
      <w:r>
        <w:separator/>
      </w:r>
    </w:p>
  </w:endnote>
  <w:endnote w:type="continuationSeparator" w:id="0">
    <w:p w14:paraId="103F84AF" w14:textId="77777777" w:rsidR="00D1244D" w:rsidRDefault="00D1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altName w:val="Arial"/>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FB79F" w14:textId="59471EA5" w:rsidR="002B6416" w:rsidRDefault="002B6416">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50840">
      <w:rPr>
        <w:noProof/>
        <w:color w:val="000000"/>
        <w:sz w:val="20"/>
        <w:szCs w:val="20"/>
      </w:rPr>
      <w:t>2</w:t>
    </w:r>
    <w:r>
      <w:rPr>
        <w:color w:val="000000"/>
        <w:sz w:val="20"/>
        <w:szCs w:val="20"/>
      </w:rPr>
      <w:fldChar w:fldCharType="end"/>
    </w:r>
  </w:p>
  <w:p w14:paraId="20B41D5D" w14:textId="77777777" w:rsidR="002B6416" w:rsidRDefault="002B641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7C9AD" w14:textId="77777777" w:rsidR="002B6416" w:rsidRDefault="002B6416">
    <w:pPr>
      <w:pBdr>
        <w:top w:val="nil"/>
        <w:left w:val="nil"/>
        <w:bottom w:val="nil"/>
        <w:right w:val="nil"/>
        <w:between w:val="nil"/>
      </w:pBdr>
      <w:tabs>
        <w:tab w:val="center" w:pos="4320"/>
        <w:tab w:val="right" w:pos="8640"/>
      </w:tabs>
      <w:jc w:val="center"/>
      <w:rPr>
        <w:color w:val="000000"/>
      </w:rPr>
    </w:pPr>
  </w:p>
  <w:p w14:paraId="0D50D654" w14:textId="77777777" w:rsidR="002B6416" w:rsidRDefault="002B641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F520E" w14:textId="77777777" w:rsidR="00D1244D" w:rsidRDefault="00D1244D">
      <w:r>
        <w:separator/>
      </w:r>
    </w:p>
  </w:footnote>
  <w:footnote w:type="continuationSeparator" w:id="0">
    <w:p w14:paraId="786F9FC1" w14:textId="77777777" w:rsidR="00D1244D" w:rsidRDefault="00D1244D">
      <w:r>
        <w:continuationSeparator/>
      </w:r>
    </w:p>
  </w:footnote>
  <w:footnote w:id="1">
    <w:p w14:paraId="4CDCC587" w14:textId="77777777" w:rsidR="009D2B01" w:rsidRPr="009A4A4A" w:rsidRDefault="009D2B01" w:rsidP="009D2B01">
      <w:pPr>
        <w:pStyle w:val="FootnoteText"/>
        <w:rPr>
          <w:lang w:val="es-PA"/>
        </w:rPr>
      </w:pPr>
      <w:r>
        <w:rPr>
          <w:rStyle w:val="FootnoteReference"/>
        </w:rPr>
        <w:footnoteRef/>
      </w:r>
      <w:r>
        <w:t xml:space="preserve"> </w:t>
      </w:r>
      <w:r>
        <w:rPr>
          <w:sz w:val="18"/>
          <w:szCs w:val="18"/>
          <w:lang w:val="es-PA"/>
        </w:rPr>
        <w:t xml:space="preserve">Se define billones como millón de millones. </w:t>
      </w:r>
    </w:p>
  </w:footnote>
  <w:footnote w:id="2">
    <w:p w14:paraId="4C92BAC9" w14:textId="77777777" w:rsidR="009D2B01" w:rsidRPr="005537F1" w:rsidRDefault="009D2B01" w:rsidP="009D2B01">
      <w:pPr>
        <w:pStyle w:val="FootnoteText"/>
        <w:rPr>
          <w:rFonts w:eastAsia="Roboto"/>
          <w:sz w:val="18"/>
          <w:szCs w:val="18"/>
        </w:rPr>
      </w:pPr>
      <w:r>
        <w:rPr>
          <w:rStyle w:val="FootnoteReference"/>
        </w:rPr>
        <w:footnoteRef/>
      </w:r>
      <w:bookmarkStart w:id="3" w:name="_Hlk526425040"/>
      <w:r>
        <w:t xml:space="preserve"> </w:t>
      </w:r>
      <w:hyperlink r:id="rId1" w:history="1">
        <w:r w:rsidRPr="005537F1">
          <w:rPr>
            <w:rStyle w:val="Hyperlink"/>
            <w:rFonts w:eastAsia="Roboto"/>
            <w:sz w:val="18"/>
            <w:szCs w:val="18"/>
          </w:rPr>
          <w:t>http://documents.worldbank.org/curated/en/903601510548466486/Roadmap-for-a-sustainable-financial-system</w:t>
        </w:r>
      </w:hyperlink>
      <w:bookmarkEnd w:id="3"/>
    </w:p>
    <w:p w14:paraId="34149CB1" w14:textId="77777777" w:rsidR="009D2B01" w:rsidRPr="005537F1" w:rsidRDefault="009D2B01" w:rsidP="009D2B01">
      <w:pPr>
        <w:pStyle w:val="FootnoteText"/>
        <w:rPr>
          <w:lang w:val="es-P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9EB1C" w14:textId="77777777" w:rsidR="002B6416" w:rsidRDefault="002B6416">
    <w:pPr>
      <w:pBdr>
        <w:top w:val="nil"/>
        <w:left w:val="nil"/>
        <w:bottom w:val="nil"/>
        <w:right w:val="nil"/>
        <w:between w:val="nil"/>
      </w:pBdr>
      <w:tabs>
        <w:tab w:val="center" w:pos="4320"/>
        <w:tab w:val="right" w:pos="8640"/>
      </w:tabs>
      <w:jc w:val="right"/>
      <w:rPr>
        <w:color w:val="000000"/>
      </w:rPr>
    </w:pPr>
    <w:r>
      <w:rPr>
        <w:rFonts w:ascii="Verdana" w:eastAsia="Verdana" w:hAnsi="Verdana" w:cs="Verdana"/>
        <w:b/>
        <w:color w:val="000000"/>
        <w:sz w:val="18"/>
        <w:szCs w:val="18"/>
      </w:rPr>
      <w:t>UNEP/LAC-</w:t>
    </w:r>
    <w:proofErr w:type="gramStart"/>
    <w:r>
      <w:rPr>
        <w:rFonts w:ascii="Verdana" w:eastAsia="Verdana" w:hAnsi="Verdana" w:cs="Verdana"/>
        <w:b/>
        <w:color w:val="000000"/>
        <w:sz w:val="18"/>
        <w:szCs w:val="18"/>
      </w:rPr>
      <w:t>IG.XX</w:t>
    </w:r>
    <w:proofErr w:type="gramEnd"/>
    <w:r>
      <w:rPr>
        <w:rFonts w:ascii="Verdana" w:eastAsia="Verdana" w:hAnsi="Verdana" w:cs="Verdana"/>
        <w:b/>
        <w:color w:val="000000"/>
        <w:sz w:val="18"/>
        <w:szCs w:val="18"/>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70B96" w14:textId="168ED313" w:rsidR="002B6416" w:rsidRDefault="00960C5A" w:rsidP="00960C5A">
    <w:pPr>
      <w:pBdr>
        <w:top w:val="nil"/>
        <w:left w:val="nil"/>
        <w:bottom w:val="nil"/>
        <w:right w:val="nil"/>
        <w:between w:val="nil"/>
      </w:pBdr>
      <w:tabs>
        <w:tab w:val="center" w:pos="4320"/>
        <w:tab w:val="right" w:pos="8640"/>
      </w:tabs>
      <w:jc w:val="right"/>
      <w:rPr>
        <w:color w:val="000000"/>
      </w:rPr>
    </w:pPr>
    <w:r w:rsidRPr="00960C5A">
      <w:rPr>
        <w:rFonts w:ascii="Verdana" w:hAnsi="Verdana"/>
        <w:b/>
        <w:bCs/>
        <w:sz w:val="18"/>
        <w:szCs w:val="18"/>
      </w:rPr>
      <w:t>UNEP/LAC-IG.XXI/3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960C5A" w:rsidRPr="00857980" w14:paraId="129C843E" w14:textId="77777777" w:rsidTr="00F61518">
      <w:trPr>
        <w:cantSplit/>
      </w:trPr>
      <w:tc>
        <w:tcPr>
          <w:tcW w:w="2610" w:type="dxa"/>
          <w:tcBorders>
            <w:bottom w:val="thinThickSmallGap" w:sz="24" w:space="0" w:color="auto"/>
          </w:tcBorders>
        </w:tcPr>
        <w:p w14:paraId="454826AD" w14:textId="77777777" w:rsidR="00960C5A" w:rsidRPr="00857980" w:rsidRDefault="00960C5A" w:rsidP="00960C5A">
          <w:pPr>
            <w:pStyle w:val="Header"/>
          </w:pPr>
          <w:r>
            <w:rPr>
              <w:noProof/>
              <w:lang w:val="es-ES" w:eastAsia="es-ES"/>
            </w:rPr>
            <w:drawing>
              <wp:anchor distT="0" distB="0" distL="114300" distR="114300" simplePos="0" relativeHeight="251659264" behindDoc="1" locked="0" layoutInCell="1" allowOverlap="1" wp14:anchorId="38E2F535" wp14:editId="75E5C08D">
                <wp:simplePos x="0" y="0"/>
                <wp:positionH relativeFrom="page">
                  <wp:posOffset>68580</wp:posOffset>
                </wp:positionH>
                <wp:positionV relativeFrom="page">
                  <wp:posOffset>4445</wp:posOffset>
                </wp:positionV>
                <wp:extent cx="725424" cy="621792"/>
                <wp:effectExtent l="0" t="0" r="1143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7C00A2EB" w14:textId="77777777" w:rsidR="00960C5A" w:rsidRDefault="00960C5A" w:rsidP="00960C5A">
          <w:pPr>
            <w:pStyle w:val="Header"/>
            <w:tabs>
              <w:tab w:val="center" w:pos="4033"/>
              <w:tab w:val="right" w:pos="8067"/>
            </w:tabs>
            <w:spacing w:after="120"/>
            <w:jc w:val="right"/>
            <w:rPr>
              <w:lang w:val="fr-FR"/>
            </w:rPr>
          </w:pPr>
          <w:r>
            <w:rPr>
              <w:noProof/>
            </w:rPr>
            <w:drawing>
              <wp:anchor distT="0" distB="0" distL="114300" distR="114300" simplePos="0" relativeHeight="251660288" behindDoc="1" locked="0" layoutInCell="1" allowOverlap="1" wp14:anchorId="0A18DA4F" wp14:editId="767BD08D">
                <wp:simplePos x="0" y="0"/>
                <wp:positionH relativeFrom="margin">
                  <wp:posOffset>2800350</wp:posOffset>
                </wp:positionH>
                <wp:positionV relativeFrom="page">
                  <wp:posOffset>-147955</wp:posOffset>
                </wp:positionV>
                <wp:extent cx="1801368" cy="1228344"/>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nvironment_Logo_Spanish_Full_colou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1368" cy="1228344"/>
                        </a:xfrm>
                        <a:prstGeom prst="rect">
                          <a:avLst/>
                        </a:prstGeom>
                      </pic:spPr>
                    </pic:pic>
                  </a:graphicData>
                </a:graphic>
              </wp:anchor>
            </w:drawing>
          </w:r>
        </w:p>
        <w:p w14:paraId="3F771D0A" w14:textId="77777777" w:rsidR="00960C5A" w:rsidRDefault="00960C5A" w:rsidP="00960C5A">
          <w:pPr>
            <w:pStyle w:val="Header"/>
            <w:tabs>
              <w:tab w:val="center" w:pos="4033"/>
              <w:tab w:val="right" w:pos="8067"/>
            </w:tabs>
            <w:spacing w:after="120"/>
            <w:jc w:val="right"/>
            <w:rPr>
              <w:lang w:val="fr-FR"/>
            </w:rPr>
          </w:pPr>
        </w:p>
        <w:p w14:paraId="57A1D249" w14:textId="77777777" w:rsidR="00960C5A" w:rsidRDefault="00960C5A" w:rsidP="00960C5A">
          <w:pPr>
            <w:pStyle w:val="Header"/>
            <w:tabs>
              <w:tab w:val="center" w:pos="4033"/>
              <w:tab w:val="right" w:pos="8067"/>
            </w:tabs>
            <w:spacing w:after="120"/>
            <w:jc w:val="right"/>
            <w:rPr>
              <w:lang w:val="fr-FR"/>
            </w:rPr>
          </w:pPr>
        </w:p>
        <w:p w14:paraId="760D298F" w14:textId="77777777" w:rsidR="00960C5A" w:rsidRDefault="00960C5A" w:rsidP="00960C5A">
          <w:pPr>
            <w:pStyle w:val="Header"/>
            <w:tabs>
              <w:tab w:val="center" w:pos="4033"/>
              <w:tab w:val="right" w:pos="8067"/>
            </w:tabs>
            <w:spacing w:after="120"/>
            <w:jc w:val="right"/>
            <w:rPr>
              <w:lang w:val="fr-FR"/>
            </w:rPr>
          </w:pPr>
        </w:p>
        <w:p w14:paraId="72005A7E" w14:textId="77777777" w:rsidR="00960C5A" w:rsidRPr="00857980" w:rsidRDefault="00960C5A" w:rsidP="00960C5A">
          <w:pPr>
            <w:pStyle w:val="Header"/>
            <w:tabs>
              <w:tab w:val="center" w:pos="4033"/>
              <w:tab w:val="right" w:pos="8067"/>
            </w:tabs>
            <w:spacing w:after="120"/>
            <w:jc w:val="right"/>
            <w:rPr>
              <w:lang w:val="fr-FR"/>
            </w:rPr>
          </w:pPr>
          <w:r>
            <w:rPr>
              <w:lang w:val="fr-FR"/>
            </w:rPr>
            <w:tab/>
          </w:r>
        </w:p>
      </w:tc>
    </w:tr>
    <w:tr w:rsidR="00960C5A" w:rsidRPr="00857980" w14:paraId="6F920ECA" w14:textId="77777777" w:rsidTr="00F61518">
      <w:trPr>
        <w:gridAfter w:val="1"/>
        <w:wAfter w:w="90" w:type="dxa"/>
      </w:trPr>
      <w:tc>
        <w:tcPr>
          <w:tcW w:w="7113" w:type="dxa"/>
          <w:gridSpan w:val="2"/>
        </w:tcPr>
        <w:p w14:paraId="198A0ABA" w14:textId="77777777" w:rsidR="00960C5A" w:rsidRPr="00857980" w:rsidRDefault="00960C5A" w:rsidP="00960C5A">
          <w:pPr>
            <w:spacing w:line="120" w:lineRule="exact"/>
            <w:rPr>
              <w:b/>
              <w:lang w:val="fr-FR"/>
            </w:rPr>
          </w:pPr>
        </w:p>
      </w:tc>
      <w:tc>
        <w:tcPr>
          <w:tcW w:w="3690" w:type="dxa"/>
          <w:gridSpan w:val="2"/>
        </w:tcPr>
        <w:p w14:paraId="5FCA50FE" w14:textId="77777777" w:rsidR="00960C5A" w:rsidRPr="00857980" w:rsidRDefault="00960C5A" w:rsidP="00960C5A">
          <w:pPr>
            <w:spacing w:line="120" w:lineRule="exact"/>
            <w:ind w:firstLine="708"/>
            <w:rPr>
              <w:b/>
              <w:sz w:val="18"/>
              <w:lang w:val="fr-FR"/>
            </w:rPr>
          </w:pPr>
        </w:p>
      </w:tc>
    </w:tr>
    <w:tr w:rsidR="00960C5A" w:rsidRPr="00960C5A" w14:paraId="3CC6FCF4" w14:textId="77777777" w:rsidTr="00F61518">
      <w:trPr>
        <w:trHeight w:val="80"/>
      </w:trPr>
      <w:tc>
        <w:tcPr>
          <w:tcW w:w="7172" w:type="dxa"/>
          <w:gridSpan w:val="3"/>
        </w:tcPr>
        <w:p w14:paraId="514E5883" w14:textId="77777777" w:rsidR="00960C5A" w:rsidRPr="00641EC7" w:rsidRDefault="00960C5A" w:rsidP="00960C5A">
          <w:pPr>
            <w:rPr>
              <w:rFonts w:ascii="Verdana" w:hAnsi="Verdana"/>
              <w:b/>
              <w:sz w:val="18"/>
              <w:szCs w:val="18"/>
            </w:rPr>
          </w:pPr>
          <w:r w:rsidRPr="00641EC7">
            <w:rPr>
              <w:rFonts w:ascii="Verdana" w:hAnsi="Verdana"/>
              <w:b/>
              <w:sz w:val="18"/>
              <w:szCs w:val="18"/>
            </w:rPr>
            <w:t>XX</w:t>
          </w:r>
          <w:r>
            <w:rPr>
              <w:rFonts w:ascii="Verdana" w:hAnsi="Verdana"/>
              <w:b/>
              <w:sz w:val="18"/>
              <w:szCs w:val="18"/>
            </w:rPr>
            <w:t>I</w:t>
          </w:r>
          <w:r w:rsidRPr="00641EC7">
            <w:rPr>
              <w:rFonts w:ascii="Verdana" w:hAnsi="Verdana"/>
              <w:b/>
              <w:sz w:val="18"/>
              <w:szCs w:val="18"/>
            </w:rPr>
            <w:t xml:space="preserve"> Reunión del Foro de Ministros de </w:t>
          </w:r>
        </w:p>
        <w:p w14:paraId="45A6809E" w14:textId="77777777" w:rsidR="00960C5A" w:rsidRPr="00641EC7" w:rsidRDefault="00960C5A" w:rsidP="00960C5A">
          <w:pPr>
            <w:rPr>
              <w:rFonts w:ascii="Verdana" w:hAnsi="Verdana"/>
              <w:b/>
              <w:sz w:val="18"/>
              <w:szCs w:val="18"/>
            </w:rPr>
          </w:pPr>
          <w:r w:rsidRPr="00641EC7">
            <w:rPr>
              <w:rFonts w:ascii="Verdana" w:hAnsi="Verdana"/>
              <w:b/>
              <w:sz w:val="18"/>
              <w:szCs w:val="18"/>
            </w:rPr>
            <w:t>Medio Ambiente de América Latina y el Caribe</w:t>
          </w:r>
        </w:p>
        <w:p w14:paraId="1FA0FDE0" w14:textId="77777777" w:rsidR="00960C5A" w:rsidRPr="00641EC7" w:rsidRDefault="00960C5A" w:rsidP="00960C5A">
          <w:pPr>
            <w:rPr>
              <w:rFonts w:ascii="Verdana" w:hAnsi="Verdana"/>
              <w:sz w:val="18"/>
              <w:szCs w:val="18"/>
            </w:rPr>
          </w:pPr>
          <w:r>
            <w:rPr>
              <w:rFonts w:ascii="Verdana" w:hAnsi="Verdana"/>
              <w:sz w:val="18"/>
              <w:szCs w:val="18"/>
            </w:rPr>
            <w:t>Buenos Aires</w:t>
          </w:r>
          <w:r w:rsidRPr="00641EC7">
            <w:rPr>
              <w:rFonts w:ascii="Verdana" w:hAnsi="Verdana"/>
              <w:sz w:val="18"/>
              <w:szCs w:val="18"/>
            </w:rPr>
            <w:t xml:space="preserve">, </w:t>
          </w:r>
          <w:r>
            <w:rPr>
              <w:rFonts w:ascii="Verdana" w:hAnsi="Verdana"/>
              <w:sz w:val="18"/>
              <w:szCs w:val="18"/>
            </w:rPr>
            <w:t>Argentina</w:t>
          </w:r>
        </w:p>
        <w:p w14:paraId="7E3830FF" w14:textId="77777777" w:rsidR="00960C5A" w:rsidRPr="00641EC7" w:rsidRDefault="00960C5A" w:rsidP="00960C5A">
          <w:pPr>
            <w:rPr>
              <w:rFonts w:ascii="Verdana" w:hAnsi="Verdana"/>
              <w:sz w:val="18"/>
              <w:szCs w:val="18"/>
            </w:rPr>
          </w:pPr>
        </w:p>
        <w:p w14:paraId="4CBC906F" w14:textId="77777777" w:rsidR="00960C5A" w:rsidRPr="00BD1E07" w:rsidRDefault="00960C5A" w:rsidP="00960C5A">
          <w:pPr>
            <w:rPr>
              <w:rFonts w:ascii="Verdana" w:hAnsi="Verdana"/>
              <w:b/>
              <w:sz w:val="18"/>
              <w:szCs w:val="18"/>
            </w:rPr>
          </w:pPr>
          <w:r>
            <w:rPr>
              <w:rFonts w:ascii="Verdana" w:hAnsi="Verdana"/>
              <w:sz w:val="18"/>
              <w:szCs w:val="18"/>
            </w:rPr>
            <w:t>B</w:t>
          </w:r>
          <w:r w:rsidRPr="00641EC7">
            <w:rPr>
              <w:rFonts w:ascii="Verdana" w:hAnsi="Verdana"/>
              <w:sz w:val="18"/>
              <w:szCs w:val="18"/>
            </w:rPr>
            <w:t xml:space="preserve">. </w:t>
          </w:r>
          <w:r>
            <w:rPr>
              <w:rFonts w:ascii="Verdana" w:hAnsi="Verdana"/>
              <w:sz w:val="18"/>
              <w:szCs w:val="18"/>
            </w:rPr>
            <w:t>Segmento Ministerial</w:t>
          </w:r>
          <w:r w:rsidRPr="00641EC7">
            <w:rPr>
              <w:rFonts w:ascii="Verdana" w:hAnsi="Verdana"/>
              <w:sz w:val="18"/>
              <w:szCs w:val="18"/>
            </w:rPr>
            <w:br/>
          </w:r>
          <w:r>
            <w:rPr>
              <w:rFonts w:ascii="Verdana" w:hAnsi="Verdana"/>
              <w:sz w:val="18"/>
              <w:szCs w:val="18"/>
            </w:rPr>
            <w:t>11</w:t>
          </w:r>
          <w:r w:rsidRPr="00641EC7">
            <w:rPr>
              <w:rFonts w:ascii="Verdana" w:hAnsi="Verdana"/>
              <w:sz w:val="18"/>
              <w:szCs w:val="18"/>
            </w:rPr>
            <w:t xml:space="preserve"> - </w:t>
          </w:r>
          <w:r>
            <w:rPr>
              <w:rFonts w:ascii="Verdana" w:hAnsi="Verdana"/>
              <w:sz w:val="18"/>
              <w:szCs w:val="18"/>
            </w:rPr>
            <w:t>12</w:t>
          </w:r>
          <w:r w:rsidRPr="00641EC7">
            <w:rPr>
              <w:rFonts w:ascii="Verdana" w:hAnsi="Verdana"/>
              <w:sz w:val="18"/>
              <w:szCs w:val="18"/>
            </w:rPr>
            <w:t xml:space="preserve"> de </w:t>
          </w:r>
          <w:r>
            <w:rPr>
              <w:rFonts w:ascii="Verdana" w:hAnsi="Verdana"/>
              <w:sz w:val="18"/>
              <w:szCs w:val="18"/>
            </w:rPr>
            <w:t>octubre</w:t>
          </w:r>
          <w:r w:rsidRPr="00641EC7">
            <w:rPr>
              <w:rFonts w:ascii="Verdana" w:hAnsi="Verdana"/>
              <w:sz w:val="18"/>
              <w:szCs w:val="18"/>
            </w:rPr>
            <w:t xml:space="preserve"> de 201</w:t>
          </w:r>
          <w:r>
            <w:rPr>
              <w:rFonts w:ascii="Verdana" w:hAnsi="Verdana"/>
              <w:sz w:val="18"/>
              <w:szCs w:val="18"/>
            </w:rPr>
            <w:t>8</w:t>
          </w:r>
        </w:p>
      </w:tc>
      <w:tc>
        <w:tcPr>
          <w:tcW w:w="3721" w:type="dxa"/>
          <w:gridSpan w:val="2"/>
          <w:shd w:val="clear" w:color="auto" w:fill="FFFFFF" w:themeFill="background1"/>
        </w:tcPr>
        <w:p w14:paraId="78FDDE71" w14:textId="77777777" w:rsidR="00960C5A" w:rsidRPr="00960C5A" w:rsidRDefault="00960C5A" w:rsidP="00960C5A">
          <w:pPr>
            <w:rPr>
              <w:rFonts w:ascii="Verdana" w:hAnsi="Verdana"/>
              <w:b/>
              <w:bCs/>
              <w:sz w:val="18"/>
              <w:szCs w:val="18"/>
            </w:rPr>
          </w:pPr>
          <w:r w:rsidRPr="00641EC7">
            <w:rPr>
              <w:rFonts w:ascii="Verdana" w:hAnsi="Verdana"/>
              <w:b/>
              <w:bCs/>
              <w:sz w:val="18"/>
              <w:szCs w:val="18"/>
            </w:rPr>
            <w:t>Distribución:</w:t>
          </w:r>
          <w:r w:rsidRPr="00641EC7">
            <w:rPr>
              <w:rFonts w:ascii="Verdana" w:hAnsi="Verdana"/>
              <w:b/>
              <w:bCs/>
              <w:sz w:val="18"/>
              <w:szCs w:val="18"/>
            </w:rPr>
            <w:br/>
          </w:r>
          <w:r w:rsidRPr="00960C5A">
            <w:rPr>
              <w:rFonts w:ascii="Verdana" w:hAnsi="Verdana"/>
              <w:sz w:val="18"/>
              <w:szCs w:val="18"/>
            </w:rPr>
            <w:t>Limitada</w:t>
          </w:r>
          <w:r w:rsidRPr="00960C5A">
            <w:rPr>
              <w:rFonts w:ascii="Verdana" w:hAnsi="Verdana"/>
              <w:sz w:val="18"/>
              <w:szCs w:val="18"/>
            </w:rPr>
            <w:br/>
          </w:r>
        </w:p>
        <w:p w14:paraId="3E4B9960" w14:textId="164C4CC6" w:rsidR="00960C5A" w:rsidRPr="00641EC7" w:rsidRDefault="00960C5A" w:rsidP="00960C5A">
          <w:pPr>
            <w:rPr>
              <w:rFonts w:ascii="Verdana" w:hAnsi="Verdana"/>
              <w:sz w:val="18"/>
              <w:szCs w:val="18"/>
            </w:rPr>
          </w:pPr>
          <w:r w:rsidRPr="00960C5A">
            <w:rPr>
              <w:rFonts w:ascii="Verdana" w:hAnsi="Verdana"/>
              <w:b/>
              <w:bCs/>
              <w:sz w:val="18"/>
              <w:szCs w:val="18"/>
            </w:rPr>
            <w:t>UNEP/LAC-IG.XXI/3</w:t>
          </w:r>
          <w:r w:rsidRPr="00641EC7">
            <w:rPr>
              <w:rFonts w:ascii="Verdana" w:hAnsi="Verdana"/>
              <w:b/>
              <w:bCs/>
              <w:sz w:val="18"/>
              <w:szCs w:val="18"/>
            </w:rPr>
            <w:br/>
          </w:r>
        </w:p>
        <w:p w14:paraId="7547C952" w14:textId="6D8C2E70" w:rsidR="00960C5A" w:rsidRPr="00641EC7" w:rsidRDefault="00960C5A" w:rsidP="00960C5A">
          <w:pPr>
            <w:rPr>
              <w:rFonts w:ascii="Verdana" w:hAnsi="Verdana"/>
              <w:sz w:val="18"/>
              <w:szCs w:val="18"/>
            </w:rPr>
          </w:pPr>
          <w:r>
            <w:rPr>
              <w:rFonts w:ascii="Verdana" w:hAnsi="Verdana"/>
              <w:sz w:val="18"/>
              <w:szCs w:val="18"/>
            </w:rPr>
            <w:t>4</w:t>
          </w:r>
          <w:r w:rsidRPr="00356827">
            <w:rPr>
              <w:rFonts w:ascii="Verdana" w:hAnsi="Verdana"/>
              <w:sz w:val="18"/>
              <w:szCs w:val="18"/>
            </w:rPr>
            <w:t xml:space="preserve"> de </w:t>
          </w:r>
          <w:r>
            <w:rPr>
              <w:rFonts w:ascii="Verdana" w:hAnsi="Verdana"/>
              <w:sz w:val="18"/>
              <w:szCs w:val="18"/>
            </w:rPr>
            <w:t>octubre</w:t>
          </w:r>
          <w:r w:rsidRPr="00356827">
            <w:rPr>
              <w:rFonts w:ascii="Verdana" w:hAnsi="Verdana"/>
              <w:sz w:val="18"/>
              <w:szCs w:val="18"/>
            </w:rPr>
            <w:t xml:space="preserve"> de 2018</w:t>
          </w:r>
        </w:p>
        <w:p w14:paraId="5E0339A3" w14:textId="77777777" w:rsidR="00960C5A" w:rsidRPr="00960C5A" w:rsidRDefault="00960C5A" w:rsidP="00960C5A">
          <w:pPr>
            <w:rPr>
              <w:rFonts w:ascii="Verdana" w:hAnsi="Verdana"/>
              <w:sz w:val="18"/>
              <w:szCs w:val="18"/>
              <w:lang w:val="es-PA"/>
            </w:rPr>
          </w:pPr>
          <w:r w:rsidRPr="00641EC7">
            <w:rPr>
              <w:rFonts w:ascii="Verdana" w:hAnsi="Verdana"/>
              <w:b/>
              <w:bCs/>
              <w:sz w:val="18"/>
              <w:szCs w:val="18"/>
            </w:rPr>
            <w:t>Original:</w:t>
          </w:r>
          <w:r w:rsidRPr="00641EC7">
            <w:rPr>
              <w:rFonts w:ascii="Verdana" w:hAnsi="Verdana"/>
              <w:sz w:val="18"/>
              <w:szCs w:val="18"/>
            </w:rPr>
            <w:t xml:space="preserve"> </w:t>
          </w:r>
          <w:proofErr w:type="gramStart"/>
          <w:r>
            <w:rPr>
              <w:rFonts w:ascii="Verdana" w:hAnsi="Verdana"/>
              <w:sz w:val="18"/>
              <w:szCs w:val="18"/>
            </w:rPr>
            <w:t>Español</w:t>
          </w:r>
          <w:proofErr w:type="gramEnd"/>
        </w:p>
      </w:tc>
    </w:tr>
  </w:tbl>
  <w:p w14:paraId="4315D711" w14:textId="77777777" w:rsidR="002B6416" w:rsidRPr="00960C5A" w:rsidRDefault="002B6416" w:rsidP="00960C5A">
    <w:pPr>
      <w:pStyle w:val="Header"/>
      <w:rPr>
        <w:lang w:val="es-P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428C"/>
    <w:multiLevelType w:val="multilevel"/>
    <w:tmpl w:val="58FAEF36"/>
    <w:lvl w:ilvl="0">
      <w:start w:val="15"/>
      <w:numFmt w:val="bullet"/>
      <w:lvlText w:val="-"/>
      <w:lvlJc w:val="left"/>
      <w:pPr>
        <w:ind w:left="1080" w:hanging="360"/>
      </w:pPr>
      <w:rPr>
        <w:rFonts w:ascii="Roboto" w:eastAsia="Roboto" w:hAnsi="Roboto" w:cs="Roboto"/>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09BF1A39"/>
    <w:multiLevelType w:val="hybridMultilevel"/>
    <w:tmpl w:val="7E5CEEF2"/>
    <w:lvl w:ilvl="0" w:tplc="6CDCBCA8">
      <w:start w:val="1"/>
      <w:numFmt w:val="decimal"/>
      <w:lvlText w:val="%1."/>
      <w:lvlJc w:val="left"/>
      <w:pPr>
        <w:ind w:left="360" w:hanging="360"/>
      </w:pPr>
      <w:rPr>
        <w:b/>
      </w:r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15:restartNumberingAfterBreak="0">
    <w:nsid w:val="190B7861"/>
    <w:multiLevelType w:val="multilevel"/>
    <w:tmpl w:val="F74CBD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4C10764"/>
    <w:multiLevelType w:val="hybridMultilevel"/>
    <w:tmpl w:val="7A022160"/>
    <w:lvl w:ilvl="0" w:tplc="180A000F">
      <w:start w:val="1"/>
      <w:numFmt w:val="decimal"/>
      <w:lvlText w:val="%1."/>
      <w:lvlJc w:val="left"/>
      <w:pPr>
        <w:ind w:left="720" w:hanging="360"/>
      </w:p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15:restartNumberingAfterBreak="0">
    <w:nsid w:val="429A587A"/>
    <w:multiLevelType w:val="multilevel"/>
    <w:tmpl w:val="14BAA8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3966E9D"/>
    <w:multiLevelType w:val="multilevel"/>
    <w:tmpl w:val="9E48A5C4"/>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808632D"/>
    <w:multiLevelType w:val="hybridMultilevel"/>
    <w:tmpl w:val="1074ADB0"/>
    <w:lvl w:ilvl="0" w:tplc="DFC407E6">
      <w:start w:val="1"/>
      <w:numFmt w:val="decimal"/>
      <w:lvlText w:val="%1."/>
      <w:lvlJc w:val="left"/>
      <w:pPr>
        <w:ind w:left="720" w:hanging="360"/>
      </w:pPr>
      <w:rPr>
        <w:b/>
      </w:r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7" w15:restartNumberingAfterBreak="0">
    <w:nsid w:val="6C652709"/>
    <w:multiLevelType w:val="hybridMultilevel"/>
    <w:tmpl w:val="996A22FE"/>
    <w:lvl w:ilvl="0" w:tplc="2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2"/>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66"/>
    <w:rsid w:val="00010C3D"/>
    <w:rsid w:val="000555EB"/>
    <w:rsid w:val="000608E4"/>
    <w:rsid w:val="000660AA"/>
    <w:rsid w:val="000B727B"/>
    <w:rsid w:val="000C29FF"/>
    <w:rsid w:val="000E70C9"/>
    <w:rsid w:val="000F09FC"/>
    <w:rsid w:val="00115949"/>
    <w:rsid w:val="00122996"/>
    <w:rsid w:val="00126195"/>
    <w:rsid w:val="00136026"/>
    <w:rsid w:val="0018215B"/>
    <w:rsid w:val="001952D3"/>
    <w:rsid w:val="001D4DDA"/>
    <w:rsid w:val="00205ACE"/>
    <w:rsid w:val="00217669"/>
    <w:rsid w:val="0022064C"/>
    <w:rsid w:val="00235A44"/>
    <w:rsid w:val="00283F3C"/>
    <w:rsid w:val="00287FD2"/>
    <w:rsid w:val="002A5F71"/>
    <w:rsid w:val="002B4ECD"/>
    <w:rsid w:val="002B6416"/>
    <w:rsid w:val="002D504E"/>
    <w:rsid w:val="002E29E2"/>
    <w:rsid w:val="00323B3E"/>
    <w:rsid w:val="00331EB2"/>
    <w:rsid w:val="003E0CC2"/>
    <w:rsid w:val="00482879"/>
    <w:rsid w:val="004B1CAA"/>
    <w:rsid w:val="004C0B9A"/>
    <w:rsid w:val="004C153D"/>
    <w:rsid w:val="004C1DF8"/>
    <w:rsid w:val="004C5FDD"/>
    <w:rsid w:val="004C6B15"/>
    <w:rsid w:val="004E60F1"/>
    <w:rsid w:val="00515AE8"/>
    <w:rsid w:val="00524BFC"/>
    <w:rsid w:val="005350AC"/>
    <w:rsid w:val="00585D8C"/>
    <w:rsid w:val="005943E8"/>
    <w:rsid w:val="005C0DED"/>
    <w:rsid w:val="006161D0"/>
    <w:rsid w:val="00664759"/>
    <w:rsid w:val="00672A06"/>
    <w:rsid w:val="00681919"/>
    <w:rsid w:val="0069143F"/>
    <w:rsid w:val="006B65B6"/>
    <w:rsid w:val="006D65C3"/>
    <w:rsid w:val="00750840"/>
    <w:rsid w:val="0075392C"/>
    <w:rsid w:val="00777D83"/>
    <w:rsid w:val="007F2813"/>
    <w:rsid w:val="00827A55"/>
    <w:rsid w:val="00836384"/>
    <w:rsid w:val="0085375C"/>
    <w:rsid w:val="0086232B"/>
    <w:rsid w:val="008962EE"/>
    <w:rsid w:val="00897B07"/>
    <w:rsid w:val="008A0BAB"/>
    <w:rsid w:val="008B05CE"/>
    <w:rsid w:val="008E3789"/>
    <w:rsid w:val="008F38CD"/>
    <w:rsid w:val="00904D66"/>
    <w:rsid w:val="00916703"/>
    <w:rsid w:val="009234E6"/>
    <w:rsid w:val="00960C5A"/>
    <w:rsid w:val="009A4A4A"/>
    <w:rsid w:val="009D2B01"/>
    <w:rsid w:val="009F00EA"/>
    <w:rsid w:val="009F382B"/>
    <w:rsid w:val="009F5EB3"/>
    <w:rsid w:val="00A004C5"/>
    <w:rsid w:val="00A01E5A"/>
    <w:rsid w:val="00A26931"/>
    <w:rsid w:val="00A2701D"/>
    <w:rsid w:val="00A36851"/>
    <w:rsid w:val="00A5747E"/>
    <w:rsid w:val="00A75013"/>
    <w:rsid w:val="00AA0E9F"/>
    <w:rsid w:val="00AB4C31"/>
    <w:rsid w:val="00B01987"/>
    <w:rsid w:val="00B162DA"/>
    <w:rsid w:val="00B3148E"/>
    <w:rsid w:val="00B67632"/>
    <w:rsid w:val="00B74459"/>
    <w:rsid w:val="00BA553A"/>
    <w:rsid w:val="00BE7B47"/>
    <w:rsid w:val="00C04BF7"/>
    <w:rsid w:val="00C15814"/>
    <w:rsid w:val="00C77135"/>
    <w:rsid w:val="00C91FFD"/>
    <w:rsid w:val="00D1244D"/>
    <w:rsid w:val="00D21FF3"/>
    <w:rsid w:val="00D77111"/>
    <w:rsid w:val="00D97F70"/>
    <w:rsid w:val="00DC5833"/>
    <w:rsid w:val="00E246E2"/>
    <w:rsid w:val="00E57A29"/>
    <w:rsid w:val="00EB54BF"/>
    <w:rsid w:val="00EE7845"/>
    <w:rsid w:val="00EF35DF"/>
    <w:rsid w:val="00F24C48"/>
    <w:rsid w:val="00F62CE7"/>
    <w:rsid w:val="00FA0179"/>
    <w:rsid w:val="00FA3BBF"/>
    <w:rsid w:val="00FD2F68"/>
    <w:rsid w:val="00FD53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EC559"/>
  <w15:docId w15:val="{44F57C9E-7CAE-4013-A22C-2F61B8A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8962EE"/>
    <w:pPr>
      <w:keepNext/>
      <w:pBdr>
        <w:top w:val="nil"/>
        <w:left w:val="nil"/>
        <w:bottom w:val="nil"/>
        <w:right w:val="nil"/>
        <w:between w:val="nil"/>
      </w:pBdr>
      <w:spacing w:after="120"/>
      <w:outlineLvl w:val="6"/>
    </w:pPr>
    <w:rPr>
      <w:rFonts w:ascii="Roboto" w:eastAsia="Roboto" w:hAnsi="Roboto"/>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paragraph" w:styleId="BalloonText">
    <w:name w:val="Balloon Text"/>
    <w:basedOn w:val="Normal"/>
    <w:link w:val="BalloonTextChar"/>
    <w:uiPriority w:val="99"/>
    <w:semiHidden/>
    <w:unhideWhenUsed/>
    <w:rsid w:val="004828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879"/>
    <w:rPr>
      <w:rFonts w:ascii="Segoe UI" w:hAnsi="Segoe UI" w:cs="Segoe UI"/>
      <w:sz w:val="18"/>
      <w:szCs w:val="18"/>
    </w:rPr>
  </w:style>
  <w:style w:type="paragraph" w:styleId="ListParagraph">
    <w:name w:val="List Paragraph"/>
    <w:basedOn w:val="Normal"/>
    <w:uiPriority w:val="34"/>
    <w:qFormat/>
    <w:rsid w:val="00482879"/>
    <w:pPr>
      <w:spacing w:after="160" w:line="259" w:lineRule="auto"/>
      <w:ind w:left="720"/>
      <w:contextualSpacing/>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9234E6"/>
    <w:rPr>
      <w:sz w:val="16"/>
      <w:szCs w:val="16"/>
    </w:rPr>
  </w:style>
  <w:style w:type="paragraph" w:styleId="CommentText">
    <w:name w:val="annotation text"/>
    <w:basedOn w:val="Normal"/>
    <w:link w:val="CommentTextChar"/>
    <w:uiPriority w:val="99"/>
    <w:semiHidden/>
    <w:unhideWhenUsed/>
    <w:rsid w:val="009234E6"/>
    <w:rPr>
      <w:sz w:val="20"/>
      <w:szCs w:val="20"/>
    </w:rPr>
  </w:style>
  <w:style w:type="character" w:customStyle="1" w:styleId="CommentTextChar">
    <w:name w:val="Comment Text Char"/>
    <w:basedOn w:val="DefaultParagraphFont"/>
    <w:link w:val="CommentText"/>
    <w:uiPriority w:val="99"/>
    <w:semiHidden/>
    <w:rsid w:val="009234E6"/>
    <w:rPr>
      <w:sz w:val="20"/>
      <w:szCs w:val="20"/>
    </w:rPr>
  </w:style>
  <w:style w:type="paragraph" w:styleId="CommentSubject">
    <w:name w:val="annotation subject"/>
    <w:basedOn w:val="CommentText"/>
    <w:next w:val="CommentText"/>
    <w:link w:val="CommentSubjectChar"/>
    <w:uiPriority w:val="99"/>
    <w:semiHidden/>
    <w:unhideWhenUsed/>
    <w:rsid w:val="009234E6"/>
    <w:rPr>
      <w:b/>
      <w:bCs/>
    </w:rPr>
  </w:style>
  <w:style w:type="character" w:customStyle="1" w:styleId="CommentSubjectChar">
    <w:name w:val="Comment Subject Char"/>
    <w:basedOn w:val="CommentTextChar"/>
    <w:link w:val="CommentSubject"/>
    <w:uiPriority w:val="99"/>
    <w:semiHidden/>
    <w:rsid w:val="009234E6"/>
    <w:rPr>
      <w:b/>
      <w:bCs/>
      <w:sz w:val="20"/>
      <w:szCs w:val="20"/>
    </w:rPr>
  </w:style>
  <w:style w:type="paragraph" w:styleId="FootnoteText">
    <w:name w:val="footnote text"/>
    <w:basedOn w:val="Normal"/>
    <w:link w:val="FootnoteTextChar"/>
    <w:uiPriority w:val="99"/>
    <w:semiHidden/>
    <w:unhideWhenUsed/>
    <w:rsid w:val="008A0BAB"/>
    <w:rPr>
      <w:sz w:val="20"/>
      <w:szCs w:val="20"/>
    </w:rPr>
  </w:style>
  <w:style w:type="character" w:customStyle="1" w:styleId="FootnoteTextChar">
    <w:name w:val="Footnote Text Char"/>
    <w:basedOn w:val="DefaultParagraphFont"/>
    <w:link w:val="FootnoteText"/>
    <w:uiPriority w:val="99"/>
    <w:semiHidden/>
    <w:rsid w:val="008A0BAB"/>
    <w:rPr>
      <w:sz w:val="20"/>
      <w:szCs w:val="20"/>
    </w:rPr>
  </w:style>
  <w:style w:type="character" w:styleId="FootnoteReference">
    <w:name w:val="footnote reference"/>
    <w:basedOn w:val="DefaultParagraphFont"/>
    <w:uiPriority w:val="99"/>
    <w:semiHidden/>
    <w:unhideWhenUsed/>
    <w:rsid w:val="008A0BAB"/>
    <w:rPr>
      <w:vertAlign w:val="superscript"/>
    </w:rPr>
  </w:style>
  <w:style w:type="character" w:styleId="Hyperlink">
    <w:name w:val="Hyperlink"/>
    <w:basedOn w:val="DefaultParagraphFont"/>
    <w:uiPriority w:val="99"/>
    <w:unhideWhenUsed/>
    <w:rsid w:val="008A0BAB"/>
    <w:rPr>
      <w:color w:val="0000FF" w:themeColor="hyperlink"/>
      <w:u w:val="single"/>
    </w:rPr>
  </w:style>
  <w:style w:type="character" w:customStyle="1" w:styleId="UnresolvedMention1">
    <w:name w:val="Unresolved Mention1"/>
    <w:basedOn w:val="DefaultParagraphFont"/>
    <w:uiPriority w:val="99"/>
    <w:semiHidden/>
    <w:unhideWhenUsed/>
    <w:rsid w:val="008A0BAB"/>
    <w:rPr>
      <w:color w:val="605E5C"/>
      <w:shd w:val="clear" w:color="auto" w:fill="E1DFDD"/>
    </w:rPr>
  </w:style>
  <w:style w:type="paragraph" w:styleId="Footer">
    <w:name w:val="footer"/>
    <w:basedOn w:val="Normal"/>
    <w:link w:val="FooterChar"/>
    <w:uiPriority w:val="99"/>
    <w:unhideWhenUsed/>
    <w:rsid w:val="000608E4"/>
    <w:pPr>
      <w:tabs>
        <w:tab w:val="center" w:pos="4419"/>
        <w:tab w:val="right" w:pos="8838"/>
      </w:tabs>
    </w:pPr>
  </w:style>
  <w:style w:type="character" w:customStyle="1" w:styleId="FooterChar">
    <w:name w:val="Footer Char"/>
    <w:basedOn w:val="DefaultParagraphFont"/>
    <w:link w:val="Footer"/>
    <w:uiPriority w:val="99"/>
    <w:rsid w:val="000608E4"/>
  </w:style>
  <w:style w:type="character" w:styleId="Strong">
    <w:name w:val="Strong"/>
    <w:basedOn w:val="DefaultParagraphFont"/>
    <w:uiPriority w:val="22"/>
    <w:qFormat/>
    <w:rsid w:val="00960C5A"/>
    <w:rPr>
      <w:b/>
      <w:bCs/>
    </w:rPr>
  </w:style>
  <w:style w:type="paragraph" w:styleId="Header">
    <w:name w:val="header"/>
    <w:basedOn w:val="Normal"/>
    <w:link w:val="HeaderChar"/>
    <w:uiPriority w:val="99"/>
    <w:unhideWhenUsed/>
    <w:rsid w:val="00960C5A"/>
    <w:pPr>
      <w:tabs>
        <w:tab w:val="center" w:pos="4419"/>
        <w:tab w:val="right" w:pos="8838"/>
      </w:tabs>
    </w:pPr>
    <w:rPr>
      <w:rFonts w:asciiTheme="minorHAnsi" w:eastAsiaTheme="minorHAnsi" w:hAnsiTheme="minorHAnsi" w:cstheme="minorBidi"/>
      <w:sz w:val="22"/>
      <w:szCs w:val="22"/>
      <w:lang w:val="es-CO" w:eastAsia="en-US"/>
    </w:rPr>
  </w:style>
  <w:style w:type="character" w:customStyle="1" w:styleId="HeaderChar">
    <w:name w:val="Header Char"/>
    <w:basedOn w:val="DefaultParagraphFont"/>
    <w:link w:val="Header"/>
    <w:uiPriority w:val="99"/>
    <w:rsid w:val="00960C5A"/>
    <w:rPr>
      <w:rFonts w:asciiTheme="minorHAnsi" w:eastAsiaTheme="minorHAnsi" w:hAnsiTheme="minorHAnsi" w:cstheme="minorBidi"/>
      <w:sz w:val="22"/>
      <w:szCs w:val="22"/>
      <w:lang w:val="es-CO" w:eastAsia="en-US"/>
    </w:rPr>
  </w:style>
  <w:style w:type="character" w:customStyle="1" w:styleId="Heading7Char">
    <w:name w:val="Heading 7 Char"/>
    <w:basedOn w:val="DefaultParagraphFont"/>
    <w:link w:val="Heading7"/>
    <w:uiPriority w:val="9"/>
    <w:rsid w:val="008962EE"/>
    <w:rPr>
      <w:rFonts w:ascii="Roboto" w:eastAsia="Roboto" w:hAnsi="Roboto"/>
      <w:b/>
      <w:color w:val="000000"/>
      <w:sz w:val="20"/>
      <w:szCs w:val="20"/>
    </w:rPr>
  </w:style>
  <w:style w:type="paragraph" w:styleId="TOCHeading">
    <w:name w:val="TOC Heading"/>
    <w:basedOn w:val="Heading1"/>
    <w:next w:val="Normal"/>
    <w:uiPriority w:val="39"/>
    <w:unhideWhenUsed/>
    <w:qFormat/>
    <w:rsid w:val="008962EE"/>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06190">
      <w:bodyDiv w:val="1"/>
      <w:marLeft w:val="0"/>
      <w:marRight w:val="0"/>
      <w:marTop w:val="0"/>
      <w:marBottom w:val="0"/>
      <w:divBdr>
        <w:top w:val="none" w:sz="0" w:space="0" w:color="auto"/>
        <w:left w:val="none" w:sz="0" w:space="0" w:color="auto"/>
        <w:bottom w:val="none" w:sz="0" w:space="0" w:color="auto"/>
        <w:right w:val="none" w:sz="0" w:space="0" w:color="auto"/>
      </w:divBdr>
      <w:divsChild>
        <w:div w:id="1649044693">
          <w:marLeft w:val="0"/>
          <w:marRight w:val="0"/>
          <w:marTop w:val="0"/>
          <w:marBottom w:val="0"/>
          <w:divBdr>
            <w:top w:val="none" w:sz="0" w:space="0" w:color="auto"/>
            <w:left w:val="none" w:sz="0" w:space="0" w:color="auto"/>
            <w:bottom w:val="none" w:sz="0" w:space="0" w:color="auto"/>
            <w:right w:val="none" w:sz="0" w:space="0" w:color="auto"/>
          </w:divBdr>
          <w:divsChild>
            <w:div w:id="1600521169">
              <w:marLeft w:val="0"/>
              <w:marRight w:val="60"/>
              <w:marTop w:val="0"/>
              <w:marBottom w:val="0"/>
              <w:divBdr>
                <w:top w:val="none" w:sz="0" w:space="0" w:color="auto"/>
                <w:left w:val="none" w:sz="0" w:space="0" w:color="auto"/>
                <w:bottom w:val="none" w:sz="0" w:space="0" w:color="auto"/>
                <w:right w:val="none" w:sz="0" w:space="0" w:color="auto"/>
              </w:divBdr>
              <w:divsChild>
                <w:div w:id="1278214533">
                  <w:marLeft w:val="0"/>
                  <w:marRight w:val="0"/>
                  <w:marTop w:val="0"/>
                  <w:marBottom w:val="120"/>
                  <w:divBdr>
                    <w:top w:val="single" w:sz="6" w:space="0" w:color="A0A0A0"/>
                    <w:left w:val="single" w:sz="6" w:space="0" w:color="B9B9B9"/>
                    <w:bottom w:val="single" w:sz="6" w:space="0" w:color="B9B9B9"/>
                    <w:right w:val="single" w:sz="6" w:space="0" w:color="B9B9B9"/>
                  </w:divBdr>
                  <w:divsChild>
                    <w:div w:id="1964801437">
                      <w:marLeft w:val="0"/>
                      <w:marRight w:val="0"/>
                      <w:marTop w:val="0"/>
                      <w:marBottom w:val="0"/>
                      <w:divBdr>
                        <w:top w:val="none" w:sz="0" w:space="0" w:color="auto"/>
                        <w:left w:val="none" w:sz="0" w:space="0" w:color="auto"/>
                        <w:bottom w:val="none" w:sz="0" w:space="0" w:color="auto"/>
                        <w:right w:val="none" w:sz="0" w:space="0" w:color="auto"/>
                      </w:divBdr>
                    </w:div>
                    <w:div w:id="5998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189736">
          <w:marLeft w:val="0"/>
          <w:marRight w:val="0"/>
          <w:marTop w:val="0"/>
          <w:marBottom w:val="0"/>
          <w:divBdr>
            <w:top w:val="none" w:sz="0" w:space="0" w:color="auto"/>
            <w:left w:val="none" w:sz="0" w:space="0" w:color="auto"/>
            <w:bottom w:val="none" w:sz="0" w:space="0" w:color="auto"/>
            <w:right w:val="none" w:sz="0" w:space="0" w:color="auto"/>
          </w:divBdr>
          <w:divsChild>
            <w:div w:id="699282585">
              <w:marLeft w:val="60"/>
              <w:marRight w:val="0"/>
              <w:marTop w:val="0"/>
              <w:marBottom w:val="0"/>
              <w:divBdr>
                <w:top w:val="none" w:sz="0" w:space="0" w:color="auto"/>
                <w:left w:val="none" w:sz="0" w:space="0" w:color="auto"/>
                <w:bottom w:val="none" w:sz="0" w:space="0" w:color="auto"/>
                <w:right w:val="none" w:sz="0" w:space="0" w:color="auto"/>
              </w:divBdr>
              <w:divsChild>
                <w:div w:id="1145321730">
                  <w:marLeft w:val="0"/>
                  <w:marRight w:val="0"/>
                  <w:marTop w:val="0"/>
                  <w:marBottom w:val="0"/>
                  <w:divBdr>
                    <w:top w:val="none" w:sz="0" w:space="0" w:color="auto"/>
                    <w:left w:val="none" w:sz="0" w:space="0" w:color="auto"/>
                    <w:bottom w:val="none" w:sz="0" w:space="0" w:color="auto"/>
                    <w:right w:val="none" w:sz="0" w:space="0" w:color="auto"/>
                  </w:divBdr>
                  <w:divsChild>
                    <w:div w:id="914827492">
                      <w:marLeft w:val="0"/>
                      <w:marRight w:val="0"/>
                      <w:marTop w:val="0"/>
                      <w:marBottom w:val="120"/>
                      <w:divBdr>
                        <w:top w:val="single" w:sz="6" w:space="0" w:color="F5F5F5"/>
                        <w:left w:val="single" w:sz="6" w:space="0" w:color="F5F5F5"/>
                        <w:bottom w:val="single" w:sz="6" w:space="0" w:color="F5F5F5"/>
                        <w:right w:val="single" w:sz="6" w:space="0" w:color="F5F5F5"/>
                      </w:divBdr>
                      <w:divsChild>
                        <w:div w:id="943345708">
                          <w:marLeft w:val="0"/>
                          <w:marRight w:val="0"/>
                          <w:marTop w:val="0"/>
                          <w:marBottom w:val="0"/>
                          <w:divBdr>
                            <w:top w:val="none" w:sz="0" w:space="0" w:color="auto"/>
                            <w:left w:val="none" w:sz="0" w:space="0" w:color="auto"/>
                            <w:bottom w:val="none" w:sz="0" w:space="0" w:color="auto"/>
                            <w:right w:val="none" w:sz="0" w:space="0" w:color="auto"/>
                          </w:divBdr>
                          <w:divsChild>
                            <w:div w:id="13501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ocuments.worldbank.org/curated/en/903601510548466486/Roadmap-for-a-sustainable-financial-syste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B99AB-768F-44F8-920C-F152CDAD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1345</Words>
  <Characters>7400</Characters>
  <Application>Microsoft Office Word</Application>
  <DocSecurity>0</DocSecurity>
  <Lines>61</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 Diana Vega</dc:creator>
  <cp:lastModifiedBy>Shaherah Cumberbatch</cp:lastModifiedBy>
  <cp:revision>16</cp:revision>
  <dcterms:created xsi:type="dcterms:W3CDTF">2018-10-04T13:36:00Z</dcterms:created>
  <dcterms:modified xsi:type="dcterms:W3CDTF">2018-10-04T22:21:00Z</dcterms:modified>
</cp:coreProperties>
</file>